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rsidRPr="00731644" w:rsidTr="003B4E47">
        <w:trPr>
          <w:cantSplit/>
          <w:trHeight w:hRule="exact" w:val="851"/>
        </w:trPr>
        <w:tc>
          <w:tcPr>
            <w:tcW w:w="1276" w:type="dxa"/>
            <w:tcBorders>
              <w:bottom w:val="single" w:sz="4" w:space="0" w:color="auto"/>
            </w:tcBorders>
            <w:vAlign w:val="bottom"/>
          </w:tcPr>
          <w:p w:rsidR="00523650" w:rsidRPr="00731644" w:rsidRDefault="00523650" w:rsidP="00AF5CA2">
            <w:pPr>
              <w:pStyle w:val="SingleTxtG"/>
              <w:rPr>
                <w:lang w:val="fr-CH"/>
              </w:rPr>
            </w:pPr>
          </w:p>
        </w:tc>
        <w:tc>
          <w:tcPr>
            <w:tcW w:w="2268" w:type="dxa"/>
            <w:tcBorders>
              <w:bottom w:val="single" w:sz="4" w:space="0" w:color="auto"/>
            </w:tcBorders>
            <w:vAlign w:val="bottom"/>
          </w:tcPr>
          <w:p w:rsidR="00523650" w:rsidRPr="00731644" w:rsidRDefault="00523650" w:rsidP="003B4E47">
            <w:pPr>
              <w:spacing w:after="80" w:line="300" w:lineRule="exact"/>
              <w:rPr>
                <w:b/>
                <w:sz w:val="24"/>
                <w:szCs w:val="24"/>
                <w:lang w:val="fr-CH"/>
              </w:rPr>
            </w:pPr>
            <w:r w:rsidRPr="00731644">
              <w:rPr>
                <w:sz w:val="28"/>
                <w:szCs w:val="28"/>
                <w:lang w:val="fr-CH"/>
              </w:rPr>
              <w:t>Nations</w:t>
            </w:r>
            <w:r w:rsidR="002A5A1D" w:rsidRPr="00731644">
              <w:rPr>
                <w:sz w:val="28"/>
                <w:szCs w:val="28"/>
                <w:lang w:val="fr-CH"/>
              </w:rPr>
              <w:t xml:space="preserve"> Unies</w:t>
            </w:r>
          </w:p>
        </w:tc>
        <w:tc>
          <w:tcPr>
            <w:tcW w:w="6095" w:type="dxa"/>
            <w:gridSpan w:val="2"/>
            <w:tcBorders>
              <w:bottom w:val="single" w:sz="4" w:space="0" w:color="auto"/>
            </w:tcBorders>
            <w:vAlign w:val="bottom"/>
          </w:tcPr>
          <w:p w:rsidR="00523650" w:rsidRPr="00731644" w:rsidRDefault="00C01E22" w:rsidP="00C01E22">
            <w:pPr>
              <w:jc w:val="right"/>
              <w:rPr>
                <w:lang w:val="fr-CH"/>
              </w:rPr>
            </w:pPr>
            <w:r w:rsidRPr="00731644">
              <w:rPr>
                <w:sz w:val="40"/>
                <w:lang w:val="fr-CH"/>
              </w:rPr>
              <w:t>CERD</w:t>
            </w:r>
            <w:r w:rsidRPr="00731644">
              <w:rPr>
                <w:lang w:val="fr-CH"/>
              </w:rPr>
              <w:t>/C/MNE/2-3</w:t>
            </w:r>
          </w:p>
        </w:tc>
      </w:tr>
      <w:tr w:rsidR="00523650" w:rsidRPr="00731644" w:rsidTr="003B4E47">
        <w:trPr>
          <w:cantSplit/>
          <w:trHeight w:hRule="exact" w:val="2835"/>
        </w:trPr>
        <w:tc>
          <w:tcPr>
            <w:tcW w:w="1276" w:type="dxa"/>
            <w:tcBorders>
              <w:top w:val="single" w:sz="4" w:space="0" w:color="auto"/>
              <w:bottom w:val="single" w:sz="12" w:space="0" w:color="auto"/>
            </w:tcBorders>
          </w:tcPr>
          <w:p w:rsidR="00523650" w:rsidRPr="00731644" w:rsidRDefault="009654DE" w:rsidP="003B4E47">
            <w:pPr>
              <w:spacing w:before="120"/>
              <w:jc w:val="center"/>
              <w:rPr>
                <w:lang w:val="fr-CH"/>
              </w:rPr>
            </w:pPr>
            <w:r w:rsidRPr="00731644">
              <w:rPr>
                <w:lang w:val="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731644" w:rsidRDefault="002A5A1D" w:rsidP="003B4E47">
            <w:pPr>
              <w:spacing w:before="120" w:line="420" w:lineRule="exact"/>
              <w:rPr>
                <w:lang w:val="fr-CH"/>
              </w:rPr>
            </w:pPr>
            <w:r w:rsidRPr="00731644">
              <w:rPr>
                <w:b/>
                <w:sz w:val="34"/>
                <w:szCs w:val="34"/>
                <w:lang w:val="fr-CH"/>
              </w:rPr>
              <w:t>Convention internationale sur</w:t>
            </w:r>
            <w:r w:rsidRPr="00731644">
              <w:rPr>
                <w:b/>
                <w:sz w:val="34"/>
                <w:szCs w:val="34"/>
                <w:lang w:val="fr-CH"/>
              </w:rPr>
              <w:br/>
              <w:t>l</w:t>
            </w:r>
            <w:r w:rsidR="00425386" w:rsidRPr="00731644">
              <w:rPr>
                <w:b/>
                <w:sz w:val="34"/>
                <w:szCs w:val="34"/>
                <w:lang w:val="fr-CH"/>
              </w:rPr>
              <w:t>’</w:t>
            </w:r>
            <w:r w:rsidRPr="00731644">
              <w:rPr>
                <w:b/>
                <w:sz w:val="34"/>
                <w:szCs w:val="34"/>
                <w:lang w:val="fr-CH"/>
              </w:rPr>
              <w:t>élimination de toutes les formes</w:t>
            </w:r>
            <w:r w:rsidRPr="00731644">
              <w:rPr>
                <w:b/>
                <w:sz w:val="34"/>
                <w:szCs w:val="34"/>
                <w:lang w:val="fr-CH"/>
              </w:rPr>
              <w:br/>
              <w:t>de discrimination raciale</w:t>
            </w:r>
            <w:r w:rsidRPr="00731644">
              <w:rPr>
                <w:lang w:val="fr-CH"/>
              </w:rPr>
              <w:t xml:space="preserve"> </w:t>
            </w:r>
          </w:p>
        </w:tc>
        <w:tc>
          <w:tcPr>
            <w:tcW w:w="2835" w:type="dxa"/>
            <w:tcBorders>
              <w:top w:val="single" w:sz="4" w:space="0" w:color="auto"/>
              <w:bottom w:val="single" w:sz="12" w:space="0" w:color="auto"/>
            </w:tcBorders>
          </w:tcPr>
          <w:p w:rsidR="00C01E22" w:rsidRPr="00731644" w:rsidRDefault="00C01E22" w:rsidP="007B641B">
            <w:pPr>
              <w:spacing w:before="240"/>
              <w:rPr>
                <w:lang w:val="fr-CH"/>
              </w:rPr>
            </w:pPr>
            <w:r w:rsidRPr="00731644">
              <w:rPr>
                <w:lang w:val="fr-CH"/>
              </w:rPr>
              <w:t>Distr.</w:t>
            </w:r>
            <w:r w:rsidR="002A5A1D" w:rsidRPr="00731644">
              <w:rPr>
                <w:lang w:val="fr-CH"/>
              </w:rPr>
              <w:t xml:space="preserve"> générale</w:t>
            </w:r>
            <w:r w:rsidR="007B641B" w:rsidRPr="00731644">
              <w:rPr>
                <w:lang w:val="fr-CH"/>
              </w:rPr>
              <w:br/>
            </w:r>
            <w:r w:rsidR="00325945" w:rsidRPr="00731644">
              <w:rPr>
                <w:lang w:val="fr-CH"/>
              </w:rPr>
              <w:t>1</w:t>
            </w:r>
            <w:r w:rsidR="00706C56" w:rsidRPr="00731644">
              <w:rPr>
                <w:lang w:val="fr-CH"/>
              </w:rPr>
              <w:t>2</w:t>
            </w:r>
            <w:r w:rsidR="00325945" w:rsidRPr="00731644">
              <w:rPr>
                <w:lang w:val="fr-CH"/>
              </w:rPr>
              <w:t xml:space="preserve"> </w:t>
            </w:r>
            <w:r w:rsidR="002A5A1D" w:rsidRPr="00731644">
              <w:rPr>
                <w:lang w:val="fr-CH"/>
              </w:rPr>
              <w:t>juillet</w:t>
            </w:r>
            <w:r w:rsidR="00325945" w:rsidRPr="00731644">
              <w:rPr>
                <w:lang w:val="fr-CH"/>
              </w:rPr>
              <w:t xml:space="preserve"> </w:t>
            </w:r>
            <w:r w:rsidRPr="00731644">
              <w:rPr>
                <w:lang w:val="fr-CH"/>
              </w:rPr>
              <w:t>2013</w:t>
            </w:r>
            <w:r w:rsidR="007B641B" w:rsidRPr="00731644">
              <w:rPr>
                <w:lang w:val="fr-CH"/>
              </w:rPr>
              <w:br/>
            </w:r>
            <w:r w:rsidR="002A5A1D" w:rsidRPr="00731644">
              <w:rPr>
                <w:lang w:val="fr-CH"/>
              </w:rPr>
              <w:t>Français</w:t>
            </w:r>
            <w:r w:rsidR="007B641B" w:rsidRPr="00731644">
              <w:rPr>
                <w:lang w:val="fr-CH"/>
              </w:rPr>
              <w:br/>
            </w:r>
            <w:r w:rsidRPr="00731644">
              <w:rPr>
                <w:lang w:val="fr-CH"/>
              </w:rPr>
              <w:t>Original</w:t>
            </w:r>
            <w:r w:rsidR="00F31DD5" w:rsidRPr="00731644">
              <w:rPr>
                <w:lang w:val="fr-CH"/>
              </w:rPr>
              <w:t>:</w:t>
            </w:r>
            <w:r w:rsidR="001C275C" w:rsidRPr="00731644">
              <w:rPr>
                <w:lang w:val="fr-CH"/>
              </w:rPr>
              <w:t xml:space="preserve"> </w:t>
            </w:r>
            <w:r w:rsidR="002A5A1D" w:rsidRPr="00731644">
              <w:rPr>
                <w:lang w:val="fr-CH"/>
              </w:rPr>
              <w:t>anglais</w:t>
            </w:r>
          </w:p>
        </w:tc>
      </w:tr>
    </w:tbl>
    <w:p w:rsidR="007B641B" w:rsidRPr="00731644" w:rsidRDefault="007B641B" w:rsidP="007B641B">
      <w:pPr>
        <w:spacing w:before="120"/>
        <w:rPr>
          <w:b/>
          <w:sz w:val="24"/>
          <w:szCs w:val="24"/>
          <w:lang w:val="fr-CH"/>
        </w:rPr>
      </w:pPr>
      <w:r w:rsidRPr="00731644">
        <w:rPr>
          <w:b/>
          <w:sz w:val="24"/>
          <w:szCs w:val="24"/>
          <w:lang w:val="fr-CH"/>
        </w:rPr>
        <w:t>Comité pour l</w:t>
      </w:r>
      <w:r w:rsidR="00425386" w:rsidRPr="00731644">
        <w:rPr>
          <w:b/>
          <w:sz w:val="24"/>
          <w:szCs w:val="24"/>
          <w:lang w:val="fr-CH"/>
        </w:rPr>
        <w:t>’</w:t>
      </w:r>
      <w:r w:rsidRPr="00731644">
        <w:rPr>
          <w:b/>
          <w:sz w:val="24"/>
          <w:szCs w:val="24"/>
          <w:lang w:val="fr-CH"/>
        </w:rPr>
        <w:t>élimination de la discrimination raciale</w:t>
      </w:r>
    </w:p>
    <w:p w:rsidR="00ED6BC7" w:rsidRPr="00731644" w:rsidRDefault="00ED6BC7" w:rsidP="00ED6BC7">
      <w:pPr>
        <w:pStyle w:val="HMG"/>
        <w:rPr>
          <w:lang w:val="fr-CH"/>
        </w:rPr>
      </w:pPr>
      <w:r w:rsidRPr="00731644">
        <w:rPr>
          <w:lang w:val="fr-CH"/>
        </w:rPr>
        <w:tab/>
      </w:r>
      <w:r w:rsidRPr="00731644">
        <w:rPr>
          <w:lang w:val="fr-CH"/>
        </w:rPr>
        <w:tab/>
      </w:r>
      <w:r w:rsidR="002A5A1D" w:rsidRPr="00731644">
        <w:rPr>
          <w:lang w:val="fr-CH"/>
        </w:rPr>
        <w:t>Rapports soumis par les États parties conformément</w:t>
      </w:r>
      <w:r w:rsidR="00E94726" w:rsidRPr="00731644">
        <w:rPr>
          <w:lang w:val="fr-CH"/>
        </w:rPr>
        <w:t xml:space="preserve"> </w:t>
      </w:r>
      <w:r w:rsidR="002A5A1D" w:rsidRPr="00731644">
        <w:rPr>
          <w:lang w:val="fr-CH"/>
        </w:rPr>
        <w:t xml:space="preserve">à </w:t>
      </w:r>
      <w:r w:rsidR="00374D76" w:rsidRPr="00731644">
        <w:rPr>
          <w:lang w:val="fr-CH"/>
        </w:rPr>
        <w:t>l</w:t>
      </w:r>
      <w:r w:rsidR="00425386" w:rsidRPr="00731644">
        <w:rPr>
          <w:lang w:val="fr-CH"/>
        </w:rPr>
        <w:t>’</w:t>
      </w:r>
      <w:r w:rsidR="001753EC">
        <w:rPr>
          <w:lang w:val="fr-CH"/>
        </w:rPr>
        <w:t>article </w:t>
      </w:r>
      <w:r w:rsidR="002A5A1D" w:rsidRPr="00731644">
        <w:rPr>
          <w:lang w:val="fr-CH"/>
        </w:rPr>
        <w:t>9 de la Convention</w:t>
      </w:r>
    </w:p>
    <w:p w:rsidR="00ED6BC7" w:rsidRPr="00731644" w:rsidRDefault="00394E0B" w:rsidP="00CD3D3D">
      <w:pPr>
        <w:pStyle w:val="HChG"/>
        <w:rPr>
          <w:lang w:val="fr-CH"/>
        </w:rPr>
      </w:pPr>
      <w:r w:rsidRPr="00731644">
        <w:rPr>
          <w:lang w:val="fr-CH"/>
        </w:rPr>
        <w:tab/>
      </w:r>
      <w:r w:rsidRPr="00731644">
        <w:rPr>
          <w:lang w:val="fr-CH"/>
        </w:rPr>
        <w:tab/>
      </w:r>
      <w:r w:rsidR="002A5A1D" w:rsidRPr="00731644">
        <w:rPr>
          <w:lang w:val="fr-CH"/>
        </w:rPr>
        <w:t>Deuxième et troisième</w:t>
      </w:r>
      <w:r w:rsidR="00CD3D3D" w:rsidRPr="00731644">
        <w:rPr>
          <w:lang w:val="fr-CH"/>
        </w:rPr>
        <w:t xml:space="preserve"> </w:t>
      </w:r>
      <w:r w:rsidR="002A5A1D" w:rsidRPr="00731644">
        <w:rPr>
          <w:lang w:val="fr-CH"/>
        </w:rPr>
        <w:t>rapports périodiques des États parties attendus en 201</w:t>
      </w:r>
      <w:r w:rsidR="00ED6BC7" w:rsidRPr="00731644">
        <w:rPr>
          <w:lang w:val="fr-CH"/>
        </w:rPr>
        <w:t>1</w:t>
      </w:r>
    </w:p>
    <w:p w:rsidR="00ED6BC7" w:rsidRPr="00731644" w:rsidRDefault="00394E0B" w:rsidP="00ED6BC7">
      <w:pPr>
        <w:pStyle w:val="HMG"/>
        <w:rPr>
          <w:lang w:val="fr-CH"/>
        </w:rPr>
      </w:pPr>
      <w:r w:rsidRPr="00731644">
        <w:rPr>
          <w:lang w:val="fr-CH"/>
        </w:rPr>
        <w:tab/>
      </w:r>
      <w:r w:rsidRPr="00731644">
        <w:rPr>
          <w:lang w:val="fr-CH"/>
        </w:rPr>
        <w:tab/>
      </w:r>
      <w:r w:rsidR="00ED6BC7" w:rsidRPr="00731644">
        <w:rPr>
          <w:lang w:val="fr-CH"/>
        </w:rPr>
        <w:t>Mont</w:t>
      </w:r>
      <w:r w:rsidR="002A5A1D" w:rsidRPr="00731644">
        <w:rPr>
          <w:lang w:val="fr-CH"/>
        </w:rPr>
        <w:t>é</w:t>
      </w:r>
      <w:r w:rsidR="00ED6BC7" w:rsidRPr="00731644">
        <w:rPr>
          <w:lang w:val="fr-CH"/>
        </w:rPr>
        <w:t>n</w:t>
      </w:r>
      <w:r w:rsidR="00052A70" w:rsidRPr="00731644">
        <w:rPr>
          <w:lang w:val="fr-CH"/>
        </w:rPr>
        <w:t>é</w:t>
      </w:r>
      <w:r w:rsidR="00ED6BC7" w:rsidRPr="00731644">
        <w:rPr>
          <w:lang w:val="fr-CH"/>
        </w:rPr>
        <w:t>gro</w:t>
      </w:r>
      <w:r w:rsidR="00ED6BC7" w:rsidRPr="00731644">
        <w:rPr>
          <w:b w:val="0"/>
          <w:sz w:val="20"/>
          <w:lang w:val="fr-CH"/>
        </w:rPr>
        <w:footnoteReference w:customMarkFollows="1" w:id="2"/>
        <w:t>*</w:t>
      </w:r>
      <w:r w:rsidR="00E94726" w:rsidRPr="00AF5CA2">
        <w:rPr>
          <w:b w:val="0"/>
          <w:sz w:val="20"/>
          <w:vertAlign w:val="superscript"/>
          <w:lang w:val="fr-CH"/>
        </w:rPr>
        <w:t>,</w:t>
      </w:r>
      <w:r w:rsidR="00ED6BC7" w:rsidRPr="00731644">
        <w:rPr>
          <w:b w:val="0"/>
          <w:sz w:val="20"/>
          <w:lang w:val="fr-CH"/>
        </w:rPr>
        <w:t xml:space="preserve"> </w:t>
      </w:r>
      <w:r w:rsidR="00ED6BC7" w:rsidRPr="00731644">
        <w:rPr>
          <w:b w:val="0"/>
          <w:sz w:val="20"/>
          <w:lang w:val="fr-CH"/>
        </w:rPr>
        <w:footnoteReference w:customMarkFollows="1" w:id="3"/>
        <w:t>*</w:t>
      </w:r>
      <w:r w:rsidR="00C02C65" w:rsidRPr="00731644">
        <w:rPr>
          <w:b w:val="0"/>
          <w:sz w:val="20"/>
          <w:lang w:val="fr-CH"/>
        </w:rPr>
        <w:t>*</w:t>
      </w:r>
    </w:p>
    <w:p w:rsidR="00ED6BC7" w:rsidRPr="00731644" w:rsidRDefault="00ED6BC7" w:rsidP="00F35AF1">
      <w:pPr>
        <w:pStyle w:val="H56G"/>
        <w:keepNext w:val="0"/>
        <w:keepLines w:val="0"/>
        <w:jc w:val="right"/>
        <w:rPr>
          <w:lang w:val="fr-CH"/>
        </w:rPr>
      </w:pPr>
      <w:r w:rsidRPr="00731644">
        <w:rPr>
          <w:lang w:val="fr-CH"/>
        </w:rPr>
        <w:t>[</w:t>
      </w:r>
      <w:r w:rsidR="00AF30CF" w:rsidRPr="00731644">
        <w:rPr>
          <w:lang w:val="fr-CH"/>
        </w:rPr>
        <w:t>27</w:t>
      </w:r>
      <w:r w:rsidRPr="00731644">
        <w:rPr>
          <w:lang w:val="fr-CH"/>
        </w:rPr>
        <w:t xml:space="preserve"> </w:t>
      </w:r>
      <w:r w:rsidR="002A5A1D" w:rsidRPr="00731644">
        <w:rPr>
          <w:lang w:val="fr-CH"/>
        </w:rPr>
        <w:t xml:space="preserve">septembre </w:t>
      </w:r>
      <w:r w:rsidRPr="00731644">
        <w:rPr>
          <w:lang w:val="fr-CH"/>
        </w:rPr>
        <w:t>2012]</w:t>
      </w:r>
    </w:p>
    <w:p w:rsidR="008662F8" w:rsidRPr="00731644" w:rsidRDefault="00E707D7" w:rsidP="00020FFD">
      <w:pPr>
        <w:spacing w:after="120"/>
        <w:rPr>
          <w:sz w:val="28"/>
          <w:lang w:val="fr-CH"/>
        </w:rPr>
      </w:pPr>
      <w:r w:rsidRPr="00731644">
        <w:rPr>
          <w:lang w:val="fr-CH"/>
        </w:rPr>
        <w:br w:type="page"/>
      </w:r>
      <w:r w:rsidR="00052A70" w:rsidRPr="00731644">
        <w:rPr>
          <w:sz w:val="28"/>
          <w:lang w:val="fr-CH"/>
        </w:rPr>
        <w:t>Table des matières</w:t>
      </w:r>
    </w:p>
    <w:p w:rsidR="008662F8" w:rsidRPr="00731644" w:rsidRDefault="00020FFD" w:rsidP="00020FFD">
      <w:pPr>
        <w:tabs>
          <w:tab w:val="right" w:pos="8929"/>
          <w:tab w:val="right" w:pos="9638"/>
        </w:tabs>
        <w:spacing w:after="120"/>
        <w:ind w:left="283"/>
        <w:rPr>
          <w:i/>
          <w:sz w:val="18"/>
          <w:lang w:val="fr-CH"/>
        </w:rPr>
      </w:pPr>
      <w:r w:rsidRPr="00731644">
        <w:rPr>
          <w:i/>
          <w:sz w:val="18"/>
          <w:lang w:val="fr-CH"/>
        </w:rPr>
        <w:tab/>
      </w:r>
      <w:r w:rsidR="008662F8" w:rsidRPr="00731644">
        <w:rPr>
          <w:i/>
          <w:sz w:val="18"/>
          <w:lang w:val="fr-CH"/>
        </w:rPr>
        <w:t>Paragraph</w:t>
      </w:r>
      <w:r w:rsidR="00212126" w:rsidRPr="00731644">
        <w:rPr>
          <w:i/>
          <w:sz w:val="18"/>
          <w:lang w:val="fr-CH"/>
        </w:rPr>
        <w:t>e</w:t>
      </w:r>
      <w:r w:rsidR="008662F8" w:rsidRPr="00731644">
        <w:rPr>
          <w:i/>
          <w:sz w:val="18"/>
          <w:lang w:val="fr-CH"/>
        </w:rPr>
        <w:t>s</w:t>
      </w:r>
      <w:r w:rsidR="008662F8" w:rsidRPr="00731644">
        <w:rPr>
          <w:i/>
          <w:sz w:val="18"/>
          <w:lang w:val="fr-CH"/>
        </w:rPr>
        <w:tab/>
        <w:t>Page</w:t>
      </w:r>
    </w:p>
    <w:p w:rsidR="008662F8" w:rsidRPr="00731644" w:rsidRDefault="00020FFD" w:rsidP="003B4A8D">
      <w:pPr>
        <w:tabs>
          <w:tab w:val="right" w:pos="850"/>
          <w:tab w:val="left" w:pos="1134"/>
          <w:tab w:val="left" w:pos="1559"/>
          <w:tab w:val="left" w:pos="1984"/>
          <w:tab w:val="left" w:leader="dot" w:pos="7654"/>
          <w:tab w:val="right" w:pos="8929"/>
          <w:tab w:val="right" w:pos="9638"/>
        </w:tabs>
        <w:spacing w:after="120"/>
        <w:ind w:left="1134" w:hanging="1134"/>
        <w:rPr>
          <w:lang w:val="fr-CH"/>
        </w:rPr>
      </w:pPr>
      <w:r w:rsidRPr="00731644">
        <w:rPr>
          <w:lang w:val="fr-CH"/>
        </w:rPr>
        <w:tab/>
      </w:r>
      <w:r w:rsidR="008662F8" w:rsidRPr="00731644">
        <w:rPr>
          <w:lang w:val="fr-CH"/>
        </w:rPr>
        <w:t>I.</w:t>
      </w:r>
      <w:r w:rsidR="008662F8" w:rsidRPr="00731644">
        <w:rPr>
          <w:lang w:val="fr-CH"/>
        </w:rPr>
        <w:tab/>
      </w:r>
      <w:r w:rsidR="00052A70" w:rsidRPr="00731644">
        <w:rPr>
          <w:lang w:val="fr-CH"/>
        </w:rPr>
        <w:t xml:space="preserve">Cadre juridique et politique </w:t>
      </w:r>
      <w:r w:rsidR="00D237BB" w:rsidRPr="00731644">
        <w:rPr>
          <w:lang w:val="fr-CH"/>
        </w:rPr>
        <w:t xml:space="preserve">général </w:t>
      </w:r>
      <w:r w:rsidR="00714665" w:rsidRPr="00731644">
        <w:rPr>
          <w:lang w:val="fr-CH"/>
        </w:rPr>
        <w:t>de</w:t>
      </w:r>
      <w:r w:rsidR="00052A70" w:rsidRPr="00731644">
        <w:rPr>
          <w:lang w:val="fr-CH"/>
        </w:rPr>
        <w:t xml:space="preserve"> l</w:t>
      </w:r>
      <w:r w:rsidR="00425386" w:rsidRPr="00731644">
        <w:rPr>
          <w:lang w:val="fr-CH"/>
        </w:rPr>
        <w:t>’</w:t>
      </w:r>
      <w:r w:rsidR="00052A70" w:rsidRPr="00731644">
        <w:rPr>
          <w:lang w:val="fr-CH"/>
        </w:rPr>
        <w:t>é</w:t>
      </w:r>
      <w:r w:rsidR="008662F8" w:rsidRPr="00731644">
        <w:rPr>
          <w:lang w:val="fr-CH"/>
        </w:rPr>
        <w:t xml:space="preserve">limination </w:t>
      </w:r>
      <w:r w:rsidR="00052A70" w:rsidRPr="00731644">
        <w:rPr>
          <w:lang w:val="fr-CH"/>
        </w:rPr>
        <w:t>de la</w:t>
      </w:r>
      <w:r w:rsidRPr="00731644">
        <w:rPr>
          <w:lang w:val="fr-CH"/>
        </w:rPr>
        <w:t xml:space="preserve"> </w:t>
      </w:r>
      <w:r w:rsidR="008662F8" w:rsidRPr="00731644">
        <w:rPr>
          <w:lang w:val="fr-CH"/>
        </w:rPr>
        <w:t>discrimination</w:t>
      </w:r>
      <w:r w:rsidR="00B11D2E" w:rsidRPr="00731644">
        <w:rPr>
          <w:lang w:val="fr-CH"/>
        </w:rPr>
        <w:tab/>
      </w:r>
      <w:r w:rsidR="00B11D2E" w:rsidRPr="00731644">
        <w:rPr>
          <w:lang w:val="fr-CH"/>
        </w:rPr>
        <w:tab/>
      </w:r>
      <w:r w:rsidR="008662F8" w:rsidRPr="00731644">
        <w:rPr>
          <w:lang w:val="fr-CH"/>
        </w:rPr>
        <w:t>1</w:t>
      </w:r>
      <w:r w:rsidR="00B55B12" w:rsidRPr="00731644">
        <w:rPr>
          <w:lang w:val="fr-CH"/>
        </w:rPr>
        <w:t>–35</w:t>
      </w:r>
      <w:r w:rsidR="008662F8" w:rsidRPr="00731644">
        <w:rPr>
          <w:lang w:val="fr-CH"/>
        </w:rPr>
        <w:tab/>
        <w:t>3</w:t>
      </w:r>
    </w:p>
    <w:p w:rsidR="00B5514E" w:rsidRPr="00731644" w:rsidRDefault="00B5514E" w:rsidP="003B4A8D">
      <w:pPr>
        <w:tabs>
          <w:tab w:val="right" w:pos="850"/>
          <w:tab w:val="left" w:pos="1134"/>
          <w:tab w:val="left" w:pos="1559"/>
          <w:tab w:val="left" w:pos="1984"/>
          <w:tab w:val="left" w:leader="dot" w:pos="7654"/>
          <w:tab w:val="right" w:pos="8929"/>
          <w:tab w:val="right" w:pos="9638"/>
        </w:tabs>
        <w:spacing w:after="120"/>
        <w:ind w:left="1134" w:hanging="1134"/>
        <w:rPr>
          <w:lang w:val="fr-CH"/>
        </w:rPr>
      </w:pPr>
      <w:r w:rsidRPr="00731644">
        <w:rPr>
          <w:lang w:val="fr-CH"/>
        </w:rPr>
        <w:tab/>
      </w:r>
      <w:r w:rsidRPr="00731644">
        <w:rPr>
          <w:lang w:val="fr-CH"/>
        </w:rPr>
        <w:tab/>
        <w:t>A.</w:t>
      </w:r>
      <w:r w:rsidRPr="00731644">
        <w:rPr>
          <w:lang w:val="fr-CH"/>
        </w:rPr>
        <w:tab/>
        <w:t>Introduction</w:t>
      </w:r>
      <w:r w:rsidRPr="00731644">
        <w:rPr>
          <w:lang w:val="fr-CH"/>
        </w:rPr>
        <w:tab/>
      </w:r>
      <w:r w:rsidRPr="00731644">
        <w:rPr>
          <w:lang w:val="fr-CH"/>
        </w:rPr>
        <w:tab/>
        <w:t>1–18</w:t>
      </w:r>
      <w:r w:rsidRPr="00731644">
        <w:rPr>
          <w:lang w:val="fr-CH"/>
        </w:rPr>
        <w:tab/>
        <w:t>3</w:t>
      </w:r>
    </w:p>
    <w:p w:rsidR="008662F8" w:rsidRPr="00731644" w:rsidRDefault="008662F8" w:rsidP="003B4A8D">
      <w:pPr>
        <w:tabs>
          <w:tab w:val="right" w:pos="850"/>
          <w:tab w:val="left" w:pos="1134"/>
          <w:tab w:val="left" w:pos="1559"/>
          <w:tab w:val="left" w:pos="1984"/>
          <w:tab w:val="left" w:leader="dot" w:pos="7654"/>
          <w:tab w:val="right" w:pos="8929"/>
          <w:tab w:val="right" w:pos="9638"/>
        </w:tabs>
        <w:spacing w:after="120"/>
        <w:ind w:left="1134" w:hanging="1134"/>
        <w:rPr>
          <w:lang w:val="fr-CH"/>
        </w:rPr>
      </w:pPr>
      <w:r w:rsidRPr="00731644">
        <w:rPr>
          <w:lang w:val="fr-CH"/>
        </w:rPr>
        <w:tab/>
      </w:r>
      <w:r w:rsidRPr="00731644">
        <w:rPr>
          <w:lang w:val="fr-CH"/>
        </w:rPr>
        <w:tab/>
      </w:r>
      <w:r w:rsidR="00B5514E" w:rsidRPr="00731644">
        <w:rPr>
          <w:lang w:val="fr-CH"/>
        </w:rPr>
        <w:t>B</w:t>
      </w:r>
      <w:r w:rsidRPr="00731644">
        <w:rPr>
          <w:lang w:val="fr-CH"/>
        </w:rPr>
        <w:t>.</w:t>
      </w:r>
      <w:r w:rsidRPr="00731644">
        <w:rPr>
          <w:lang w:val="fr-CH"/>
        </w:rPr>
        <w:tab/>
        <w:t>As</w:t>
      </w:r>
      <w:r w:rsidR="00052A70" w:rsidRPr="00731644">
        <w:rPr>
          <w:lang w:val="fr-CH"/>
        </w:rPr>
        <w:t>ile</w:t>
      </w:r>
      <w:r w:rsidRPr="00731644">
        <w:rPr>
          <w:lang w:val="fr-CH"/>
        </w:rPr>
        <w:tab/>
      </w:r>
      <w:r w:rsidRPr="00731644">
        <w:rPr>
          <w:lang w:val="fr-CH"/>
        </w:rPr>
        <w:tab/>
      </w:r>
      <w:r w:rsidR="00052A70" w:rsidRPr="00731644">
        <w:rPr>
          <w:lang w:val="fr-CH"/>
        </w:rPr>
        <w:tab/>
      </w:r>
      <w:r w:rsidR="00B55B12" w:rsidRPr="00731644">
        <w:rPr>
          <w:lang w:val="fr-CH"/>
        </w:rPr>
        <w:t>19–23</w:t>
      </w:r>
      <w:r w:rsidRPr="00731644">
        <w:rPr>
          <w:lang w:val="fr-CH"/>
        </w:rPr>
        <w:tab/>
      </w:r>
      <w:r w:rsidR="00B55B12" w:rsidRPr="00731644">
        <w:rPr>
          <w:lang w:val="fr-CH"/>
        </w:rPr>
        <w:t>6</w:t>
      </w:r>
    </w:p>
    <w:p w:rsidR="008662F8" w:rsidRPr="00731644" w:rsidRDefault="008662F8" w:rsidP="003B4A8D">
      <w:pPr>
        <w:tabs>
          <w:tab w:val="right" w:pos="850"/>
          <w:tab w:val="left" w:pos="1134"/>
          <w:tab w:val="left" w:pos="1559"/>
          <w:tab w:val="left" w:pos="1984"/>
          <w:tab w:val="left" w:leader="dot" w:pos="7654"/>
          <w:tab w:val="right" w:pos="8929"/>
          <w:tab w:val="right" w:pos="9638"/>
        </w:tabs>
        <w:spacing w:after="120"/>
        <w:ind w:left="1134" w:hanging="1134"/>
        <w:rPr>
          <w:lang w:val="fr-CH"/>
        </w:rPr>
      </w:pPr>
      <w:r w:rsidRPr="00731644">
        <w:rPr>
          <w:lang w:val="fr-CH"/>
        </w:rPr>
        <w:tab/>
      </w:r>
      <w:r w:rsidRPr="00731644">
        <w:rPr>
          <w:lang w:val="fr-CH"/>
        </w:rPr>
        <w:tab/>
      </w:r>
      <w:r w:rsidR="00B5514E" w:rsidRPr="00731644">
        <w:rPr>
          <w:lang w:val="fr-CH"/>
        </w:rPr>
        <w:t>C</w:t>
      </w:r>
      <w:r w:rsidRPr="00731644">
        <w:rPr>
          <w:lang w:val="fr-CH"/>
        </w:rPr>
        <w:t>.</w:t>
      </w:r>
      <w:r w:rsidRPr="00731644">
        <w:rPr>
          <w:lang w:val="fr-CH"/>
        </w:rPr>
        <w:tab/>
      </w:r>
      <w:r w:rsidR="00052A70" w:rsidRPr="00731644">
        <w:rPr>
          <w:lang w:val="fr-CH"/>
        </w:rPr>
        <w:t>Égalité des sexes</w:t>
      </w:r>
      <w:r w:rsidRPr="00731644">
        <w:rPr>
          <w:lang w:val="fr-CH"/>
        </w:rPr>
        <w:tab/>
      </w:r>
      <w:r w:rsidRPr="00731644">
        <w:rPr>
          <w:lang w:val="fr-CH"/>
        </w:rPr>
        <w:tab/>
      </w:r>
      <w:r w:rsidR="00B55B12" w:rsidRPr="00731644">
        <w:rPr>
          <w:lang w:val="fr-CH"/>
        </w:rPr>
        <w:t>24–35</w:t>
      </w:r>
      <w:r w:rsidRPr="00731644">
        <w:rPr>
          <w:lang w:val="fr-CH"/>
        </w:rPr>
        <w:tab/>
      </w:r>
      <w:r w:rsidR="00B55B12" w:rsidRPr="00731644">
        <w:rPr>
          <w:lang w:val="fr-CH"/>
        </w:rPr>
        <w:t>7</w:t>
      </w:r>
    </w:p>
    <w:p w:rsidR="008662F8" w:rsidRPr="00731644" w:rsidRDefault="008662F8" w:rsidP="003B4A8D">
      <w:pPr>
        <w:tabs>
          <w:tab w:val="right" w:pos="850"/>
          <w:tab w:val="left" w:pos="1134"/>
          <w:tab w:val="left" w:pos="1559"/>
          <w:tab w:val="left" w:leader="dot" w:pos="7654"/>
          <w:tab w:val="right" w:pos="8929"/>
          <w:tab w:val="right" w:pos="9638"/>
        </w:tabs>
        <w:spacing w:after="120"/>
        <w:ind w:left="1134" w:hanging="1134"/>
        <w:rPr>
          <w:lang w:val="fr-CH"/>
        </w:rPr>
      </w:pPr>
      <w:r w:rsidRPr="00731644">
        <w:rPr>
          <w:lang w:val="fr-CH"/>
        </w:rPr>
        <w:tab/>
        <w:t>II.</w:t>
      </w:r>
      <w:r w:rsidRPr="00731644">
        <w:rPr>
          <w:lang w:val="fr-CH"/>
        </w:rPr>
        <w:tab/>
        <w:t xml:space="preserve">Protection </w:t>
      </w:r>
      <w:r w:rsidR="00052A70" w:rsidRPr="00731644">
        <w:rPr>
          <w:lang w:val="fr-CH"/>
        </w:rPr>
        <w:t>contre la discrimination et</w:t>
      </w:r>
      <w:r w:rsidRPr="00731644">
        <w:rPr>
          <w:lang w:val="fr-CH"/>
        </w:rPr>
        <w:t xml:space="preserve"> </w:t>
      </w:r>
      <w:r w:rsidR="00D237BB" w:rsidRPr="00731644">
        <w:rPr>
          <w:lang w:val="fr-CH"/>
        </w:rPr>
        <w:t>dispositif</w:t>
      </w:r>
      <w:r w:rsidR="00052A70" w:rsidRPr="00731644">
        <w:rPr>
          <w:lang w:val="fr-CH"/>
        </w:rPr>
        <w:t xml:space="preserve"> en vue de </w:t>
      </w:r>
      <w:r w:rsidR="00340B91" w:rsidRPr="00731644">
        <w:rPr>
          <w:lang w:val="fr-CH"/>
        </w:rPr>
        <w:t>l</w:t>
      </w:r>
      <w:r w:rsidR="00425386" w:rsidRPr="00731644">
        <w:rPr>
          <w:lang w:val="fr-CH"/>
        </w:rPr>
        <w:t>’</w:t>
      </w:r>
      <w:r w:rsidR="00052A70" w:rsidRPr="00731644">
        <w:rPr>
          <w:lang w:val="fr-CH"/>
        </w:rPr>
        <w:t>élimination</w:t>
      </w:r>
      <w:r w:rsidR="00D237BB" w:rsidRPr="00731644">
        <w:rPr>
          <w:lang w:val="fr-CH"/>
        </w:rPr>
        <w:t xml:space="preserve"> </w:t>
      </w:r>
      <w:r w:rsidR="00340B91" w:rsidRPr="00731644">
        <w:rPr>
          <w:lang w:val="fr-CH"/>
        </w:rPr>
        <w:t xml:space="preserve">de </w:t>
      </w:r>
      <w:r w:rsidR="00020FFD" w:rsidRPr="00731644">
        <w:rPr>
          <w:lang w:val="fr-CH"/>
        </w:rPr>
        <w:br/>
      </w:r>
      <w:r w:rsidR="00340B91" w:rsidRPr="00731644">
        <w:rPr>
          <w:lang w:val="fr-CH"/>
        </w:rPr>
        <w:t>celle-ci</w:t>
      </w:r>
      <w:r w:rsidRPr="00731644">
        <w:rPr>
          <w:lang w:val="fr-CH"/>
        </w:rPr>
        <w:tab/>
      </w:r>
      <w:r w:rsidR="006443F6" w:rsidRPr="00731644">
        <w:rPr>
          <w:lang w:val="fr-CH"/>
        </w:rPr>
        <w:tab/>
      </w:r>
      <w:r w:rsidR="00B55B12" w:rsidRPr="00731644">
        <w:rPr>
          <w:lang w:val="fr-CH"/>
        </w:rPr>
        <w:t>36–85</w:t>
      </w:r>
      <w:r w:rsidRPr="00731644">
        <w:rPr>
          <w:lang w:val="fr-CH"/>
        </w:rPr>
        <w:tab/>
      </w:r>
      <w:r w:rsidR="00B55B12" w:rsidRPr="00731644">
        <w:rPr>
          <w:lang w:val="fr-CH"/>
        </w:rPr>
        <w:t>10</w:t>
      </w:r>
    </w:p>
    <w:p w:rsidR="008662F8" w:rsidRPr="00731644" w:rsidRDefault="008662F8" w:rsidP="003B4A8D">
      <w:pPr>
        <w:tabs>
          <w:tab w:val="right" w:pos="850"/>
          <w:tab w:val="left" w:pos="1134"/>
          <w:tab w:val="left" w:pos="1559"/>
          <w:tab w:val="left" w:leader="dot" w:pos="7654"/>
          <w:tab w:val="right" w:pos="8929"/>
          <w:tab w:val="right" w:pos="9638"/>
        </w:tabs>
        <w:spacing w:after="120"/>
        <w:rPr>
          <w:lang w:val="fr-CH"/>
        </w:rPr>
      </w:pPr>
      <w:r w:rsidRPr="00731644">
        <w:rPr>
          <w:lang w:val="fr-CH"/>
        </w:rPr>
        <w:tab/>
      </w:r>
      <w:r w:rsidRPr="00731644">
        <w:rPr>
          <w:lang w:val="fr-CH"/>
        </w:rPr>
        <w:tab/>
      </w:r>
      <w:r w:rsidR="00E139B1">
        <w:rPr>
          <w:lang w:val="fr-CH"/>
        </w:rPr>
        <w:t>Article 2</w:t>
      </w:r>
      <w:r w:rsidR="00E139B1">
        <w:rPr>
          <w:lang w:val="fr-CH"/>
        </w:rPr>
        <w:tab/>
      </w:r>
      <w:r w:rsidR="006E7DDA" w:rsidRPr="00731644">
        <w:rPr>
          <w:lang w:val="fr-CH"/>
        </w:rPr>
        <w:tab/>
      </w:r>
      <w:r w:rsidR="00B55B12" w:rsidRPr="00731644">
        <w:rPr>
          <w:lang w:val="fr-CH"/>
        </w:rPr>
        <w:t>36–62</w:t>
      </w:r>
      <w:r w:rsidRPr="00731644">
        <w:rPr>
          <w:lang w:val="fr-CH"/>
        </w:rPr>
        <w:tab/>
      </w:r>
      <w:r w:rsidR="00B55B12" w:rsidRPr="00731644">
        <w:rPr>
          <w:lang w:val="fr-CH"/>
        </w:rPr>
        <w:t>10</w:t>
      </w:r>
    </w:p>
    <w:p w:rsidR="008662F8" w:rsidRPr="00731644" w:rsidRDefault="008662F8" w:rsidP="003B4A8D">
      <w:pPr>
        <w:tabs>
          <w:tab w:val="right" w:pos="850"/>
          <w:tab w:val="left" w:pos="1134"/>
          <w:tab w:val="left" w:pos="1559"/>
          <w:tab w:val="left" w:leader="dot" w:pos="7654"/>
          <w:tab w:val="right" w:pos="8929"/>
          <w:tab w:val="right" w:pos="9638"/>
        </w:tabs>
        <w:spacing w:after="120"/>
        <w:rPr>
          <w:lang w:val="fr-CH"/>
        </w:rPr>
      </w:pPr>
      <w:r w:rsidRPr="00731644">
        <w:rPr>
          <w:lang w:val="fr-CH"/>
        </w:rPr>
        <w:tab/>
      </w:r>
      <w:r w:rsidRPr="00731644">
        <w:rPr>
          <w:lang w:val="fr-CH"/>
        </w:rPr>
        <w:tab/>
      </w:r>
      <w:r w:rsidR="00E139B1">
        <w:rPr>
          <w:lang w:val="fr-CH"/>
        </w:rPr>
        <w:t>Article 3</w:t>
      </w:r>
      <w:r w:rsidR="00E139B1">
        <w:rPr>
          <w:lang w:val="fr-CH"/>
        </w:rPr>
        <w:tab/>
      </w:r>
      <w:r w:rsidR="006E7DDA" w:rsidRPr="00731644">
        <w:rPr>
          <w:lang w:val="fr-CH"/>
        </w:rPr>
        <w:tab/>
      </w:r>
      <w:r w:rsidR="00B55B12" w:rsidRPr="00731644">
        <w:rPr>
          <w:lang w:val="fr-CH"/>
        </w:rPr>
        <w:t>6</w:t>
      </w:r>
      <w:r w:rsidRPr="00731644">
        <w:rPr>
          <w:lang w:val="fr-CH"/>
        </w:rPr>
        <w:t>3</w:t>
      </w:r>
      <w:r w:rsidRPr="00731644">
        <w:rPr>
          <w:lang w:val="fr-CH"/>
        </w:rPr>
        <w:tab/>
        <w:t>16</w:t>
      </w:r>
    </w:p>
    <w:p w:rsidR="008662F8" w:rsidRPr="00731644" w:rsidRDefault="008662F8" w:rsidP="003B4A8D">
      <w:pPr>
        <w:tabs>
          <w:tab w:val="right" w:pos="850"/>
          <w:tab w:val="left" w:pos="1134"/>
          <w:tab w:val="left" w:pos="1559"/>
          <w:tab w:val="left" w:leader="dot" w:pos="7654"/>
          <w:tab w:val="right" w:pos="8929"/>
          <w:tab w:val="right" w:pos="9638"/>
        </w:tabs>
        <w:spacing w:after="120"/>
        <w:rPr>
          <w:lang w:val="fr-CH"/>
        </w:rPr>
      </w:pPr>
      <w:r w:rsidRPr="00731644">
        <w:rPr>
          <w:lang w:val="fr-CH"/>
        </w:rPr>
        <w:tab/>
      </w:r>
      <w:r w:rsidRPr="00731644">
        <w:rPr>
          <w:lang w:val="fr-CH"/>
        </w:rPr>
        <w:tab/>
      </w:r>
      <w:r w:rsidR="00E139B1">
        <w:rPr>
          <w:lang w:val="fr-CH"/>
        </w:rPr>
        <w:t>Article 4</w:t>
      </w:r>
      <w:r w:rsidR="00E139B1">
        <w:rPr>
          <w:lang w:val="fr-CH"/>
        </w:rPr>
        <w:tab/>
      </w:r>
      <w:r w:rsidR="006E7DDA" w:rsidRPr="00731644">
        <w:rPr>
          <w:lang w:val="fr-CH"/>
        </w:rPr>
        <w:tab/>
      </w:r>
      <w:r w:rsidR="00B55B12" w:rsidRPr="00731644">
        <w:rPr>
          <w:lang w:val="fr-CH"/>
        </w:rPr>
        <w:t>6</w:t>
      </w:r>
      <w:r w:rsidRPr="00731644">
        <w:rPr>
          <w:lang w:val="fr-CH"/>
        </w:rPr>
        <w:t>4</w:t>
      </w:r>
      <w:r w:rsidR="00B55B12" w:rsidRPr="00731644">
        <w:rPr>
          <w:lang w:val="fr-CH"/>
        </w:rPr>
        <w:t>–</w:t>
      </w:r>
      <w:r w:rsidRPr="00731644">
        <w:rPr>
          <w:lang w:val="fr-CH"/>
        </w:rPr>
        <w:t>8</w:t>
      </w:r>
      <w:r w:rsidR="00B55B12" w:rsidRPr="00731644">
        <w:rPr>
          <w:lang w:val="fr-CH"/>
        </w:rPr>
        <w:t>5</w:t>
      </w:r>
      <w:r w:rsidRPr="00731644">
        <w:rPr>
          <w:lang w:val="fr-CH"/>
        </w:rPr>
        <w:tab/>
        <w:t>1</w:t>
      </w:r>
      <w:r w:rsidR="00A66512" w:rsidRPr="00731644">
        <w:rPr>
          <w:lang w:val="fr-CH"/>
        </w:rPr>
        <w:t>7</w:t>
      </w:r>
    </w:p>
    <w:p w:rsidR="008662F8" w:rsidRPr="00731644" w:rsidRDefault="00020FFD" w:rsidP="003B4A8D">
      <w:pPr>
        <w:tabs>
          <w:tab w:val="right" w:pos="850"/>
          <w:tab w:val="left" w:pos="1134"/>
          <w:tab w:val="left" w:pos="1559"/>
          <w:tab w:val="left" w:pos="1984"/>
          <w:tab w:val="left" w:leader="dot" w:pos="7654"/>
          <w:tab w:val="right" w:pos="8929"/>
          <w:tab w:val="right" w:pos="9638"/>
        </w:tabs>
        <w:spacing w:after="120"/>
        <w:ind w:left="1134" w:hanging="1134"/>
        <w:rPr>
          <w:lang w:val="fr-CH"/>
        </w:rPr>
      </w:pPr>
      <w:r w:rsidRPr="00731644">
        <w:rPr>
          <w:lang w:val="fr-CH"/>
        </w:rPr>
        <w:tab/>
      </w:r>
      <w:r w:rsidR="008662F8" w:rsidRPr="00731644">
        <w:rPr>
          <w:lang w:val="fr-CH"/>
        </w:rPr>
        <w:t>III.</w:t>
      </w:r>
      <w:r w:rsidR="008662F8" w:rsidRPr="00731644">
        <w:rPr>
          <w:lang w:val="fr-CH"/>
        </w:rPr>
        <w:tab/>
      </w:r>
      <w:r w:rsidR="00154F4C" w:rsidRPr="00731644">
        <w:rPr>
          <w:lang w:val="fr-CH"/>
        </w:rPr>
        <w:t>Le r</w:t>
      </w:r>
      <w:r w:rsidR="008662F8" w:rsidRPr="00731644">
        <w:rPr>
          <w:lang w:val="fr-CH"/>
        </w:rPr>
        <w:t xml:space="preserve">espect </w:t>
      </w:r>
      <w:r w:rsidR="00052A70" w:rsidRPr="00731644">
        <w:rPr>
          <w:lang w:val="fr-CH"/>
        </w:rPr>
        <w:t xml:space="preserve">de </w:t>
      </w:r>
      <w:r w:rsidR="00D237BB" w:rsidRPr="00731644">
        <w:rPr>
          <w:lang w:val="fr-CH"/>
        </w:rPr>
        <w:t xml:space="preserve">certains </w:t>
      </w:r>
      <w:r w:rsidR="001072B3" w:rsidRPr="00731644">
        <w:rPr>
          <w:lang w:val="fr-CH"/>
        </w:rPr>
        <w:t xml:space="preserve">droits et </w:t>
      </w:r>
      <w:r w:rsidR="00052A70" w:rsidRPr="00731644">
        <w:rPr>
          <w:lang w:val="fr-CH"/>
        </w:rPr>
        <w:t xml:space="preserve">libertés </w:t>
      </w:r>
      <w:r w:rsidR="001072B3" w:rsidRPr="00731644">
        <w:rPr>
          <w:lang w:val="fr-CH"/>
        </w:rPr>
        <w:t>considéré dans la perspective</w:t>
      </w:r>
      <w:r w:rsidR="004178B1" w:rsidRPr="00731644">
        <w:rPr>
          <w:lang w:val="fr-CH"/>
        </w:rPr>
        <w:t xml:space="preserve"> de </w:t>
      </w:r>
      <w:r w:rsidRPr="00731644">
        <w:rPr>
          <w:lang w:val="fr-CH"/>
        </w:rPr>
        <w:br/>
      </w:r>
      <w:r w:rsidR="004178B1" w:rsidRPr="00731644">
        <w:rPr>
          <w:lang w:val="fr-CH"/>
        </w:rPr>
        <w:t>l</w:t>
      </w:r>
      <w:r w:rsidR="00425386" w:rsidRPr="00731644">
        <w:rPr>
          <w:lang w:val="fr-CH"/>
        </w:rPr>
        <w:t>’</w:t>
      </w:r>
      <w:r w:rsidR="004178B1" w:rsidRPr="00731644">
        <w:rPr>
          <w:lang w:val="fr-CH"/>
        </w:rPr>
        <w:t>é</w:t>
      </w:r>
      <w:r w:rsidR="008662F8" w:rsidRPr="00731644">
        <w:rPr>
          <w:lang w:val="fr-CH"/>
        </w:rPr>
        <w:t xml:space="preserve">limination </w:t>
      </w:r>
      <w:r w:rsidR="004178B1" w:rsidRPr="00731644">
        <w:rPr>
          <w:lang w:val="fr-CH"/>
        </w:rPr>
        <w:t>de la d</w:t>
      </w:r>
      <w:r w:rsidR="008662F8" w:rsidRPr="00731644">
        <w:rPr>
          <w:lang w:val="fr-CH"/>
        </w:rPr>
        <w:t>iscrimination</w:t>
      </w:r>
      <w:r w:rsidR="008662F8" w:rsidRPr="00731644">
        <w:rPr>
          <w:lang w:val="fr-CH"/>
        </w:rPr>
        <w:tab/>
      </w:r>
      <w:r w:rsidR="008662F8" w:rsidRPr="00731644">
        <w:rPr>
          <w:lang w:val="fr-CH"/>
        </w:rPr>
        <w:tab/>
      </w:r>
      <w:r w:rsidR="00B55B12" w:rsidRPr="00731644">
        <w:rPr>
          <w:lang w:val="fr-CH"/>
        </w:rPr>
        <w:t>86–</w:t>
      </w:r>
      <w:r w:rsidR="008A5997" w:rsidRPr="00731644">
        <w:rPr>
          <w:lang w:val="fr-CH"/>
        </w:rPr>
        <w:t>309</w:t>
      </w:r>
      <w:r w:rsidR="008662F8" w:rsidRPr="00731644">
        <w:rPr>
          <w:lang w:val="fr-CH"/>
        </w:rPr>
        <w:tab/>
      </w:r>
      <w:r w:rsidR="00E63693" w:rsidRPr="00731644">
        <w:rPr>
          <w:lang w:val="fr-CH"/>
        </w:rPr>
        <w:t>21</w:t>
      </w:r>
    </w:p>
    <w:p w:rsidR="008662F8" w:rsidRPr="00731644" w:rsidRDefault="008662F8" w:rsidP="003B4A8D">
      <w:pPr>
        <w:tabs>
          <w:tab w:val="right" w:pos="850"/>
          <w:tab w:val="left" w:pos="1134"/>
          <w:tab w:val="left" w:pos="1559"/>
          <w:tab w:val="left" w:leader="dot" w:pos="7654"/>
          <w:tab w:val="right" w:pos="8929"/>
          <w:tab w:val="right" w:pos="9638"/>
        </w:tabs>
        <w:spacing w:after="120"/>
        <w:rPr>
          <w:lang w:val="fr-CH"/>
        </w:rPr>
      </w:pPr>
      <w:r w:rsidRPr="00731644">
        <w:rPr>
          <w:lang w:val="fr-CH"/>
        </w:rPr>
        <w:tab/>
      </w:r>
      <w:r w:rsidRPr="00731644">
        <w:rPr>
          <w:lang w:val="fr-CH"/>
        </w:rPr>
        <w:tab/>
      </w:r>
      <w:r w:rsidR="00E139B1">
        <w:rPr>
          <w:lang w:val="fr-CH"/>
        </w:rPr>
        <w:t>Article 5</w:t>
      </w:r>
      <w:r w:rsidR="00E139B1">
        <w:rPr>
          <w:lang w:val="fr-CH"/>
        </w:rPr>
        <w:tab/>
      </w:r>
      <w:r w:rsidR="001D4ADD" w:rsidRPr="00731644">
        <w:rPr>
          <w:lang w:val="fr-CH"/>
        </w:rPr>
        <w:tab/>
      </w:r>
      <w:r w:rsidR="00B55B12" w:rsidRPr="00731644">
        <w:rPr>
          <w:lang w:val="fr-CH"/>
        </w:rPr>
        <w:t>86–</w:t>
      </w:r>
      <w:r w:rsidR="008A5997" w:rsidRPr="00731644">
        <w:rPr>
          <w:lang w:val="fr-CH"/>
        </w:rPr>
        <w:t>309</w:t>
      </w:r>
      <w:r w:rsidRPr="00731644">
        <w:rPr>
          <w:lang w:val="fr-CH"/>
        </w:rPr>
        <w:tab/>
      </w:r>
      <w:r w:rsidR="00E63693" w:rsidRPr="00731644">
        <w:rPr>
          <w:lang w:val="fr-CH"/>
        </w:rPr>
        <w:t>21</w:t>
      </w:r>
    </w:p>
    <w:p w:rsidR="008662F8" w:rsidRPr="00731644" w:rsidRDefault="008662F8" w:rsidP="003B4A8D">
      <w:pPr>
        <w:tabs>
          <w:tab w:val="right" w:pos="850"/>
          <w:tab w:val="left" w:pos="1134"/>
          <w:tab w:val="left" w:pos="1559"/>
          <w:tab w:val="left" w:pos="1984"/>
          <w:tab w:val="left" w:leader="dot" w:pos="7654"/>
          <w:tab w:val="right" w:pos="8929"/>
          <w:tab w:val="right" w:pos="9638"/>
        </w:tabs>
        <w:spacing w:after="120"/>
        <w:ind w:left="1134" w:hanging="1134"/>
        <w:rPr>
          <w:lang w:val="fr-CH"/>
        </w:rPr>
      </w:pPr>
      <w:r w:rsidRPr="00731644">
        <w:rPr>
          <w:lang w:val="fr-CH"/>
        </w:rPr>
        <w:tab/>
        <w:t>IV.</w:t>
      </w:r>
      <w:r w:rsidRPr="00731644">
        <w:rPr>
          <w:lang w:val="fr-CH"/>
        </w:rPr>
        <w:tab/>
      </w:r>
      <w:r w:rsidR="004178B1" w:rsidRPr="00731644">
        <w:rPr>
          <w:lang w:val="fr-CH"/>
        </w:rPr>
        <w:t>P</w:t>
      </w:r>
      <w:r w:rsidRPr="00731644">
        <w:rPr>
          <w:lang w:val="fr-CH"/>
        </w:rPr>
        <w:t xml:space="preserve">rotection </w:t>
      </w:r>
      <w:r w:rsidR="003B4A8D">
        <w:rPr>
          <w:lang w:val="fr-CH"/>
        </w:rPr>
        <w:t>de la loi</w:t>
      </w:r>
      <w:r w:rsidR="004178B1" w:rsidRPr="00731644">
        <w:rPr>
          <w:lang w:val="fr-CH"/>
        </w:rPr>
        <w:t xml:space="preserve"> et contrôle de la </w:t>
      </w:r>
      <w:r w:rsidRPr="00731644">
        <w:rPr>
          <w:lang w:val="fr-CH"/>
        </w:rPr>
        <w:t>constitution</w:t>
      </w:r>
      <w:r w:rsidR="004178B1" w:rsidRPr="00731644">
        <w:rPr>
          <w:lang w:val="fr-CH"/>
        </w:rPr>
        <w:t>nalité et de la légalité</w:t>
      </w:r>
      <w:r w:rsidRPr="00731644">
        <w:rPr>
          <w:lang w:val="fr-CH"/>
        </w:rPr>
        <w:tab/>
      </w:r>
      <w:r w:rsidRPr="00731644">
        <w:rPr>
          <w:lang w:val="fr-CH"/>
        </w:rPr>
        <w:tab/>
      </w:r>
      <w:r w:rsidR="008A5997" w:rsidRPr="00731644">
        <w:rPr>
          <w:lang w:val="fr-CH"/>
        </w:rPr>
        <w:t>310</w:t>
      </w:r>
      <w:r w:rsidR="00B55B12" w:rsidRPr="00731644">
        <w:rPr>
          <w:lang w:val="fr-CH"/>
        </w:rPr>
        <w:t>–</w:t>
      </w:r>
      <w:r w:rsidR="008A5997" w:rsidRPr="00731644">
        <w:rPr>
          <w:lang w:val="fr-CH"/>
        </w:rPr>
        <w:t>315</w:t>
      </w:r>
      <w:r w:rsidRPr="00731644">
        <w:rPr>
          <w:lang w:val="fr-CH"/>
        </w:rPr>
        <w:tab/>
      </w:r>
      <w:r w:rsidR="00B55B12" w:rsidRPr="00731644">
        <w:rPr>
          <w:lang w:val="fr-CH"/>
        </w:rPr>
        <w:t>6</w:t>
      </w:r>
      <w:r w:rsidR="00BD2325">
        <w:rPr>
          <w:lang w:val="fr-CH"/>
        </w:rPr>
        <w:t>1</w:t>
      </w:r>
    </w:p>
    <w:p w:rsidR="008662F8" w:rsidRPr="00731644" w:rsidRDefault="008662F8" w:rsidP="003B4A8D">
      <w:pPr>
        <w:tabs>
          <w:tab w:val="right" w:pos="850"/>
          <w:tab w:val="left" w:pos="1134"/>
          <w:tab w:val="left" w:pos="1559"/>
          <w:tab w:val="left" w:leader="dot" w:pos="7654"/>
          <w:tab w:val="right" w:pos="8929"/>
          <w:tab w:val="right" w:pos="9638"/>
        </w:tabs>
        <w:spacing w:after="120"/>
        <w:rPr>
          <w:lang w:val="fr-CH"/>
        </w:rPr>
      </w:pPr>
      <w:r w:rsidRPr="00731644">
        <w:rPr>
          <w:lang w:val="fr-CH"/>
        </w:rPr>
        <w:tab/>
      </w:r>
      <w:r w:rsidRPr="00731644">
        <w:rPr>
          <w:lang w:val="fr-CH"/>
        </w:rPr>
        <w:tab/>
      </w:r>
      <w:r w:rsidR="00E139B1">
        <w:rPr>
          <w:lang w:val="fr-CH"/>
        </w:rPr>
        <w:t>Article 6</w:t>
      </w:r>
      <w:r w:rsidR="00E139B1">
        <w:rPr>
          <w:lang w:val="fr-CH"/>
        </w:rPr>
        <w:tab/>
      </w:r>
      <w:r w:rsidR="001D4ADD" w:rsidRPr="00731644">
        <w:rPr>
          <w:lang w:val="fr-CH"/>
        </w:rPr>
        <w:tab/>
      </w:r>
      <w:r w:rsidR="00B55B12" w:rsidRPr="00731644">
        <w:rPr>
          <w:lang w:val="fr-CH"/>
        </w:rPr>
        <w:t>3</w:t>
      </w:r>
      <w:r w:rsidR="00BC3DA3" w:rsidRPr="00731644">
        <w:rPr>
          <w:lang w:val="fr-CH"/>
        </w:rPr>
        <w:t>10</w:t>
      </w:r>
      <w:r w:rsidR="00B55B12" w:rsidRPr="00731644">
        <w:rPr>
          <w:lang w:val="fr-CH"/>
        </w:rPr>
        <w:t>–</w:t>
      </w:r>
      <w:r w:rsidR="008A5997" w:rsidRPr="00731644">
        <w:rPr>
          <w:lang w:val="fr-CH"/>
        </w:rPr>
        <w:t>315</w:t>
      </w:r>
      <w:r w:rsidR="00B55B12" w:rsidRPr="00731644">
        <w:rPr>
          <w:lang w:val="fr-CH"/>
        </w:rPr>
        <w:tab/>
        <w:t>6</w:t>
      </w:r>
      <w:r w:rsidR="00BD2325">
        <w:rPr>
          <w:lang w:val="fr-CH"/>
        </w:rPr>
        <w:t>1</w:t>
      </w:r>
    </w:p>
    <w:p w:rsidR="00E707D7" w:rsidRPr="00731644" w:rsidRDefault="008662F8" w:rsidP="008662F8">
      <w:pPr>
        <w:pStyle w:val="HChG"/>
        <w:rPr>
          <w:lang w:val="fr-CH"/>
        </w:rPr>
      </w:pPr>
      <w:r w:rsidRPr="00731644">
        <w:rPr>
          <w:lang w:val="fr-CH"/>
        </w:rPr>
        <w:br w:type="page"/>
      </w:r>
      <w:r w:rsidRPr="00731644">
        <w:rPr>
          <w:lang w:val="fr-CH"/>
        </w:rPr>
        <w:tab/>
      </w:r>
      <w:r w:rsidR="00CF112E" w:rsidRPr="00731644">
        <w:rPr>
          <w:lang w:val="fr-CH"/>
        </w:rPr>
        <w:t>I.</w:t>
      </w:r>
      <w:r w:rsidR="00E707D7" w:rsidRPr="00731644">
        <w:rPr>
          <w:lang w:val="fr-CH"/>
        </w:rPr>
        <w:tab/>
      </w:r>
      <w:r w:rsidR="008A30C2" w:rsidRPr="00731644">
        <w:rPr>
          <w:lang w:val="fr-CH"/>
        </w:rPr>
        <w:t xml:space="preserve">Cadre juridique et politique </w:t>
      </w:r>
      <w:r w:rsidR="00714665" w:rsidRPr="00731644">
        <w:rPr>
          <w:lang w:val="fr-CH"/>
        </w:rPr>
        <w:t>général de</w:t>
      </w:r>
      <w:r w:rsidR="008A30C2" w:rsidRPr="00731644">
        <w:rPr>
          <w:lang w:val="fr-CH"/>
        </w:rPr>
        <w:t xml:space="preserve"> l</w:t>
      </w:r>
      <w:r w:rsidR="00425386" w:rsidRPr="00731644">
        <w:rPr>
          <w:lang w:val="fr-CH"/>
        </w:rPr>
        <w:t>’</w:t>
      </w:r>
      <w:r w:rsidR="008A30C2" w:rsidRPr="00731644">
        <w:rPr>
          <w:lang w:val="fr-CH"/>
        </w:rPr>
        <w:t>é</w:t>
      </w:r>
      <w:r w:rsidR="00E707D7" w:rsidRPr="00731644">
        <w:rPr>
          <w:lang w:val="fr-CH"/>
        </w:rPr>
        <w:t xml:space="preserve">limination </w:t>
      </w:r>
      <w:r w:rsidR="008A30C2" w:rsidRPr="00731644">
        <w:rPr>
          <w:lang w:val="fr-CH"/>
        </w:rPr>
        <w:t>de la</w:t>
      </w:r>
      <w:r w:rsidR="00E707D7" w:rsidRPr="00731644">
        <w:rPr>
          <w:lang w:val="fr-CH"/>
        </w:rPr>
        <w:t xml:space="preserve"> discrimination</w:t>
      </w:r>
      <w:r w:rsidR="00E707D7" w:rsidRPr="00731644">
        <w:rPr>
          <w:rStyle w:val="FootnoteReference"/>
          <w:b w:val="0"/>
          <w:lang w:val="fr-CH"/>
        </w:rPr>
        <w:footnoteReference w:id="4"/>
      </w:r>
    </w:p>
    <w:p w:rsidR="00774887" w:rsidRPr="00731644" w:rsidRDefault="00394E0B" w:rsidP="00774887">
      <w:pPr>
        <w:pStyle w:val="H1G"/>
        <w:rPr>
          <w:lang w:val="fr-CH"/>
        </w:rPr>
      </w:pPr>
      <w:r w:rsidRPr="00731644">
        <w:rPr>
          <w:lang w:val="fr-CH"/>
        </w:rPr>
        <w:tab/>
      </w:r>
      <w:r w:rsidR="00774887" w:rsidRPr="00731644">
        <w:rPr>
          <w:lang w:val="fr-CH"/>
        </w:rPr>
        <w:t>A.</w:t>
      </w:r>
      <w:r w:rsidR="00774887" w:rsidRPr="00731644">
        <w:rPr>
          <w:lang w:val="fr-CH"/>
        </w:rPr>
        <w:tab/>
        <w:t>Introduction</w:t>
      </w:r>
    </w:p>
    <w:p w:rsidR="00E707D7" w:rsidRPr="00731644" w:rsidRDefault="00E707D7" w:rsidP="00FD0046">
      <w:pPr>
        <w:pStyle w:val="SingleTxtG"/>
        <w:rPr>
          <w:lang w:val="fr-CH"/>
        </w:rPr>
      </w:pPr>
      <w:r w:rsidRPr="00731644">
        <w:rPr>
          <w:lang w:val="fr-CH"/>
        </w:rPr>
        <w:t>1.</w:t>
      </w:r>
      <w:r w:rsidRPr="00731644">
        <w:rPr>
          <w:lang w:val="fr-CH"/>
        </w:rPr>
        <w:tab/>
      </w:r>
      <w:r w:rsidR="00A30479" w:rsidRPr="00731644">
        <w:rPr>
          <w:lang w:val="fr-CH"/>
        </w:rPr>
        <w:t>Par comparaison avec les</w:t>
      </w:r>
      <w:r w:rsidR="00714665" w:rsidRPr="00731644">
        <w:rPr>
          <w:lang w:val="fr-CH"/>
        </w:rPr>
        <w:t xml:space="preserve"> données présentées dans le rapport initial</w:t>
      </w:r>
      <w:r w:rsidRPr="00731644">
        <w:rPr>
          <w:rStyle w:val="FootnoteReference"/>
          <w:lang w:val="fr-CH"/>
        </w:rPr>
        <w:footnoteReference w:id="5"/>
      </w:r>
      <w:r w:rsidR="00714665" w:rsidRPr="00731644">
        <w:rPr>
          <w:lang w:val="fr-CH"/>
        </w:rPr>
        <w:t>, la structure ethnique du pays</w:t>
      </w:r>
      <w:r w:rsidRPr="00731644">
        <w:rPr>
          <w:lang w:val="fr-CH"/>
        </w:rPr>
        <w:t xml:space="preserve"> </w:t>
      </w:r>
      <w:r w:rsidR="00D521BE" w:rsidRPr="00731644">
        <w:rPr>
          <w:lang w:val="fr-CH"/>
        </w:rPr>
        <w:t>a probablement</w:t>
      </w:r>
      <w:r w:rsidR="00A30479" w:rsidRPr="00731644">
        <w:rPr>
          <w:lang w:val="fr-CH"/>
        </w:rPr>
        <w:t xml:space="preserve"> </w:t>
      </w:r>
      <w:r w:rsidR="00D521BE" w:rsidRPr="00731644">
        <w:rPr>
          <w:lang w:val="fr-CH"/>
        </w:rPr>
        <w:t>enregistré</w:t>
      </w:r>
      <w:r w:rsidR="00A30479" w:rsidRPr="00731644">
        <w:rPr>
          <w:lang w:val="fr-CH"/>
        </w:rPr>
        <w:t xml:space="preserve"> des changements</w:t>
      </w:r>
      <w:r w:rsidR="00F31DD5" w:rsidRPr="00731644">
        <w:rPr>
          <w:lang w:val="fr-CH"/>
        </w:rPr>
        <w:t xml:space="preserve"> – </w:t>
      </w:r>
      <w:r w:rsidR="00714665" w:rsidRPr="00731644">
        <w:rPr>
          <w:lang w:val="fr-CH"/>
        </w:rPr>
        <w:t>que seul</w:t>
      </w:r>
      <w:r w:rsidR="00562786" w:rsidRPr="00731644">
        <w:rPr>
          <w:lang w:val="fr-CH"/>
        </w:rPr>
        <w:t xml:space="preserve">s </w:t>
      </w:r>
      <w:r w:rsidR="00A30479" w:rsidRPr="00731644">
        <w:rPr>
          <w:lang w:val="fr-CH"/>
        </w:rPr>
        <w:t xml:space="preserve">cependant </w:t>
      </w:r>
      <w:r w:rsidR="00562786" w:rsidRPr="00731644">
        <w:rPr>
          <w:lang w:val="fr-CH"/>
        </w:rPr>
        <w:t>l</w:t>
      </w:r>
      <w:r w:rsidR="00714665" w:rsidRPr="00731644">
        <w:rPr>
          <w:lang w:val="fr-CH"/>
        </w:rPr>
        <w:t xml:space="preserve">es </w:t>
      </w:r>
      <w:r w:rsidR="00A66512" w:rsidRPr="00731644">
        <w:rPr>
          <w:lang w:val="fr-CH"/>
        </w:rPr>
        <w:t>résultats</w:t>
      </w:r>
      <w:r w:rsidR="00714665" w:rsidRPr="00731644">
        <w:rPr>
          <w:lang w:val="fr-CH"/>
        </w:rPr>
        <w:t xml:space="preserve"> officiels du recensement </w:t>
      </w:r>
      <w:r w:rsidR="00A30479" w:rsidRPr="00731644">
        <w:rPr>
          <w:lang w:val="fr-CH"/>
        </w:rPr>
        <w:t>effectu</w:t>
      </w:r>
      <w:r w:rsidR="00714665" w:rsidRPr="00731644">
        <w:rPr>
          <w:lang w:val="fr-CH"/>
        </w:rPr>
        <w:t>é en avril</w:t>
      </w:r>
      <w:r w:rsidRPr="00731644">
        <w:rPr>
          <w:lang w:val="fr-CH"/>
        </w:rPr>
        <w:t xml:space="preserve"> 2011</w:t>
      </w:r>
      <w:r w:rsidR="00714665" w:rsidRPr="00731644">
        <w:rPr>
          <w:lang w:val="fr-CH"/>
        </w:rPr>
        <w:t xml:space="preserve"> permettr</w:t>
      </w:r>
      <w:r w:rsidR="00562786" w:rsidRPr="00731644">
        <w:rPr>
          <w:lang w:val="fr-CH"/>
        </w:rPr>
        <w:t>ont</w:t>
      </w:r>
      <w:r w:rsidR="00714665" w:rsidRPr="00731644">
        <w:rPr>
          <w:lang w:val="fr-CH"/>
        </w:rPr>
        <w:t xml:space="preserve"> de confirmer.</w:t>
      </w:r>
      <w:r w:rsidRPr="00731644">
        <w:rPr>
          <w:lang w:val="fr-CH"/>
        </w:rPr>
        <w:t xml:space="preserve"> </w:t>
      </w:r>
      <w:r w:rsidR="00562786" w:rsidRPr="00731644">
        <w:rPr>
          <w:lang w:val="fr-CH"/>
        </w:rPr>
        <w:t xml:space="preserve">Il ne serait pas réaliste </w:t>
      </w:r>
      <w:r w:rsidR="00D521BE" w:rsidRPr="00731644">
        <w:rPr>
          <w:lang w:val="fr-CH"/>
        </w:rPr>
        <w:t xml:space="preserve">de vouloir </w:t>
      </w:r>
      <w:r w:rsidR="00562786" w:rsidRPr="00731644">
        <w:rPr>
          <w:lang w:val="fr-CH"/>
        </w:rPr>
        <w:t>évaluer l</w:t>
      </w:r>
      <w:r w:rsidR="00425386" w:rsidRPr="00731644">
        <w:rPr>
          <w:lang w:val="fr-CH"/>
        </w:rPr>
        <w:t>’</w:t>
      </w:r>
      <w:r w:rsidR="00562786" w:rsidRPr="00731644">
        <w:rPr>
          <w:lang w:val="fr-CH"/>
        </w:rPr>
        <w:t>ampleur de l</w:t>
      </w:r>
      <w:r w:rsidR="00425386" w:rsidRPr="00731644">
        <w:rPr>
          <w:lang w:val="fr-CH"/>
        </w:rPr>
        <w:t>’</w:t>
      </w:r>
      <w:r w:rsidR="00562786" w:rsidRPr="00731644">
        <w:rPr>
          <w:lang w:val="fr-CH"/>
        </w:rPr>
        <w:t>é</w:t>
      </w:r>
      <w:r w:rsidR="00A30479" w:rsidRPr="00731644">
        <w:rPr>
          <w:lang w:val="fr-CH"/>
        </w:rPr>
        <w:t>volution intervenue depuis le dernier</w:t>
      </w:r>
      <w:r w:rsidR="00562786" w:rsidRPr="00731644">
        <w:rPr>
          <w:lang w:val="fr-CH"/>
        </w:rPr>
        <w:t xml:space="preserve"> recensement</w:t>
      </w:r>
      <w:r w:rsidR="005157AF" w:rsidRPr="00731644">
        <w:rPr>
          <w:lang w:val="fr-CH"/>
        </w:rPr>
        <w:t xml:space="preserve"> (</w:t>
      </w:r>
      <w:r w:rsidRPr="00731644">
        <w:rPr>
          <w:lang w:val="fr-CH"/>
        </w:rPr>
        <w:t>2003</w:t>
      </w:r>
      <w:r w:rsidR="005157AF" w:rsidRPr="00731644">
        <w:rPr>
          <w:lang w:val="fr-CH"/>
        </w:rPr>
        <w:t>)</w:t>
      </w:r>
      <w:r w:rsidRPr="00731644">
        <w:rPr>
          <w:lang w:val="fr-CH"/>
        </w:rPr>
        <w:t xml:space="preserve">, </w:t>
      </w:r>
      <w:r w:rsidR="005157AF" w:rsidRPr="00731644">
        <w:rPr>
          <w:lang w:val="fr-CH"/>
        </w:rPr>
        <w:t xml:space="preserve">mais celle-ci paraît attestée par </w:t>
      </w:r>
      <w:r w:rsidR="00562786" w:rsidRPr="00731644">
        <w:rPr>
          <w:lang w:val="fr-CH"/>
        </w:rPr>
        <w:t>l</w:t>
      </w:r>
      <w:r w:rsidR="00425386" w:rsidRPr="00731644">
        <w:rPr>
          <w:lang w:val="fr-CH"/>
        </w:rPr>
        <w:t>’</w:t>
      </w:r>
      <w:r w:rsidR="00285B03" w:rsidRPr="00731644">
        <w:rPr>
          <w:lang w:val="fr-CH"/>
        </w:rPr>
        <w:t xml:space="preserve">augmentation générale </w:t>
      </w:r>
      <w:r w:rsidR="00562786" w:rsidRPr="00731644">
        <w:rPr>
          <w:lang w:val="fr-CH"/>
        </w:rPr>
        <w:t xml:space="preserve">de la population du </w:t>
      </w:r>
      <w:r w:rsidR="005157AF" w:rsidRPr="00731644">
        <w:rPr>
          <w:lang w:val="fr-CH"/>
        </w:rPr>
        <w:t>pays</w:t>
      </w:r>
      <w:r w:rsidRPr="00731644">
        <w:rPr>
          <w:rStyle w:val="FootnoteReference"/>
          <w:lang w:val="fr-CH"/>
        </w:rPr>
        <w:footnoteReference w:id="6"/>
      </w:r>
      <w:r w:rsidR="00562786" w:rsidRPr="00731644">
        <w:rPr>
          <w:lang w:val="fr-CH"/>
        </w:rPr>
        <w:t>. De même, la structure démographique a été estimée à la lumière de l</w:t>
      </w:r>
      <w:r w:rsidR="00425386" w:rsidRPr="00731644">
        <w:rPr>
          <w:lang w:val="fr-CH"/>
        </w:rPr>
        <w:t>’</w:t>
      </w:r>
      <w:r w:rsidR="00562786" w:rsidRPr="00731644">
        <w:rPr>
          <w:lang w:val="fr-CH"/>
        </w:rPr>
        <w:t xml:space="preserve">enquête officielle </w:t>
      </w:r>
      <w:r w:rsidR="00285B03" w:rsidRPr="00731644">
        <w:rPr>
          <w:lang w:val="fr-CH"/>
        </w:rPr>
        <w:t>men</w:t>
      </w:r>
      <w:r w:rsidR="00393FE6" w:rsidRPr="00731644">
        <w:rPr>
          <w:lang w:val="fr-CH"/>
        </w:rPr>
        <w:t>ée par l</w:t>
      </w:r>
      <w:r w:rsidR="00425386" w:rsidRPr="00731644">
        <w:rPr>
          <w:lang w:val="fr-CH"/>
        </w:rPr>
        <w:t>’</w:t>
      </w:r>
      <w:r w:rsidR="0082361D" w:rsidRPr="00731644">
        <w:rPr>
          <w:lang w:val="fr-CH"/>
        </w:rPr>
        <w:t>O</w:t>
      </w:r>
      <w:r w:rsidR="00393FE6" w:rsidRPr="00731644">
        <w:rPr>
          <w:lang w:val="fr-CH"/>
        </w:rPr>
        <w:t xml:space="preserve">ffice </w:t>
      </w:r>
      <w:r w:rsidR="0082361D" w:rsidRPr="00731644">
        <w:rPr>
          <w:lang w:val="fr-CH"/>
        </w:rPr>
        <w:t xml:space="preserve">de </w:t>
      </w:r>
      <w:r w:rsidR="00393FE6" w:rsidRPr="00731644">
        <w:rPr>
          <w:lang w:val="fr-CH"/>
        </w:rPr>
        <w:t>statistique du Monténégro</w:t>
      </w:r>
      <w:r w:rsidR="00540DAA" w:rsidRPr="00731644">
        <w:rPr>
          <w:lang w:val="fr-CH"/>
        </w:rPr>
        <w:t xml:space="preserve"> </w:t>
      </w:r>
      <w:r w:rsidR="00393FE6" w:rsidRPr="00731644">
        <w:rPr>
          <w:lang w:val="fr-CH"/>
        </w:rPr>
        <w:t xml:space="preserve">(MONSTAT) en 2008 </w:t>
      </w:r>
      <w:r w:rsidR="00285B03" w:rsidRPr="00731644">
        <w:rPr>
          <w:lang w:val="fr-CH"/>
        </w:rPr>
        <w:t>en vue</w:t>
      </w:r>
      <w:r w:rsidR="00540DAA" w:rsidRPr="00731644">
        <w:rPr>
          <w:lang w:val="fr-CH"/>
        </w:rPr>
        <w:t xml:space="preserve"> de la création de </w:t>
      </w:r>
      <w:r w:rsidR="00E843D5" w:rsidRPr="00731644">
        <w:rPr>
          <w:lang w:val="fr-CH"/>
        </w:rPr>
        <w:t>la</w:t>
      </w:r>
      <w:r w:rsidRPr="00731644">
        <w:rPr>
          <w:lang w:val="fr-CH"/>
        </w:rPr>
        <w:t xml:space="preserve"> </w:t>
      </w:r>
      <w:r w:rsidR="002061AB">
        <w:rPr>
          <w:lang w:val="fr-CH"/>
        </w:rPr>
        <w:t>«</w:t>
      </w:r>
      <w:r w:rsidR="00E843D5" w:rsidRPr="00731644">
        <w:rPr>
          <w:lang w:val="fr-CH"/>
        </w:rPr>
        <w:t>B</w:t>
      </w:r>
      <w:r w:rsidR="00540DAA" w:rsidRPr="00731644">
        <w:rPr>
          <w:lang w:val="fr-CH"/>
        </w:rPr>
        <w:t xml:space="preserve">ase de données </w:t>
      </w:r>
      <w:r w:rsidR="00E843D5" w:rsidRPr="00731644">
        <w:rPr>
          <w:lang w:val="fr-CH"/>
        </w:rPr>
        <w:t>relatives</w:t>
      </w:r>
      <w:r w:rsidR="00393FE6" w:rsidRPr="00731644">
        <w:rPr>
          <w:lang w:val="fr-CH"/>
        </w:rPr>
        <w:t xml:space="preserve"> </w:t>
      </w:r>
      <w:r w:rsidR="00E843D5" w:rsidRPr="00731644">
        <w:rPr>
          <w:lang w:val="fr-CH"/>
        </w:rPr>
        <w:t>aux populations</w:t>
      </w:r>
      <w:r w:rsidR="00393FE6" w:rsidRPr="00731644">
        <w:rPr>
          <w:lang w:val="fr-CH"/>
        </w:rPr>
        <w:t xml:space="preserve"> rom, ashkali et </w:t>
      </w:r>
      <w:r w:rsidR="007E0AFD" w:rsidRPr="00731644">
        <w:rPr>
          <w:lang w:val="fr-CH"/>
        </w:rPr>
        <w:t>tziga</w:t>
      </w:r>
      <w:r w:rsidR="00393FE6" w:rsidRPr="00731644">
        <w:rPr>
          <w:lang w:val="fr-CH"/>
        </w:rPr>
        <w:t>ne au Monténégro</w:t>
      </w:r>
      <w:r w:rsidR="002061AB">
        <w:rPr>
          <w:lang w:val="fr-CH"/>
        </w:rPr>
        <w:t>»</w:t>
      </w:r>
      <w:r w:rsidRPr="00731644">
        <w:rPr>
          <w:rStyle w:val="FootnoteReference"/>
          <w:lang w:val="fr-CH"/>
        </w:rPr>
        <w:footnoteReference w:id="7"/>
      </w:r>
      <w:r w:rsidR="00393FE6" w:rsidRPr="00731644">
        <w:rPr>
          <w:lang w:val="fr-CH"/>
        </w:rPr>
        <w:t xml:space="preserve">. Ce projet a été exécuté en </w:t>
      </w:r>
      <w:r w:rsidRPr="00731644">
        <w:rPr>
          <w:lang w:val="fr-CH"/>
        </w:rPr>
        <w:t>coop</w:t>
      </w:r>
      <w:r w:rsidR="00393FE6" w:rsidRPr="00731644">
        <w:rPr>
          <w:lang w:val="fr-CH"/>
        </w:rPr>
        <w:t>é</w:t>
      </w:r>
      <w:r w:rsidRPr="00731644">
        <w:rPr>
          <w:lang w:val="fr-CH"/>
        </w:rPr>
        <w:t xml:space="preserve">ration </w:t>
      </w:r>
      <w:r w:rsidR="00393FE6" w:rsidRPr="00731644">
        <w:rPr>
          <w:lang w:val="fr-CH"/>
        </w:rPr>
        <w:t xml:space="preserve">avec des organisations non </w:t>
      </w:r>
      <w:r w:rsidR="00A66512" w:rsidRPr="00731644">
        <w:rPr>
          <w:lang w:val="fr-CH"/>
        </w:rPr>
        <w:t>gouvernementales</w:t>
      </w:r>
      <w:r w:rsidR="00393FE6" w:rsidRPr="00731644">
        <w:rPr>
          <w:lang w:val="fr-CH"/>
        </w:rPr>
        <w:t xml:space="preserve"> roms, le Conseil des Roms au Monténégro et d</w:t>
      </w:r>
      <w:r w:rsidR="00425386" w:rsidRPr="00731644">
        <w:rPr>
          <w:lang w:val="fr-CH"/>
        </w:rPr>
        <w:t>’</w:t>
      </w:r>
      <w:r w:rsidR="00393FE6" w:rsidRPr="00731644">
        <w:rPr>
          <w:lang w:val="fr-CH"/>
        </w:rPr>
        <w:t>autres institutio</w:t>
      </w:r>
      <w:r w:rsidR="00E843D5" w:rsidRPr="00731644">
        <w:rPr>
          <w:lang w:val="fr-CH"/>
        </w:rPr>
        <w:t>n</w:t>
      </w:r>
      <w:r w:rsidR="00393FE6" w:rsidRPr="00731644">
        <w:rPr>
          <w:lang w:val="fr-CH"/>
        </w:rPr>
        <w:t xml:space="preserve">s </w:t>
      </w:r>
      <w:r w:rsidR="00E843D5" w:rsidRPr="00731644">
        <w:rPr>
          <w:lang w:val="fr-CH"/>
        </w:rPr>
        <w:t>à même</w:t>
      </w:r>
      <w:r w:rsidR="00393FE6" w:rsidRPr="00731644">
        <w:rPr>
          <w:lang w:val="fr-CH"/>
        </w:rPr>
        <w:t xml:space="preserve"> de fournir des données sur les caractéristiques démographiques, éducatives, ethniques, culturelles, économiques et autres de ce</w:t>
      </w:r>
      <w:r w:rsidR="00E843D5" w:rsidRPr="00731644">
        <w:rPr>
          <w:lang w:val="fr-CH"/>
        </w:rPr>
        <w:t>s</w:t>
      </w:r>
      <w:r w:rsidR="00393FE6" w:rsidRPr="00731644">
        <w:rPr>
          <w:lang w:val="fr-CH"/>
        </w:rPr>
        <w:t xml:space="preserve"> population</w:t>
      </w:r>
      <w:r w:rsidR="00E843D5" w:rsidRPr="00731644">
        <w:rPr>
          <w:lang w:val="fr-CH"/>
        </w:rPr>
        <w:t>s</w:t>
      </w:r>
      <w:r w:rsidR="00393FE6" w:rsidRPr="00731644">
        <w:rPr>
          <w:lang w:val="fr-CH"/>
        </w:rPr>
        <w:t xml:space="preserve">. </w:t>
      </w:r>
    </w:p>
    <w:p w:rsidR="00E707D7" w:rsidRPr="00731644" w:rsidRDefault="00E707D7" w:rsidP="00365E1F">
      <w:pPr>
        <w:pStyle w:val="SingleTxtG"/>
        <w:rPr>
          <w:lang w:val="fr-CH"/>
        </w:rPr>
      </w:pPr>
      <w:r w:rsidRPr="00731644">
        <w:rPr>
          <w:iCs/>
          <w:lang w:val="fr-CH"/>
        </w:rPr>
        <w:t>2.</w:t>
      </w:r>
      <w:r w:rsidRPr="00731644">
        <w:rPr>
          <w:iCs/>
          <w:lang w:val="fr-CH"/>
        </w:rPr>
        <w:tab/>
      </w:r>
      <w:r w:rsidR="00E843D5" w:rsidRPr="00731644">
        <w:rPr>
          <w:iCs/>
          <w:lang w:val="fr-CH"/>
        </w:rPr>
        <w:t>Dans l</w:t>
      </w:r>
      <w:r w:rsidR="00425386" w:rsidRPr="00731644">
        <w:rPr>
          <w:iCs/>
          <w:lang w:val="fr-CH"/>
        </w:rPr>
        <w:t>’</w:t>
      </w:r>
      <w:r w:rsidR="00E843D5" w:rsidRPr="00731644">
        <w:rPr>
          <w:iCs/>
          <w:lang w:val="fr-CH"/>
        </w:rPr>
        <w:t>ensemble, l</w:t>
      </w:r>
      <w:r w:rsidR="0082361D" w:rsidRPr="00731644">
        <w:rPr>
          <w:iCs/>
          <w:lang w:val="fr-CH"/>
        </w:rPr>
        <w:t xml:space="preserve">e cadre constitutionnel de la mise en </w:t>
      </w:r>
      <w:r w:rsidR="00A66512" w:rsidRPr="00731644">
        <w:rPr>
          <w:iCs/>
          <w:lang w:val="fr-CH"/>
        </w:rPr>
        <w:t>œuvre</w:t>
      </w:r>
      <w:r w:rsidR="0082361D" w:rsidRPr="00731644">
        <w:rPr>
          <w:iCs/>
          <w:lang w:val="fr-CH"/>
        </w:rPr>
        <w:t xml:space="preserve"> des droits de l</w:t>
      </w:r>
      <w:r w:rsidR="00425386" w:rsidRPr="00731644">
        <w:rPr>
          <w:iCs/>
          <w:lang w:val="fr-CH"/>
        </w:rPr>
        <w:t>’</w:t>
      </w:r>
      <w:r w:rsidR="0082361D" w:rsidRPr="00731644">
        <w:rPr>
          <w:iCs/>
          <w:lang w:val="fr-CH"/>
        </w:rPr>
        <w:t xml:space="preserve">homme </w:t>
      </w:r>
      <w:r w:rsidR="00E843D5" w:rsidRPr="00731644">
        <w:rPr>
          <w:iCs/>
          <w:lang w:val="fr-CH"/>
        </w:rPr>
        <w:t>n</w:t>
      </w:r>
      <w:r w:rsidR="00425386" w:rsidRPr="00731644">
        <w:rPr>
          <w:iCs/>
          <w:lang w:val="fr-CH"/>
        </w:rPr>
        <w:t>’</w:t>
      </w:r>
      <w:r w:rsidR="00E843D5" w:rsidRPr="00731644">
        <w:rPr>
          <w:iCs/>
          <w:lang w:val="fr-CH"/>
        </w:rPr>
        <w:t xml:space="preserve">a pas </w:t>
      </w:r>
      <w:r w:rsidR="0082361D" w:rsidRPr="00731644">
        <w:rPr>
          <w:iCs/>
          <w:lang w:val="fr-CH"/>
        </w:rPr>
        <w:t xml:space="preserve">changé. Rappelons que le Monténégro est un État dont la Constitution affirme la primauté du droit international </w:t>
      </w:r>
      <w:r w:rsidRPr="00731644">
        <w:rPr>
          <w:iCs/>
          <w:lang w:val="fr-CH"/>
        </w:rPr>
        <w:t>(</w:t>
      </w:r>
      <w:r w:rsidR="0082361D" w:rsidRPr="00731644">
        <w:rPr>
          <w:iCs/>
          <w:lang w:val="fr-CH"/>
        </w:rPr>
        <w:t>c</w:t>
      </w:r>
      <w:r w:rsidR="00425386" w:rsidRPr="00731644">
        <w:rPr>
          <w:iCs/>
          <w:lang w:val="fr-CH"/>
        </w:rPr>
        <w:t>’</w:t>
      </w:r>
      <w:r w:rsidR="0082361D" w:rsidRPr="00731644">
        <w:rPr>
          <w:iCs/>
          <w:lang w:val="fr-CH"/>
        </w:rPr>
        <w:t>est-à-dire des accords internationaux conclus, ratifiés et publiés</w:t>
      </w:r>
      <w:r w:rsidRPr="00731644">
        <w:rPr>
          <w:iCs/>
          <w:lang w:val="fr-CH"/>
        </w:rPr>
        <w:t xml:space="preserve">) </w:t>
      </w:r>
      <w:r w:rsidR="0082361D" w:rsidRPr="00731644">
        <w:rPr>
          <w:iCs/>
          <w:lang w:val="fr-CH"/>
        </w:rPr>
        <w:t>sur la législation</w:t>
      </w:r>
      <w:r w:rsidRPr="00731644">
        <w:rPr>
          <w:iCs/>
          <w:lang w:val="fr-CH"/>
        </w:rPr>
        <w:t xml:space="preserve"> national</w:t>
      </w:r>
      <w:r w:rsidR="0082361D" w:rsidRPr="00731644">
        <w:rPr>
          <w:iCs/>
          <w:lang w:val="fr-CH"/>
        </w:rPr>
        <w:t>e</w:t>
      </w:r>
      <w:r w:rsidR="00F31DD5" w:rsidRPr="00731644">
        <w:rPr>
          <w:iCs/>
          <w:lang w:val="fr-CH"/>
        </w:rPr>
        <w:t>;</w:t>
      </w:r>
      <w:r w:rsidR="0082361D" w:rsidRPr="00731644">
        <w:rPr>
          <w:iCs/>
          <w:lang w:val="fr-CH"/>
        </w:rPr>
        <w:t xml:space="preserve"> il s</w:t>
      </w:r>
      <w:r w:rsidR="00425386" w:rsidRPr="00731644">
        <w:rPr>
          <w:iCs/>
          <w:lang w:val="fr-CH"/>
        </w:rPr>
        <w:t>’</w:t>
      </w:r>
      <w:r w:rsidR="0082361D" w:rsidRPr="00731644">
        <w:rPr>
          <w:iCs/>
          <w:lang w:val="fr-CH"/>
        </w:rPr>
        <w:t>ensuit que les dispositions de ces instruments s</w:t>
      </w:r>
      <w:r w:rsidR="00425386" w:rsidRPr="00731644">
        <w:rPr>
          <w:iCs/>
          <w:lang w:val="fr-CH"/>
        </w:rPr>
        <w:t>’</w:t>
      </w:r>
      <w:r w:rsidR="0082361D" w:rsidRPr="00731644">
        <w:rPr>
          <w:iCs/>
          <w:lang w:val="fr-CH"/>
        </w:rPr>
        <w:t>appliquent directement</w:t>
      </w:r>
      <w:r w:rsidR="00F31DD5" w:rsidRPr="00731644">
        <w:rPr>
          <w:iCs/>
          <w:lang w:val="fr-CH"/>
        </w:rPr>
        <w:t xml:space="preserve"> </w:t>
      </w:r>
      <w:r w:rsidR="00E843D5" w:rsidRPr="00731644">
        <w:rPr>
          <w:iCs/>
          <w:lang w:val="fr-CH"/>
        </w:rPr>
        <w:t xml:space="preserve">chaque fois </w:t>
      </w:r>
      <w:r w:rsidR="0082361D" w:rsidRPr="00731644">
        <w:rPr>
          <w:iCs/>
          <w:lang w:val="fr-CH"/>
        </w:rPr>
        <w:t>qu</w:t>
      </w:r>
      <w:r w:rsidR="00425386" w:rsidRPr="00731644">
        <w:rPr>
          <w:iCs/>
          <w:lang w:val="fr-CH"/>
        </w:rPr>
        <w:t>’</w:t>
      </w:r>
      <w:r w:rsidR="0082361D" w:rsidRPr="00731644">
        <w:rPr>
          <w:iCs/>
          <w:lang w:val="fr-CH"/>
        </w:rPr>
        <w:t>une question est</w:t>
      </w:r>
      <w:r w:rsidR="00F31DD5" w:rsidRPr="00731644">
        <w:rPr>
          <w:iCs/>
          <w:lang w:val="fr-CH"/>
        </w:rPr>
        <w:t xml:space="preserve"> </w:t>
      </w:r>
      <w:r w:rsidR="0082361D" w:rsidRPr="00731644">
        <w:rPr>
          <w:iCs/>
          <w:lang w:val="fr-CH"/>
        </w:rPr>
        <w:t xml:space="preserve">réglée différemment par la législation nationale </w:t>
      </w:r>
      <w:r w:rsidR="00F31DD5" w:rsidRPr="00731644">
        <w:rPr>
          <w:iCs/>
          <w:lang w:val="fr-CH"/>
        </w:rPr>
        <w:t>(art. </w:t>
      </w:r>
      <w:r w:rsidRPr="00731644">
        <w:rPr>
          <w:iCs/>
          <w:lang w:val="fr-CH"/>
        </w:rPr>
        <w:t xml:space="preserve">9 </w:t>
      </w:r>
      <w:r w:rsidR="0082361D" w:rsidRPr="00731644">
        <w:rPr>
          <w:iCs/>
          <w:lang w:val="fr-CH"/>
        </w:rPr>
        <w:t>de la</w:t>
      </w:r>
      <w:r w:rsidRPr="00731644">
        <w:rPr>
          <w:iCs/>
          <w:lang w:val="fr-CH"/>
        </w:rPr>
        <w:t xml:space="preserve"> Constitution). </w:t>
      </w:r>
      <w:r w:rsidR="0082361D" w:rsidRPr="00731644">
        <w:rPr>
          <w:iCs/>
          <w:lang w:val="fr-CH"/>
        </w:rPr>
        <w:t>La</w:t>
      </w:r>
      <w:r w:rsidRPr="00731644">
        <w:rPr>
          <w:iCs/>
          <w:lang w:val="fr-CH"/>
        </w:rPr>
        <w:t xml:space="preserve"> Constitution</w:t>
      </w:r>
      <w:r w:rsidR="0082361D" w:rsidRPr="00731644">
        <w:rPr>
          <w:iCs/>
          <w:lang w:val="fr-CH"/>
        </w:rPr>
        <w:t xml:space="preserve"> prévoit aussi que les droits et libertés s</w:t>
      </w:r>
      <w:r w:rsidR="00425386" w:rsidRPr="00731644">
        <w:rPr>
          <w:iCs/>
          <w:lang w:val="fr-CH"/>
        </w:rPr>
        <w:t>’</w:t>
      </w:r>
      <w:r w:rsidR="0082361D" w:rsidRPr="00731644">
        <w:rPr>
          <w:iCs/>
          <w:lang w:val="fr-CH"/>
        </w:rPr>
        <w:t>exercent conformément à ses dispositions</w:t>
      </w:r>
      <w:r w:rsidRPr="00731644">
        <w:rPr>
          <w:iCs/>
          <w:lang w:val="fr-CH"/>
        </w:rPr>
        <w:t xml:space="preserve"> </w:t>
      </w:r>
      <w:r w:rsidR="0082361D" w:rsidRPr="00731644">
        <w:rPr>
          <w:iCs/>
          <w:lang w:val="fr-CH"/>
        </w:rPr>
        <w:t xml:space="preserve">et </w:t>
      </w:r>
      <w:r w:rsidR="00014435" w:rsidRPr="00731644">
        <w:rPr>
          <w:iCs/>
          <w:lang w:val="fr-CH"/>
        </w:rPr>
        <w:t>à celles</w:t>
      </w:r>
      <w:r w:rsidR="0082361D" w:rsidRPr="00731644">
        <w:rPr>
          <w:iCs/>
          <w:lang w:val="fr-CH"/>
        </w:rPr>
        <w:t xml:space="preserve"> des accords internationaux ratifiés. </w:t>
      </w:r>
      <w:r w:rsidR="00014435" w:rsidRPr="00731644">
        <w:rPr>
          <w:iCs/>
          <w:lang w:val="fr-CH"/>
        </w:rPr>
        <w:t xml:space="preserve">Son </w:t>
      </w:r>
      <w:r w:rsidR="001753EC">
        <w:rPr>
          <w:iCs/>
          <w:lang w:val="fr-CH"/>
        </w:rPr>
        <w:t>article </w:t>
      </w:r>
      <w:r w:rsidR="0082361D" w:rsidRPr="00731644">
        <w:rPr>
          <w:iCs/>
          <w:lang w:val="fr-CH"/>
        </w:rPr>
        <w:t>188</w:t>
      </w:r>
      <w:r w:rsidR="00946EC8" w:rsidRPr="00731644">
        <w:rPr>
          <w:iCs/>
          <w:lang w:val="fr-CH"/>
        </w:rPr>
        <w:t xml:space="preserve"> </w:t>
      </w:r>
      <w:r w:rsidR="00014435" w:rsidRPr="00731644">
        <w:rPr>
          <w:iCs/>
          <w:lang w:val="fr-CH"/>
        </w:rPr>
        <w:t>indique</w:t>
      </w:r>
      <w:r w:rsidR="00946EC8" w:rsidRPr="00731644">
        <w:rPr>
          <w:iCs/>
          <w:lang w:val="fr-CH"/>
        </w:rPr>
        <w:t xml:space="preserve"> que les tribunaux nationaux rendent </w:t>
      </w:r>
      <w:r w:rsidR="00014435" w:rsidRPr="00731644">
        <w:rPr>
          <w:iCs/>
          <w:lang w:val="fr-CH"/>
        </w:rPr>
        <w:t>le</w:t>
      </w:r>
      <w:r w:rsidR="00946EC8" w:rsidRPr="00731644">
        <w:rPr>
          <w:iCs/>
          <w:lang w:val="fr-CH"/>
        </w:rPr>
        <w:t>urs décisions sur la base de la Constitution</w:t>
      </w:r>
      <w:r w:rsidRPr="00731644">
        <w:rPr>
          <w:iCs/>
          <w:lang w:val="fr-CH"/>
        </w:rPr>
        <w:t xml:space="preserve">, </w:t>
      </w:r>
      <w:r w:rsidR="00946EC8" w:rsidRPr="00731644">
        <w:rPr>
          <w:iCs/>
          <w:lang w:val="fr-CH"/>
        </w:rPr>
        <w:t>de</w:t>
      </w:r>
      <w:r w:rsidR="00014435" w:rsidRPr="00731644">
        <w:rPr>
          <w:iCs/>
          <w:lang w:val="fr-CH"/>
        </w:rPr>
        <w:t xml:space="preserve"> la législation, </w:t>
      </w:r>
      <w:r w:rsidR="00946EC8" w:rsidRPr="00731644">
        <w:rPr>
          <w:iCs/>
          <w:lang w:val="fr-CH"/>
        </w:rPr>
        <w:t xml:space="preserve">et des instruments internationaux ratifiés et publiés. </w:t>
      </w:r>
    </w:p>
    <w:p w:rsidR="00E707D7" w:rsidRPr="00731644" w:rsidRDefault="00E707D7" w:rsidP="00134258">
      <w:pPr>
        <w:pStyle w:val="SingleTxtG"/>
        <w:rPr>
          <w:lang w:val="fr-CH"/>
        </w:rPr>
      </w:pPr>
      <w:r w:rsidRPr="00731644">
        <w:rPr>
          <w:lang w:val="fr-CH"/>
        </w:rPr>
        <w:t>3.</w:t>
      </w:r>
      <w:r w:rsidRPr="00731644">
        <w:rPr>
          <w:lang w:val="fr-CH"/>
        </w:rPr>
        <w:tab/>
      </w:r>
      <w:r w:rsidR="00946EC8" w:rsidRPr="00731644">
        <w:rPr>
          <w:lang w:val="fr-CH"/>
        </w:rPr>
        <w:t xml:space="preserve">La </w:t>
      </w:r>
      <w:r w:rsidR="00946EC8" w:rsidRPr="000D32F3">
        <w:rPr>
          <w:iCs/>
          <w:lang w:val="fr-CH"/>
        </w:rPr>
        <w:t xml:space="preserve">loi relative à la Cour constitutionnelle </w:t>
      </w:r>
      <w:r w:rsidRPr="00731644">
        <w:rPr>
          <w:lang w:val="fr-CH"/>
        </w:rPr>
        <w:t>(</w:t>
      </w:r>
      <w:r w:rsidR="00F31DD5" w:rsidRPr="00731644">
        <w:rPr>
          <w:lang w:val="fr-CH"/>
        </w:rPr>
        <w:t>art. </w:t>
      </w:r>
      <w:r w:rsidRPr="00731644">
        <w:rPr>
          <w:lang w:val="fr-CH"/>
        </w:rPr>
        <w:t xml:space="preserve">44) </w:t>
      </w:r>
      <w:r w:rsidR="00946EC8" w:rsidRPr="00731644">
        <w:rPr>
          <w:lang w:val="fr-CH"/>
        </w:rPr>
        <w:t xml:space="preserve">dispose que si, </w:t>
      </w:r>
      <w:r w:rsidR="00014435" w:rsidRPr="00731644">
        <w:rPr>
          <w:lang w:val="fr-CH"/>
        </w:rPr>
        <w:t>au cours d</w:t>
      </w:r>
      <w:r w:rsidR="00425386" w:rsidRPr="00731644">
        <w:rPr>
          <w:lang w:val="fr-CH"/>
        </w:rPr>
        <w:t>’</w:t>
      </w:r>
      <w:r w:rsidR="00014435" w:rsidRPr="00731644">
        <w:rPr>
          <w:lang w:val="fr-CH"/>
        </w:rPr>
        <w:t xml:space="preserve">un procès </w:t>
      </w:r>
      <w:r w:rsidR="00946EC8" w:rsidRPr="00731644">
        <w:rPr>
          <w:lang w:val="fr-CH"/>
        </w:rPr>
        <w:t>devant une juridiction nationale</w:t>
      </w:r>
      <w:r w:rsidR="006C1CFB" w:rsidRPr="00731644">
        <w:rPr>
          <w:lang w:val="fr-CH"/>
        </w:rPr>
        <w:t>, la question de la compatibilité d</w:t>
      </w:r>
      <w:r w:rsidR="00425386" w:rsidRPr="00731644">
        <w:rPr>
          <w:lang w:val="fr-CH"/>
        </w:rPr>
        <w:t>’</w:t>
      </w:r>
      <w:r w:rsidR="006C1CFB" w:rsidRPr="00731644">
        <w:rPr>
          <w:lang w:val="fr-CH"/>
        </w:rPr>
        <w:t xml:space="preserve">une loi avec la </w:t>
      </w:r>
      <w:r w:rsidRPr="00731644">
        <w:rPr>
          <w:lang w:val="fr-CH"/>
        </w:rPr>
        <w:t xml:space="preserve">Constitution </w:t>
      </w:r>
      <w:r w:rsidR="006C1CFB" w:rsidRPr="00731644">
        <w:rPr>
          <w:lang w:val="fr-CH"/>
        </w:rPr>
        <w:t>ou avec un accord international ratifié et publié, ou celle de la compa</w:t>
      </w:r>
      <w:r w:rsidR="00014435" w:rsidRPr="00731644">
        <w:rPr>
          <w:lang w:val="fr-CH"/>
        </w:rPr>
        <w:t>t</w:t>
      </w:r>
      <w:r w:rsidR="006C1CFB" w:rsidRPr="00731644">
        <w:rPr>
          <w:lang w:val="fr-CH"/>
        </w:rPr>
        <w:t>ibilité d</w:t>
      </w:r>
      <w:r w:rsidR="00425386" w:rsidRPr="00731644">
        <w:rPr>
          <w:lang w:val="fr-CH"/>
        </w:rPr>
        <w:t>’</w:t>
      </w:r>
      <w:r w:rsidR="006C1CFB" w:rsidRPr="00731644">
        <w:rPr>
          <w:lang w:val="fr-CH"/>
        </w:rPr>
        <w:t>un règlement avec la</w:t>
      </w:r>
      <w:r w:rsidRPr="00731644">
        <w:rPr>
          <w:lang w:val="fr-CH"/>
        </w:rPr>
        <w:t xml:space="preserve"> Constitution </w:t>
      </w:r>
      <w:r w:rsidR="006C1CFB" w:rsidRPr="00731644">
        <w:rPr>
          <w:lang w:val="fr-CH"/>
        </w:rPr>
        <w:t>ou avec la loi</w:t>
      </w:r>
      <w:r w:rsidR="00F31DD5" w:rsidRPr="00731644">
        <w:rPr>
          <w:lang w:val="fr-CH"/>
        </w:rPr>
        <w:t xml:space="preserve"> </w:t>
      </w:r>
      <w:r w:rsidR="006C1CFB" w:rsidRPr="00731644">
        <w:rPr>
          <w:lang w:val="fr-CH"/>
        </w:rPr>
        <w:t xml:space="preserve">est soulevée, cette juridiction suspend la procédure et engage une action en examen de la constitutionnalité ou de la légalité devant la Cour </w:t>
      </w:r>
      <w:r w:rsidR="00014435" w:rsidRPr="00731644">
        <w:rPr>
          <w:lang w:val="fr-CH"/>
        </w:rPr>
        <w:t>c</w:t>
      </w:r>
      <w:r w:rsidRPr="00731644">
        <w:rPr>
          <w:lang w:val="fr-CH"/>
        </w:rPr>
        <w:t>onstitution</w:t>
      </w:r>
      <w:r w:rsidR="006C1CFB" w:rsidRPr="00731644">
        <w:rPr>
          <w:lang w:val="fr-CH"/>
        </w:rPr>
        <w:t>nelle</w:t>
      </w:r>
      <w:r w:rsidRPr="00731644">
        <w:rPr>
          <w:lang w:val="fr-CH"/>
        </w:rPr>
        <w:t xml:space="preserve">. </w:t>
      </w:r>
      <w:r w:rsidR="006C1CFB" w:rsidRPr="00731644">
        <w:rPr>
          <w:lang w:val="fr-CH"/>
        </w:rPr>
        <w:t>Compte tenu cependant de</w:t>
      </w:r>
      <w:r w:rsidR="00014435" w:rsidRPr="00731644">
        <w:rPr>
          <w:lang w:val="fr-CH"/>
        </w:rPr>
        <w:t xml:space="preserve">s </w:t>
      </w:r>
      <w:r w:rsidR="006C1CFB" w:rsidRPr="00731644">
        <w:rPr>
          <w:lang w:val="fr-CH"/>
        </w:rPr>
        <w:t xml:space="preserve">dispositions de la </w:t>
      </w:r>
      <w:r w:rsidRPr="00731644">
        <w:rPr>
          <w:lang w:val="fr-CH"/>
        </w:rPr>
        <w:t xml:space="preserve">Constitution </w:t>
      </w:r>
      <w:r w:rsidR="006C1CFB" w:rsidRPr="00731644">
        <w:rPr>
          <w:lang w:val="fr-CH"/>
        </w:rPr>
        <w:t>relative</w:t>
      </w:r>
      <w:r w:rsidR="00014435" w:rsidRPr="00731644">
        <w:rPr>
          <w:lang w:val="fr-CH"/>
        </w:rPr>
        <w:t>s</w:t>
      </w:r>
      <w:r w:rsidR="006C1CFB" w:rsidRPr="00731644">
        <w:rPr>
          <w:lang w:val="fr-CH"/>
        </w:rPr>
        <w:t xml:space="preserve"> à l</w:t>
      </w:r>
      <w:r w:rsidR="00425386" w:rsidRPr="00731644">
        <w:rPr>
          <w:lang w:val="fr-CH"/>
        </w:rPr>
        <w:t>’</w:t>
      </w:r>
      <w:r w:rsidRPr="00731644">
        <w:rPr>
          <w:lang w:val="fr-CH"/>
        </w:rPr>
        <w:t xml:space="preserve">application </w:t>
      </w:r>
      <w:r w:rsidR="006C1CFB" w:rsidRPr="00731644">
        <w:rPr>
          <w:lang w:val="fr-CH"/>
        </w:rPr>
        <w:t>directe des traités internationaux, cette règle ne s</w:t>
      </w:r>
      <w:r w:rsidR="00425386" w:rsidRPr="00731644">
        <w:rPr>
          <w:lang w:val="fr-CH"/>
        </w:rPr>
        <w:t>’</w:t>
      </w:r>
      <w:r w:rsidR="006C1CFB" w:rsidRPr="00731644">
        <w:rPr>
          <w:lang w:val="fr-CH"/>
        </w:rPr>
        <w:t>applique que dans les cas dits limites, c</w:t>
      </w:r>
      <w:r w:rsidR="00425386" w:rsidRPr="00731644">
        <w:rPr>
          <w:lang w:val="fr-CH"/>
        </w:rPr>
        <w:t>’</w:t>
      </w:r>
      <w:r w:rsidR="006C1CFB" w:rsidRPr="00731644">
        <w:rPr>
          <w:lang w:val="fr-CH"/>
        </w:rPr>
        <w:t>est-à-dire lorsque le tribunal ne dispose par d</w:t>
      </w:r>
      <w:r w:rsidR="00425386" w:rsidRPr="00731644">
        <w:rPr>
          <w:lang w:val="fr-CH"/>
        </w:rPr>
        <w:t>’</w:t>
      </w:r>
      <w:r w:rsidR="006C1CFB" w:rsidRPr="00731644">
        <w:rPr>
          <w:lang w:val="fr-CH"/>
        </w:rPr>
        <w:t xml:space="preserve">éléments suffisants </w:t>
      </w:r>
      <w:r w:rsidR="009E2F5D" w:rsidRPr="00731644">
        <w:rPr>
          <w:lang w:val="fr-CH"/>
        </w:rPr>
        <w:t xml:space="preserve">ou </w:t>
      </w:r>
      <w:r w:rsidR="00657C4D" w:rsidRPr="00731644">
        <w:rPr>
          <w:lang w:val="fr-CH"/>
        </w:rPr>
        <w:t>qu</w:t>
      </w:r>
      <w:r w:rsidR="00425386" w:rsidRPr="00731644">
        <w:rPr>
          <w:lang w:val="fr-CH"/>
        </w:rPr>
        <w:t>’</w:t>
      </w:r>
      <w:r w:rsidR="00657C4D" w:rsidRPr="00731644">
        <w:rPr>
          <w:lang w:val="fr-CH"/>
        </w:rPr>
        <w:t xml:space="preserve">il </w:t>
      </w:r>
      <w:r w:rsidR="009E2F5D" w:rsidRPr="00731644">
        <w:rPr>
          <w:lang w:val="fr-CH"/>
        </w:rPr>
        <w:t>n</w:t>
      </w:r>
      <w:r w:rsidR="00425386" w:rsidRPr="00731644">
        <w:rPr>
          <w:lang w:val="fr-CH"/>
        </w:rPr>
        <w:t>’</w:t>
      </w:r>
      <w:r w:rsidR="009E2F5D" w:rsidRPr="00731644">
        <w:rPr>
          <w:lang w:val="fr-CH"/>
        </w:rPr>
        <w:t xml:space="preserve">est pas </w:t>
      </w:r>
      <w:r w:rsidR="00657C4D" w:rsidRPr="00731644">
        <w:rPr>
          <w:lang w:val="fr-CH"/>
        </w:rPr>
        <w:t>parfaitement au clair sur</w:t>
      </w:r>
      <w:r w:rsidR="009E2F5D" w:rsidRPr="00731644">
        <w:rPr>
          <w:lang w:val="fr-CH"/>
        </w:rPr>
        <w:t xml:space="preserve"> la p</w:t>
      </w:r>
      <w:r w:rsidR="00014435" w:rsidRPr="00731644">
        <w:rPr>
          <w:lang w:val="fr-CH"/>
        </w:rPr>
        <w:t>o</w:t>
      </w:r>
      <w:r w:rsidR="009E2F5D" w:rsidRPr="00731644">
        <w:rPr>
          <w:lang w:val="fr-CH"/>
        </w:rPr>
        <w:t xml:space="preserve">rtée et </w:t>
      </w:r>
      <w:r w:rsidR="00657C4D" w:rsidRPr="00731644">
        <w:rPr>
          <w:lang w:val="fr-CH"/>
        </w:rPr>
        <w:t>le</w:t>
      </w:r>
      <w:r w:rsidR="009E2F5D" w:rsidRPr="00731644">
        <w:rPr>
          <w:lang w:val="fr-CH"/>
        </w:rPr>
        <w:t xml:space="preserve"> contenu du droit protégé en cas d</w:t>
      </w:r>
      <w:r w:rsidR="00425386" w:rsidRPr="00731644">
        <w:rPr>
          <w:lang w:val="fr-CH"/>
        </w:rPr>
        <w:t>’</w:t>
      </w:r>
      <w:r w:rsidR="009E2F5D" w:rsidRPr="00731644">
        <w:rPr>
          <w:lang w:val="fr-CH"/>
        </w:rPr>
        <w:t xml:space="preserve">application directe du droit international. </w:t>
      </w:r>
      <w:r w:rsidR="00657C4D" w:rsidRPr="00731644">
        <w:rPr>
          <w:lang w:val="fr-CH"/>
        </w:rPr>
        <w:t>En pareille situation</w:t>
      </w:r>
      <w:r w:rsidR="009E2F5D" w:rsidRPr="00731644">
        <w:rPr>
          <w:lang w:val="fr-CH"/>
        </w:rPr>
        <w:t>, la Cour constitutionnelle engage une procédure d</w:t>
      </w:r>
      <w:r w:rsidR="00425386" w:rsidRPr="00731644">
        <w:rPr>
          <w:lang w:val="fr-CH"/>
        </w:rPr>
        <w:t>’</w:t>
      </w:r>
      <w:r w:rsidR="009E2F5D" w:rsidRPr="00731644">
        <w:rPr>
          <w:lang w:val="fr-CH"/>
        </w:rPr>
        <w:t>évaluation de la conformité du règlement interne à l</w:t>
      </w:r>
      <w:r w:rsidR="00425386" w:rsidRPr="00731644">
        <w:rPr>
          <w:lang w:val="fr-CH"/>
        </w:rPr>
        <w:t>’</w:t>
      </w:r>
      <w:r w:rsidR="009E2F5D" w:rsidRPr="00731644">
        <w:rPr>
          <w:lang w:val="fr-CH"/>
        </w:rPr>
        <w:t>accord international.</w:t>
      </w:r>
      <w:r w:rsidR="00F31DD5" w:rsidRPr="00731644">
        <w:rPr>
          <w:lang w:val="fr-CH"/>
        </w:rPr>
        <w:t xml:space="preserve"> </w:t>
      </w:r>
    </w:p>
    <w:p w:rsidR="00E707D7" w:rsidRPr="00731644" w:rsidRDefault="009654DE" w:rsidP="00E707D7">
      <w:pPr>
        <w:pStyle w:val="SingleTxtG"/>
        <w:rPr>
          <w:lang w:val="fr-CH"/>
        </w:rPr>
      </w:pPr>
      <w:r w:rsidRPr="00731644">
        <w:rPr>
          <w:lang w:val="fr-CH"/>
        </w:rPr>
        <w:t>4.</w:t>
      </w:r>
      <w:r w:rsidRPr="00731644">
        <w:rPr>
          <w:lang w:val="fr-CH"/>
        </w:rPr>
        <w:tab/>
      </w:r>
      <w:r w:rsidR="007E6C7F" w:rsidRPr="00731644">
        <w:rPr>
          <w:lang w:val="fr-CH"/>
        </w:rPr>
        <w:t>L</w:t>
      </w:r>
      <w:r w:rsidR="00425386" w:rsidRPr="00731644">
        <w:rPr>
          <w:lang w:val="fr-CH"/>
        </w:rPr>
        <w:t>’</w:t>
      </w:r>
      <w:r w:rsidR="007E6C7F" w:rsidRPr="00731644">
        <w:rPr>
          <w:lang w:val="fr-CH"/>
        </w:rPr>
        <w:t>exercice des droits de l</w:t>
      </w:r>
      <w:r w:rsidR="00425386" w:rsidRPr="00731644">
        <w:rPr>
          <w:lang w:val="fr-CH"/>
        </w:rPr>
        <w:t>’</w:t>
      </w:r>
      <w:r w:rsidR="007E6C7F" w:rsidRPr="00731644">
        <w:rPr>
          <w:lang w:val="fr-CH"/>
        </w:rPr>
        <w:t xml:space="preserve">homme et des libertés </w:t>
      </w:r>
      <w:r w:rsidR="00657C4D" w:rsidRPr="00731644">
        <w:rPr>
          <w:lang w:val="fr-CH"/>
        </w:rPr>
        <w:t xml:space="preserve">dont le respect </w:t>
      </w:r>
      <w:r w:rsidR="007E6C7F" w:rsidRPr="00731644">
        <w:rPr>
          <w:lang w:val="fr-CH"/>
        </w:rPr>
        <w:t>est garanti ne peut être re</w:t>
      </w:r>
      <w:r w:rsidR="00655E43">
        <w:rPr>
          <w:lang w:val="fr-CH"/>
        </w:rPr>
        <w:t>s</w:t>
      </w:r>
      <w:r w:rsidR="007E6C7F" w:rsidRPr="00731644">
        <w:rPr>
          <w:lang w:val="fr-CH"/>
        </w:rPr>
        <w:t xml:space="preserve">treint par la loi que dans les conditions </w:t>
      </w:r>
      <w:r w:rsidR="00657C4D" w:rsidRPr="00731644">
        <w:rPr>
          <w:lang w:val="fr-CH"/>
        </w:rPr>
        <w:t>permis</w:t>
      </w:r>
      <w:r w:rsidR="007E6C7F" w:rsidRPr="00731644">
        <w:rPr>
          <w:lang w:val="fr-CH"/>
        </w:rPr>
        <w:t xml:space="preserve">es par la </w:t>
      </w:r>
      <w:r w:rsidR="00E707D7" w:rsidRPr="00731644">
        <w:rPr>
          <w:lang w:val="fr-CH"/>
        </w:rPr>
        <w:t xml:space="preserve">Constitution </w:t>
      </w:r>
      <w:r w:rsidR="007E6C7F" w:rsidRPr="00731644">
        <w:rPr>
          <w:lang w:val="fr-CH"/>
        </w:rPr>
        <w:t>et les normes juridiques internationales, et seulement dans la mesure nécessaire pour répondre, dans une société démocratique ouverte et libre, aux fins auxquelles la restriction a été autorisée. Aucune limitation à d</w:t>
      </w:r>
      <w:r w:rsidR="00425386" w:rsidRPr="00731644">
        <w:rPr>
          <w:lang w:val="fr-CH"/>
        </w:rPr>
        <w:t>’</w:t>
      </w:r>
      <w:r w:rsidR="007E6C7F" w:rsidRPr="00731644">
        <w:rPr>
          <w:lang w:val="fr-CH"/>
        </w:rPr>
        <w:t xml:space="preserve">autres fins ne peut être </w:t>
      </w:r>
      <w:r w:rsidR="006845EE" w:rsidRPr="00731644">
        <w:rPr>
          <w:lang w:val="fr-CH"/>
        </w:rPr>
        <w:t>instaurée</w:t>
      </w:r>
      <w:r w:rsidR="00E707D7" w:rsidRPr="00731644">
        <w:rPr>
          <w:lang w:val="fr-CH"/>
        </w:rPr>
        <w:t xml:space="preserve">. </w:t>
      </w:r>
      <w:r w:rsidR="00581092" w:rsidRPr="00731644">
        <w:rPr>
          <w:lang w:val="fr-CH"/>
        </w:rPr>
        <w:t>En cas de guerre ou sous l</w:t>
      </w:r>
      <w:r w:rsidR="00425386" w:rsidRPr="00731644">
        <w:rPr>
          <w:lang w:val="fr-CH"/>
        </w:rPr>
        <w:t>’</w:t>
      </w:r>
      <w:r w:rsidR="00581092" w:rsidRPr="00731644">
        <w:rPr>
          <w:lang w:val="fr-CH"/>
        </w:rPr>
        <w:t>état d</w:t>
      </w:r>
      <w:r w:rsidR="00425386" w:rsidRPr="00731644">
        <w:rPr>
          <w:lang w:val="fr-CH"/>
        </w:rPr>
        <w:t>’</w:t>
      </w:r>
      <w:r w:rsidR="00581092" w:rsidRPr="00731644">
        <w:rPr>
          <w:lang w:val="fr-CH"/>
        </w:rPr>
        <w:t xml:space="preserve">urgence, des restrictions peuvent être apportées à la jouissance de certains droits et libertés, mais seulement dans la mesure nécessaire pour atteindre le but visé. Aucune limitation liée au sexe, à la nationalité, à la race, à la </w:t>
      </w:r>
      <w:r w:rsidR="00E707D7" w:rsidRPr="00731644">
        <w:rPr>
          <w:lang w:val="fr-CH"/>
        </w:rPr>
        <w:t>religion,</w:t>
      </w:r>
      <w:r w:rsidR="00581092" w:rsidRPr="00731644">
        <w:rPr>
          <w:lang w:val="fr-CH"/>
        </w:rPr>
        <w:t xml:space="preserve"> à la</w:t>
      </w:r>
      <w:r w:rsidR="00E707D7" w:rsidRPr="00731644">
        <w:rPr>
          <w:lang w:val="fr-CH"/>
        </w:rPr>
        <w:t xml:space="preserve"> langue, </w:t>
      </w:r>
      <w:r w:rsidR="00581092" w:rsidRPr="00731644">
        <w:rPr>
          <w:lang w:val="fr-CH"/>
        </w:rPr>
        <w:t>à l</w:t>
      </w:r>
      <w:r w:rsidR="00425386" w:rsidRPr="00731644">
        <w:rPr>
          <w:lang w:val="fr-CH"/>
        </w:rPr>
        <w:t>’</w:t>
      </w:r>
      <w:r w:rsidR="00581092" w:rsidRPr="00731644">
        <w:rPr>
          <w:lang w:val="fr-CH"/>
        </w:rPr>
        <w:t xml:space="preserve">origine ethnique ou sociale, aux opinions politiques ou autres, à la fortune ou à quelque autre caractéristique personnelle ne peut être imposée. </w:t>
      </w:r>
    </w:p>
    <w:p w:rsidR="00E707D7" w:rsidRPr="00731644" w:rsidRDefault="009654DE" w:rsidP="00CD3D3D">
      <w:pPr>
        <w:pStyle w:val="SingleTxtG"/>
        <w:rPr>
          <w:lang w:val="fr-CH"/>
        </w:rPr>
      </w:pPr>
      <w:r w:rsidRPr="00731644">
        <w:rPr>
          <w:lang w:val="fr-CH"/>
        </w:rPr>
        <w:t>5.</w:t>
      </w:r>
      <w:r w:rsidRPr="00731644">
        <w:rPr>
          <w:lang w:val="fr-CH"/>
        </w:rPr>
        <w:tab/>
      </w:r>
      <w:r w:rsidR="000A0716" w:rsidRPr="00731644">
        <w:rPr>
          <w:lang w:val="fr-CH"/>
        </w:rPr>
        <w:t>L</w:t>
      </w:r>
      <w:r w:rsidR="00425386" w:rsidRPr="00731644">
        <w:rPr>
          <w:lang w:val="fr-CH"/>
        </w:rPr>
        <w:t>’</w:t>
      </w:r>
      <w:r w:rsidR="001753EC">
        <w:rPr>
          <w:lang w:val="fr-CH"/>
        </w:rPr>
        <w:t>article </w:t>
      </w:r>
      <w:r w:rsidR="00E707D7" w:rsidRPr="00731644">
        <w:rPr>
          <w:lang w:val="fr-CH"/>
        </w:rPr>
        <w:t xml:space="preserve">25 </w:t>
      </w:r>
      <w:r w:rsidR="00581092" w:rsidRPr="00731644">
        <w:rPr>
          <w:lang w:val="fr-CH"/>
        </w:rPr>
        <w:t>de la</w:t>
      </w:r>
      <w:r w:rsidR="00E707D7" w:rsidRPr="00731644">
        <w:rPr>
          <w:lang w:val="fr-CH"/>
        </w:rPr>
        <w:t xml:space="preserve"> Constitution</w:t>
      </w:r>
      <w:r w:rsidR="000A0716" w:rsidRPr="00731644">
        <w:rPr>
          <w:lang w:val="fr-CH"/>
        </w:rPr>
        <w:t xml:space="preserve"> interdit de restreindre les droits</w:t>
      </w:r>
      <w:r w:rsidR="00F31DD5" w:rsidRPr="00731644">
        <w:rPr>
          <w:lang w:val="fr-CH"/>
        </w:rPr>
        <w:t>:</w:t>
      </w:r>
      <w:r w:rsidR="000A0716" w:rsidRPr="00731644">
        <w:rPr>
          <w:lang w:val="fr-CH"/>
        </w:rPr>
        <w:t xml:space="preserve"> à la vie, à un </w:t>
      </w:r>
      <w:r w:rsidR="00A66512" w:rsidRPr="00731644">
        <w:rPr>
          <w:lang w:val="fr-CH"/>
        </w:rPr>
        <w:t>recours</w:t>
      </w:r>
      <w:r w:rsidR="000A0716" w:rsidRPr="00731644">
        <w:rPr>
          <w:lang w:val="fr-CH"/>
        </w:rPr>
        <w:t xml:space="preserve"> judiciaire et à l</w:t>
      </w:r>
      <w:r w:rsidR="00425386" w:rsidRPr="00731644">
        <w:rPr>
          <w:lang w:val="fr-CH"/>
        </w:rPr>
        <w:t>’</w:t>
      </w:r>
      <w:r w:rsidR="000A0716" w:rsidRPr="00731644">
        <w:rPr>
          <w:lang w:val="fr-CH"/>
        </w:rPr>
        <w:t>assistance d</w:t>
      </w:r>
      <w:r w:rsidR="00425386" w:rsidRPr="00731644">
        <w:rPr>
          <w:lang w:val="fr-CH"/>
        </w:rPr>
        <w:t>’</w:t>
      </w:r>
      <w:r w:rsidR="000A0716" w:rsidRPr="00731644">
        <w:rPr>
          <w:lang w:val="fr-CH"/>
        </w:rPr>
        <w:t>un conseil</w:t>
      </w:r>
      <w:r w:rsidR="00F31DD5" w:rsidRPr="00731644">
        <w:rPr>
          <w:lang w:val="fr-CH"/>
        </w:rPr>
        <w:t>;</w:t>
      </w:r>
      <w:r w:rsidR="00E707D7" w:rsidRPr="00731644">
        <w:rPr>
          <w:lang w:val="fr-CH"/>
        </w:rPr>
        <w:t xml:space="preserve"> </w:t>
      </w:r>
      <w:r w:rsidR="000A0716" w:rsidRPr="00731644">
        <w:rPr>
          <w:lang w:val="fr-CH"/>
        </w:rPr>
        <w:t>à la dignité et au respect de la personne</w:t>
      </w:r>
      <w:r w:rsidR="00E707D7" w:rsidRPr="00731644">
        <w:rPr>
          <w:lang w:val="fr-CH"/>
        </w:rPr>
        <w:t xml:space="preserve">; </w:t>
      </w:r>
      <w:r w:rsidR="000A0716" w:rsidRPr="00731644">
        <w:rPr>
          <w:lang w:val="fr-CH"/>
        </w:rPr>
        <w:t>à un procès équitable et public et au principe de légalité</w:t>
      </w:r>
      <w:r w:rsidR="00F31DD5" w:rsidRPr="00731644">
        <w:rPr>
          <w:lang w:val="fr-CH"/>
        </w:rPr>
        <w:t>;</w:t>
      </w:r>
      <w:r w:rsidR="00E707D7" w:rsidRPr="00731644">
        <w:rPr>
          <w:lang w:val="fr-CH"/>
        </w:rPr>
        <w:t xml:space="preserve"> </w:t>
      </w:r>
      <w:r w:rsidR="000A0716" w:rsidRPr="00731644">
        <w:rPr>
          <w:lang w:val="fr-CH"/>
        </w:rPr>
        <w:t>à la présomption d</w:t>
      </w:r>
      <w:r w:rsidR="00425386" w:rsidRPr="00731644">
        <w:rPr>
          <w:lang w:val="fr-CH"/>
        </w:rPr>
        <w:t>’</w:t>
      </w:r>
      <w:r w:rsidR="00E707D7" w:rsidRPr="00731644">
        <w:rPr>
          <w:lang w:val="fr-CH"/>
        </w:rPr>
        <w:t>innocence</w:t>
      </w:r>
      <w:r w:rsidR="00F31DD5" w:rsidRPr="00731644">
        <w:rPr>
          <w:lang w:val="fr-CH"/>
        </w:rPr>
        <w:t>;</w:t>
      </w:r>
      <w:r w:rsidR="00E707D7" w:rsidRPr="00731644">
        <w:rPr>
          <w:lang w:val="fr-CH"/>
        </w:rPr>
        <w:t xml:space="preserve"> </w:t>
      </w:r>
      <w:r w:rsidR="000A0716" w:rsidRPr="00731644">
        <w:rPr>
          <w:lang w:val="fr-CH"/>
        </w:rPr>
        <w:t>à se défendre</w:t>
      </w:r>
      <w:r w:rsidR="00F31DD5" w:rsidRPr="00731644">
        <w:rPr>
          <w:lang w:val="fr-CH"/>
        </w:rPr>
        <w:t>;</w:t>
      </w:r>
      <w:r w:rsidR="00E707D7" w:rsidRPr="00731644">
        <w:rPr>
          <w:lang w:val="fr-CH"/>
        </w:rPr>
        <w:t xml:space="preserve"> </w:t>
      </w:r>
      <w:r w:rsidR="000A0716" w:rsidRPr="00731644">
        <w:rPr>
          <w:lang w:val="fr-CH"/>
        </w:rPr>
        <w:t>à réparation des dommages liés à une privation de liberté illégale ou arbitraire et à une condamnation injustifiée</w:t>
      </w:r>
      <w:r w:rsidR="00F31DD5" w:rsidRPr="00731644">
        <w:rPr>
          <w:lang w:val="fr-CH"/>
        </w:rPr>
        <w:t>;</w:t>
      </w:r>
      <w:r w:rsidR="00E707D7" w:rsidRPr="00731644">
        <w:rPr>
          <w:lang w:val="fr-CH"/>
        </w:rPr>
        <w:t xml:space="preserve"> </w:t>
      </w:r>
      <w:r w:rsidR="000A0716" w:rsidRPr="00731644">
        <w:rPr>
          <w:lang w:val="fr-CH"/>
        </w:rPr>
        <w:t xml:space="preserve">à la liberté de pensée, de </w:t>
      </w:r>
      <w:r w:rsidR="00E707D7" w:rsidRPr="00731644">
        <w:rPr>
          <w:lang w:val="fr-CH"/>
        </w:rPr>
        <w:t xml:space="preserve">conscience </w:t>
      </w:r>
      <w:r w:rsidR="000A0716" w:rsidRPr="00731644">
        <w:rPr>
          <w:lang w:val="fr-CH"/>
        </w:rPr>
        <w:t xml:space="preserve">et de </w:t>
      </w:r>
      <w:r w:rsidR="00E707D7" w:rsidRPr="00731644">
        <w:rPr>
          <w:lang w:val="fr-CH"/>
        </w:rPr>
        <w:t>religion</w:t>
      </w:r>
      <w:r w:rsidR="00F31DD5" w:rsidRPr="00731644">
        <w:rPr>
          <w:lang w:val="fr-CH"/>
        </w:rPr>
        <w:t>;</w:t>
      </w:r>
      <w:r w:rsidR="00E707D7" w:rsidRPr="00731644">
        <w:rPr>
          <w:lang w:val="fr-CH"/>
        </w:rPr>
        <w:t xml:space="preserve"> </w:t>
      </w:r>
      <w:r w:rsidR="000A0716" w:rsidRPr="00731644">
        <w:rPr>
          <w:lang w:val="fr-CH"/>
        </w:rPr>
        <w:t xml:space="preserve">au </w:t>
      </w:r>
      <w:r w:rsidR="00E707D7" w:rsidRPr="00731644">
        <w:rPr>
          <w:lang w:val="fr-CH"/>
        </w:rPr>
        <w:t xml:space="preserve">mariage. </w:t>
      </w:r>
      <w:r w:rsidR="002F66B8" w:rsidRPr="00731644">
        <w:rPr>
          <w:lang w:val="fr-CH"/>
        </w:rPr>
        <w:t xml:space="preserve">Ne peuvent être suspendues les interdictions qui </w:t>
      </w:r>
      <w:r w:rsidR="00657C4D" w:rsidRPr="00731644">
        <w:rPr>
          <w:lang w:val="fr-CH"/>
        </w:rPr>
        <w:t>frapp</w:t>
      </w:r>
      <w:r w:rsidR="002F66B8" w:rsidRPr="00731644">
        <w:rPr>
          <w:lang w:val="fr-CH"/>
        </w:rPr>
        <w:t>ent</w:t>
      </w:r>
      <w:r w:rsidR="00F31DD5" w:rsidRPr="00731644">
        <w:rPr>
          <w:lang w:val="fr-CH"/>
        </w:rPr>
        <w:t>:</w:t>
      </w:r>
      <w:r w:rsidR="002F66B8" w:rsidRPr="00731644">
        <w:rPr>
          <w:lang w:val="fr-CH"/>
        </w:rPr>
        <w:t xml:space="preserve"> l</w:t>
      </w:r>
      <w:r w:rsidR="00425386" w:rsidRPr="00731644">
        <w:rPr>
          <w:lang w:val="fr-CH"/>
        </w:rPr>
        <w:t>’</w:t>
      </w:r>
      <w:r w:rsidR="002F66B8" w:rsidRPr="00731644">
        <w:rPr>
          <w:lang w:val="fr-CH"/>
        </w:rPr>
        <w:t>incitation à la haine ou à l</w:t>
      </w:r>
      <w:r w:rsidR="00425386" w:rsidRPr="00731644">
        <w:rPr>
          <w:lang w:val="fr-CH"/>
        </w:rPr>
        <w:t>’</w:t>
      </w:r>
      <w:r w:rsidR="002F66B8" w:rsidRPr="00731644">
        <w:rPr>
          <w:lang w:val="fr-CH"/>
        </w:rPr>
        <w:t>intolérance</w:t>
      </w:r>
      <w:r w:rsidR="00F31DD5" w:rsidRPr="00731644">
        <w:rPr>
          <w:lang w:val="fr-CH"/>
        </w:rPr>
        <w:t>;</w:t>
      </w:r>
      <w:r w:rsidR="00E707D7" w:rsidRPr="00731644">
        <w:rPr>
          <w:lang w:val="fr-CH"/>
        </w:rPr>
        <w:t xml:space="preserve"> </w:t>
      </w:r>
      <w:r w:rsidR="002F66B8" w:rsidRPr="00731644">
        <w:rPr>
          <w:lang w:val="fr-CH"/>
        </w:rPr>
        <w:t xml:space="preserve">la </w:t>
      </w:r>
      <w:r w:rsidR="00E707D7" w:rsidRPr="00731644">
        <w:rPr>
          <w:lang w:val="fr-CH"/>
        </w:rPr>
        <w:t>discrimination</w:t>
      </w:r>
      <w:r w:rsidR="00F31DD5" w:rsidRPr="00731644">
        <w:rPr>
          <w:lang w:val="fr-CH"/>
        </w:rPr>
        <w:t>;</w:t>
      </w:r>
      <w:r w:rsidR="00E707D7" w:rsidRPr="00731644">
        <w:rPr>
          <w:lang w:val="fr-CH"/>
        </w:rPr>
        <w:t xml:space="preserve"> </w:t>
      </w:r>
      <w:r w:rsidR="002F66B8" w:rsidRPr="00731644">
        <w:rPr>
          <w:lang w:val="fr-CH"/>
        </w:rPr>
        <w:t>l</w:t>
      </w:r>
      <w:r w:rsidR="00425386" w:rsidRPr="00731644">
        <w:rPr>
          <w:lang w:val="fr-CH"/>
        </w:rPr>
        <w:t>’</w:t>
      </w:r>
      <w:r w:rsidR="002F66B8" w:rsidRPr="00731644">
        <w:rPr>
          <w:lang w:val="fr-CH"/>
        </w:rPr>
        <w:t>ouverture d</w:t>
      </w:r>
      <w:r w:rsidR="00425386" w:rsidRPr="00731644">
        <w:rPr>
          <w:lang w:val="fr-CH"/>
        </w:rPr>
        <w:t>’</w:t>
      </w:r>
      <w:r w:rsidR="002F66B8" w:rsidRPr="00731644">
        <w:rPr>
          <w:lang w:val="fr-CH"/>
        </w:rPr>
        <w:t xml:space="preserve">un </w:t>
      </w:r>
      <w:r w:rsidR="002D30FC" w:rsidRPr="00731644">
        <w:rPr>
          <w:lang w:val="fr-CH"/>
        </w:rPr>
        <w:t xml:space="preserve">nouveau </w:t>
      </w:r>
      <w:r w:rsidR="002F66B8" w:rsidRPr="00731644">
        <w:rPr>
          <w:lang w:val="fr-CH"/>
        </w:rPr>
        <w:t xml:space="preserve">procès </w:t>
      </w:r>
      <w:r w:rsidR="006845EE" w:rsidRPr="00731644">
        <w:rPr>
          <w:lang w:val="fr-CH"/>
        </w:rPr>
        <w:t xml:space="preserve">débouchant sur </w:t>
      </w:r>
      <w:r w:rsidR="002F66B8" w:rsidRPr="00731644">
        <w:rPr>
          <w:lang w:val="fr-CH"/>
        </w:rPr>
        <w:t xml:space="preserve">une condamnation pour </w:t>
      </w:r>
      <w:r w:rsidR="002D30FC" w:rsidRPr="00731644">
        <w:rPr>
          <w:lang w:val="fr-CH"/>
        </w:rPr>
        <w:t>une</w:t>
      </w:r>
      <w:r w:rsidR="002F66B8" w:rsidRPr="00731644">
        <w:rPr>
          <w:lang w:val="fr-CH"/>
        </w:rPr>
        <w:t xml:space="preserve"> même infraction</w:t>
      </w:r>
      <w:r w:rsidR="00F31DD5" w:rsidRPr="00731644">
        <w:rPr>
          <w:lang w:val="fr-CH"/>
        </w:rPr>
        <w:t>;</w:t>
      </w:r>
      <w:r w:rsidR="002F66B8" w:rsidRPr="00731644">
        <w:rPr>
          <w:lang w:val="fr-CH"/>
        </w:rPr>
        <w:t xml:space="preserve"> l</w:t>
      </w:r>
      <w:r w:rsidR="00425386" w:rsidRPr="00731644">
        <w:rPr>
          <w:lang w:val="fr-CH"/>
        </w:rPr>
        <w:t>’</w:t>
      </w:r>
      <w:r w:rsidR="00E707D7" w:rsidRPr="00731644">
        <w:rPr>
          <w:lang w:val="fr-CH"/>
        </w:rPr>
        <w:t>assimilation</w:t>
      </w:r>
      <w:r w:rsidR="002F66B8" w:rsidRPr="00731644">
        <w:rPr>
          <w:lang w:val="fr-CH"/>
        </w:rPr>
        <w:t xml:space="preserve"> forcée</w:t>
      </w:r>
      <w:r w:rsidR="00E707D7" w:rsidRPr="00731644">
        <w:rPr>
          <w:lang w:val="fr-CH"/>
        </w:rPr>
        <w:t xml:space="preserve">. </w:t>
      </w:r>
      <w:r w:rsidR="00D87B16" w:rsidRPr="00731644">
        <w:rPr>
          <w:lang w:val="fr-CH"/>
        </w:rPr>
        <w:t>Les restrictions ne peuvent durer plus longtemps que l</w:t>
      </w:r>
      <w:r w:rsidR="00425386" w:rsidRPr="00731644">
        <w:rPr>
          <w:lang w:val="fr-CH"/>
        </w:rPr>
        <w:t>’</w:t>
      </w:r>
      <w:r w:rsidR="00D87B16" w:rsidRPr="00731644">
        <w:rPr>
          <w:lang w:val="fr-CH"/>
        </w:rPr>
        <w:t>état de guerre ou l</w:t>
      </w:r>
      <w:r w:rsidR="00425386" w:rsidRPr="00731644">
        <w:rPr>
          <w:lang w:val="fr-CH"/>
        </w:rPr>
        <w:t>’</w:t>
      </w:r>
      <w:r w:rsidR="00D87B16" w:rsidRPr="00731644">
        <w:rPr>
          <w:lang w:val="fr-CH"/>
        </w:rPr>
        <w:t>état d</w:t>
      </w:r>
      <w:r w:rsidR="00425386" w:rsidRPr="00731644">
        <w:rPr>
          <w:lang w:val="fr-CH"/>
        </w:rPr>
        <w:t>’</w:t>
      </w:r>
      <w:r w:rsidR="00D87B16" w:rsidRPr="00731644">
        <w:rPr>
          <w:lang w:val="fr-CH"/>
        </w:rPr>
        <w:t>urgence</w:t>
      </w:r>
      <w:r w:rsidR="00E707D7" w:rsidRPr="00731644">
        <w:rPr>
          <w:lang w:val="fr-CH"/>
        </w:rPr>
        <w:t>.</w:t>
      </w:r>
    </w:p>
    <w:p w:rsidR="00E707D7" w:rsidRPr="00731644" w:rsidRDefault="009654DE" w:rsidP="00E707D7">
      <w:pPr>
        <w:pStyle w:val="SingleTxtG"/>
        <w:rPr>
          <w:lang w:val="fr-CH"/>
        </w:rPr>
      </w:pPr>
      <w:r w:rsidRPr="00731644">
        <w:rPr>
          <w:lang w:val="fr-CH"/>
        </w:rPr>
        <w:t>6.</w:t>
      </w:r>
      <w:r w:rsidRPr="00731644">
        <w:rPr>
          <w:lang w:val="fr-CH"/>
        </w:rPr>
        <w:tab/>
      </w:r>
      <w:r w:rsidR="00D87B16" w:rsidRPr="00731644">
        <w:rPr>
          <w:lang w:val="fr-CH"/>
        </w:rPr>
        <w:t xml:space="preserve">Outre </w:t>
      </w:r>
      <w:r w:rsidR="00A66512" w:rsidRPr="00731644">
        <w:rPr>
          <w:lang w:val="fr-CH"/>
        </w:rPr>
        <w:t>les engagements</w:t>
      </w:r>
      <w:r w:rsidR="00D87B16" w:rsidRPr="00731644">
        <w:rPr>
          <w:lang w:val="fr-CH"/>
        </w:rPr>
        <w:t xml:space="preserve"> déjà pris et les accords conclus par le passé, le Monténégro a ratifié au cours de la période considérée dans le présent rapport un certain nombre d</w:t>
      </w:r>
      <w:r w:rsidR="00425386" w:rsidRPr="00731644">
        <w:rPr>
          <w:lang w:val="fr-CH"/>
        </w:rPr>
        <w:t>’</w:t>
      </w:r>
      <w:r w:rsidR="00D87B16" w:rsidRPr="00731644">
        <w:rPr>
          <w:lang w:val="fr-CH"/>
        </w:rPr>
        <w:t xml:space="preserve">accords internationaux qui </w:t>
      </w:r>
      <w:r w:rsidR="002D30FC" w:rsidRPr="00731644">
        <w:rPr>
          <w:lang w:val="fr-CH"/>
        </w:rPr>
        <w:t>touchent</w:t>
      </w:r>
      <w:r w:rsidR="00D87B16" w:rsidRPr="00731644">
        <w:rPr>
          <w:lang w:val="fr-CH"/>
        </w:rPr>
        <w:t xml:space="preserve"> directe</w:t>
      </w:r>
      <w:r w:rsidR="002D30FC" w:rsidRPr="00731644">
        <w:rPr>
          <w:lang w:val="fr-CH"/>
        </w:rPr>
        <w:t>ment</w:t>
      </w:r>
      <w:r w:rsidR="00D87B16" w:rsidRPr="00731644">
        <w:rPr>
          <w:lang w:val="fr-CH"/>
        </w:rPr>
        <w:t xml:space="preserve"> ou indirecte</w:t>
      </w:r>
      <w:r w:rsidR="002D30FC" w:rsidRPr="00731644">
        <w:rPr>
          <w:lang w:val="fr-CH"/>
        </w:rPr>
        <w:t>ment à</w:t>
      </w:r>
      <w:r w:rsidR="00D87B16" w:rsidRPr="00731644">
        <w:rPr>
          <w:lang w:val="fr-CH"/>
        </w:rPr>
        <w:t xml:space="preserve"> l</w:t>
      </w:r>
      <w:r w:rsidR="00425386" w:rsidRPr="00731644">
        <w:rPr>
          <w:lang w:val="fr-CH"/>
        </w:rPr>
        <w:t>’</w:t>
      </w:r>
      <w:r w:rsidR="00D87B16" w:rsidRPr="00731644">
        <w:rPr>
          <w:lang w:val="fr-CH"/>
        </w:rPr>
        <w:t>é</w:t>
      </w:r>
      <w:r w:rsidR="00E707D7" w:rsidRPr="00731644">
        <w:rPr>
          <w:lang w:val="fr-CH"/>
        </w:rPr>
        <w:t xml:space="preserve">limination </w:t>
      </w:r>
      <w:r w:rsidR="00D87B16" w:rsidRPr="00731644">
        <w:rPr>
          <w:lang w:val="fr-CH"/>
        </w:rPr>
        <w:t xml:space="preserve">de la </w:t>
      </w:r>
      <w:r w:rsidR="00E707D7" w:rsidRPr="00731644">
        <w:rPr>
          <w:lang w:val="fr-CH"/>
        </w:rPr>
        <w:t xml:space="preserve">discrimination. </w:t>
      </w:r>
      <w:r w:rsidR="00D87B16" w:rsidRPr="00731644">
        <w:rPr>
          <w:lang w:val="fr-CH"/>
        </w:rPr>
        <w:t>S</w:t>
      </w:r>
      <w:r w:rsidR="00425386" w:rsidRPr="00731644">
        <w:rPr>
          <w:lang w:val="fr-CH"/>
        </w:rPr>
        <w:t>’</w:t>
      </w:r>
      <w:r w:rsidR="00D87B16" w:rsidRPr="00731644">
        <w:rPr>
          <w:lang w:val="fr-CH"/>
        </w:rPr>
        <w:t>agissant de ceux qui relèvent de l</w:t>
      </w:r>
      <w:r w:rsidR="00425386" w:rsidRPr="00731644">
        <w:rPr>
          <w:lang w:val="fr-CH"/>
        </w:rPr>
        <w:t>’</w:t>
      </w:r>
      <w:r w:rsidR="00D87B16" w:rsidRPr="00731644">
        <w:rPr>
          <w:lang w:val="fr-CH"/>
        </w:rPr>
        <w:t xml:space="preserve">Organisation des Nations Unies, le Monténégro a signé le </w:t>
      </w:r>
      <w:r w:rsidR="00E707D7" w:rsidRPr="00731644">
        <w:rPr>
          <w:lang w:val="fr-CH"/>
        </w:rPr>
        <w:t xml:space="preserve">24 </w:t>
      </w:r>
      <w:r w:rsidR="00D87B16" w:rsidRPr="00731644">
        <w:rPr>
          <w:lang w:val="fr-CH"/>
        </w:rPr>
        <w:t>s</w:t>
      </w:r>
      <w:r w:rsidR="00E707D7" w:rsidRPr="00731644">
        <w:rPr>
          <w:lang w:val="fr-CH"/>
        </w:rPr>
        <w:t>eptemb</w:t>
      </w:r>
      <w:r w:rsidR="00D87B16" w:rsidRPr="00731644">
        <w:rPr>
          <w:lang w:val="fr-CH"/>
        </w:rPr>
        <w:t>re</w:t>
      </w:r>
      <w:r w:rsidR="00E707D7" w:rsidRPr="00731644">
        <w:rPr>
          <w:lang w:val="fr-CH"/>
        </w:rPr>
        <w:t xml:space="preserve"> 2009</w:t>
      </w:r>
      <w:r w:rsidR="00F31DD5" w:rsidRPr="00731644">
        <w:rPr>
          <w:lang w:val="fr-CH"/>
        </w:rPr>
        <w:t xml:space="preserve"> – </w:t>
      </w:r>
      <w:r w:rsidR="00D87B16" w:rsidRPr="00731644">
        <w:rPr>
          <w:lang w:val="fr-CH"/>
        </w:rPr>
        <w:t xml:space="preserve">et étudie encore </w:t>
      </w:r>
      <w:r w:rsidR="006845EE" w:rsidRPr="00731644">
        <w:rPr>
          <w:lang w:val="fr-CH"/>
        </w:rPr>
        <w:t xml:space="preserve">actuellement </w:t>
      </w:r>
      <w:r w:rsidR="00D87B16" w:rsidRPr="00731644">
        <w:rPr>
          <w:lang w:val="fr-CH"/>
        </w:rPr>
        <w:t>l</w:t>
      </w:r>
      <w:r w:rsidR="002D30FC" w:rsidRPr="00731644">
        <w:rPr>
          <w:lang w:val="fr-CH"/>
        </w:rPr>
        <w:t>a</w:t>
      </w:r>
      <w:r w:rsidR="00D87B16" w:rsidRPr="00731644">
        <w:rPr>
          <w:lang w:val="fr-CH"/>
        </w:rPr>
        <w:t xml:space="preserve"> possibilité de </w:t>
      </w:r>
      <w:r w:rsidR="00A66512" w:rsidRPr="00731644">
        <w:rPr>
          <w:lang w:val="fr-CH"/>
        </w:rPr>
        <w:t>ratifier</w:t>
      </w:r>
      <w:r w:rsidR="00F31DD5" w:rsidRPr="00731644">
        <w:rPr>
          <w:lang w:val="fr-CH"/>
        </w:rPr>
        <w:t xml:space="preserve"> – </w:t>
      </w:r>
      <w:r w:rsidR="00D87B16" w:rsidRPr="00731644">
        <w:rPr>
          <w:lang w:val="fr-CH"/>
        </w:rPr>
        <w:t>le Protocole facultatif se rapportant au Pacte international relatif aux droits économiques, sociaux et culturels</w:t>
      </w:r>
      <w:r w:rsidR="00E707D7" w:rsidRPr="00731644">
        <w:rPr>
          <w:lang w:val="fr-CH"/>
        </w:rPr>
        <w:t>.</w:t>
      </w:r>
      <w:r w:rsidR="00D87B16" w:rsidRPr="00731644">
        <w:rPr>
          <w:lang w:val="fr-CH"/>
        </w:rPr>
        <w:t xml:space="preserve"> Pour ce qui est de la Convention internationale sur la protection des droits de tous les travailleurs migrants et des membres de leur famille</w:t>
      </w:r>
      <w:r w:rsidR="00D232DA" w:rsidRPr="00731644">
        <w:rPr>
          <w:lang w:val="fr-CH"/>
        </w:rPr>
        <w:t xml:space="preserve">, les autorités prévoient de mener le processus de ratification à </w:t>
      </w:r>
      <w:r w:rsidR="002D30FC" w:rsidRPr="00731644">
        <w:rPr>
          <w:lang w:val="fr-CH"/>
        </w:rPr>
        <w:t>bonne fin</w:t>
      </w:r>
      <w:r w:rsidR="00D232DA" w:rsidRPr="00731644">
        <w:rPr>
          <w:lang w:val="fr-CH"/>
        </w:rPr>
        <w:t xml:space="preserve"> pendant l</w:t>
      </w:r>
      <w:r w:rsidR="00425386" w:rsidRPr="00731644">
        <w:rPr>
          <w:lang w:val="fr-CH"/>
        </w:rPr>
        <w:t>’</w:t>
      </w:r>
      <w:r w:rsidR="00D232DA" w:rsidRPr="00731644">
        <w:rPr>
          <w:lang w:val="fr-CH"/>
        </w:rPr>
        <w:t>année 2012.</w:t>
      </w:r>
      <w:r w:rsidR="00F31DD5" w:rsidRPr="00731644">
        <w:rPr>
          <w:lang w:val="fr-CH"/>
        </w:rPr>
        <w:t xml:space="preserve"> </w:t>
      </w:r>
    </w:p>
    <w:p w:rsidR="00930E18" w:rsidRPr="00731644" w:rsidRDefault="009654DE" w:rsidP="00E707D7">
      <w:pPr>
        <w:pStyle w:val="SingleTxtG"/>
        <w:rPr>
          <w:lang w:val="fr-CH"/>
        </w:rPr>
      </w:pPr>
      <w:r w:rsidRPr="00731644">
        <w:rPr>
          <w:lang w:val="fr-CH"/>
        </w:rPr>
        <w:t>7.</w:t>
      </w:r>
      <w:r w:rsidRPr="00731644">
        <w:rPr>
          <w:lang w:val="fr-CH"/>
        </w:rPr>
        <w:tab/>
      </w:r>
      <w:r w:rsidR="00D232DA" w:rsidRPr="00731644">
        <w:rPr>
          <w:lang w:val="fr-CH"/>
        </w:rPr>
        <w:t xml:space="preserve">A été conclue en outre la série des accords élaborés sous les </w:t>
      </w:r>
      <w:r w:rsidR="00E707D7" w:rsidRPr="00731644">
        <w:rPr>
          <w:lang w:val="fr-CH"/>
        </w:rPr>
        <w:t>auspices</w:t>
      </w:r>
      <w:r w:rsidR="00D232DA" w:rsidRPr="00731644">
        <w:rPr>
          <w:lang w:val="fr-CH"/>
        </w:rPr>
        <w:t xml:space="preserve"> du Conseil de l</w:t>
      </w:r>
      <w:r w:rsidR="00425386" w:rsidRPr="00731644">
        <w:rPr>
          <w:lang w:val="fr-CH"/>
        </w:rPr>
        <w:t>’</w:t>
      </w:r>
      <w:r w:rsidR="00D232DA" w:rsidRPr="00731644">
        <w:rPr>
          <w:lang w:val="fr-CH"/>
        </w:rPr>
        <w:t>Europe qui concernent l</w:t>
      </w:r>
      <w:r w:rsidR="00425386" w:rsidRPr="00731644">
        <w:rPr>
          <w:lang w:val="fr-CH"/>
        </w:rPr>
        <w:t>’</w:t>
      </w:r>
      <w:r w:rsidR="00D232DA" w:rsidRPr="00731644">
        <w:rPr>
          <w:lang w:val="fr-CH"/>
        </w:rPr>
        <w:t>exercice et la p</w:t>
      </w:r>
      <w:r w:rsidR="00E707D7" w:rsidRPr="00731644">
        <w:rPr>
          <w:lang w:val="fr-CH"/>
        </w:rPr>
        <w:t xml:space="preserve">rotection </w:t>
      </w:r>
      <w:r w:rsidR="00D232DA" w:rsidRPr="00731644">
        <w:rPr>
          <w:lang w:val="fr-CH"/>
        </w:rPr>
        <w:t xml:space="preserve">de </w:t>
      </w:r>
      <w:r w:rsidR="002D30FC" w:rsidRPr="00731644">
        <w:rPr>
          <w:lang w:val="fr-CH"/>
        </w:rPr>
        <w:t xml:space="preserve">libertés et de </w:t>
      </w:r>
      <w:r w:rsidR="00D232DA" w:rsidRPr="00731644">
        <w:rPr>
          <w:lang w:val="fr-CH"/>
        </w:rPr>
        <w:t>droits de l</w:t>
      </w:r>
      <w:r w:rsidR="00425386" w:rsidRPr="00731644">
        <w:rPr>
          <w:lang w:val="fr-CH"/>
        </w:rPr>
        <w:t>’</w:t>
      </w:r>
      <w:r w:rsidR="00D232DA" w:rsidRPr="00731644">
        <w:rPr>
          <w:lang w:val="fr-CH"/>
        </w:rPr>
        <w:t xml:space="preserve">homme fondamentaux, qui sont juridiquement contraignants </w:t>
      </w:r>
      <w:r w:rsidR="00EF7DC5" w:rsidRPr="00731644">
        <w:rPr>
          <w:lang w:val="fr-CH"/>
        </w:rPr>
        <w:t>en</w:t>
      </w:r>
      <w:r w:rsidR="00D232DA" w:rsidRPr="00731644">
        <w:rPr>
          <w:lang w:val="fr-CH"/>
        </w:rPr>
        <w:t xml:space="preserve"> droit interne</w:t>
      </w:r>
      <w:r w:rsidR="00E707D7" w:rsidRPr="00731644">
        <w:rPr>
          <w:lang w:val="fr-CH"/>
        </w:rPr>
        <w:t xml:space="preserve"> </w:t>
      </w:r>
      <w:r w:rsidR="00D232DA" w:rsidRPr="00731644">
        <w:rPr>
          <w:lang w:val="fr-CH"/>
        </w:rPr>
        <w:t xml:space="preserve">et qui contiennent des clauses </w:t>
      </w:r>
      <w:r w:rsidR="00A66512" w:rsidRPr="00731644">
        <w:rPr>
          <w:lang w:val="fr-CH"/>
        </w:rPr>
        <w:t>antidiscriminatoires</w:t>
      </w:r>
      <w:r w:rsidR="007A774E" w:rsidRPr="00731644">
        <w:rPr>
          <w:rStyle w:val="FootnoteReference"/>
          <w:lang w:val="fr-CH"/>
        </w:rPr>
        <w:footnoteReference w:id="8"/>
      </w:r>
      <w:r w:rsidR="00D232DA" w:rsidRPr="00731644">
        <w:rPr>
          <w:lang w:val="fr-CH"/>
        </w:rPr>
        <w:t>.</w:t>
      </w:r>
      <w:r w:rsidR="00E707D7" w:rsidRPr="00731644">
        <w:rPr>
          <w:lang w:val="fr-CH"/>
        </w:rPr>
        <w:t xml:space="preserve"> </w:t>
      </w:r>
    </w:p>
    <w:p w:rsidR="00E707D7" w:rsidRPr="00731644" w:rsidRDefault="009654DE" w:rsidP="00E707D7">
      <w:pPr>
        <w:pStyle w:val="SingleTxtG"/>
        <w:rPr>
          <w:iCs/>
          <w:lang w:val="fr-CH"/>
        </w:rPr>
      </w:pPr>
      <w:r w:rsidRPr="00731644">
        <w:rPr>
          <w:iCs/>
          <w:lang w:val="fr-CH"/>
        </w:rPr>
        <w:t>8.</w:t>
      </w:r>
      <w:r w:rsidRPr="00731644">
        <w:rPr>
          <w:iCs/>
          <w:lang w:val="fr-CH"/>
        </w:rPr>
        <w:tab/>
      </w:r>
      <w:r w:rsidR="00D010CC" w:rsidRPr="00731644">
        <w:rPr>
          <w:iCs/>
          <w:lang w:val="fr-CH"/>
        </w:rPr>
        <w:t>Dans son Avis sur la demande d</w:t>
      </w:r>
      <w:r w:rsidR="00425386" w:rsidRPr="00731644">
        <w:rPr>
          <w:iCs/>
          <w:lang w:val="fr-CH"/>
        </w:rPr>
        <w:t>’</w:t>
      </w:r>
      <w:r w:rsidR="00D010CC" w:rsidRPr="00731644">
        <w:rPr>
          <w:iCs/>
          <w:lang w:val="fr-CH"/>
        </w:rPr>
        <w:t>adhésion du Monténégro</w:t>
      </w:r>
      <w:r w:rsidR="00F31DD5" w:rsidRPr="00731644">
        <w:rPr>
          <w:iCs/>
          <w:lang w:val="fr-CH"/>
        </w:rPr>
        <w:t xml:space="preserve"> </w:t>
      </w:r>
      <w:r w:rsidR="00D010CC" w:rsidRPr="00731644">
        <w:rPr>
          <w:iCs/>
          <w:lang w:val="fr-CH"/>
        </w:rPr>
        <w:t>à l</w:t>
      </w:r>
      <w:r w:rsidR="00425386" w:rsidRPr="00731644">
        <w:rPr>
          <w:iCs/>
          <w:lang w:val="fr-CH"/>
        </w:rPr>
        <w:t>’</w:t>
      </w:r>
      <w:r w:rsidR="00D010CC" w:rsidRPr="00731644">
        <w:rPr>
          <w:iCs/>
          <w:lang w:val="fr-CH"/>
        </w:rPr>
        <w:t xml:space="preserve">Union européenne, du </w:t>
      </w:r>
      <w:r w:rsidR="00E707D7" w:rsidRPr="00731644">
        <w:rPr>
          <w:iCs/>
          <w:lang w:val="fr-CH"/>
        </w:rPr>
        <w:t>9</w:t>
      </w:r>
      <w:r w:rsidR="006443F6" w:rsidRPr="00731644">
        <w:rPr>
          <w:iCs/>
          <w:lang w:val="fr-CH"/>
        </w:rPr>
        <w:t> </w:t>
      </w:r>
      <w:r w:rsidR="00D010CC" w:rsidRPr="00731644">
        <w:rPr>
          <w:iCs/>
          <w:lang w:val="fr-CH"/>
        </w:rPr>
        <w:t>n</w:t>
      </w:r>
      <w:r w:rsidR="00E707D7" w:rsidRPr="00731644">
        <w:rPr>
          <w:iCs/>
          <w:lang w:val="fr-CH"/>
        </w:rPr>
        <w:t>ovemb</w:t>
      </w:r>
      <w:r w:rsidR="00D010CC" w:rsidRPr="00731644">
        <w:rPr>
          <w:iCs/>
          <w:lang w:val="fr-CH"/>
        </w:rPr>
        <w:t>re</w:t>
      </w:r>
      <w:r w:rsidR="00E707D7" w:rsidRPr="00731644">
        <w:rPr>
          <w:iCs/>
          <w:lang w:val="fr-CH"/>
        </w:rPr>
        <w:t xml:space="preserve"> 2010 [COM (2010) 670]</w:t>
      </w:r>
      <w:r w:rsidR="00930E18" w:rsidRPr="00731644">
        <w:rPr>
          <w:iCs/>
          <w:lang w:val="fr-CH"/>
        </w:rPr>
        <w:t>,</w:t>
      </w:r>
      <w:r w:rsidR="00E707D7" w:rsidRPr="00731644">
        <w:rPr>
          <w:iCs/>
          <w:lang w:val="fr-CH"/>
        </w:rPr>
        <w:t xml:space="preserve"> </w:t>
      </w:r>
      <w:r w:rsidR="00D010CC" w:rsidRPr="00731644">
        <w:rPr>
          <w:iCs/>
          <w:lang w:val="fr-CH"/>
        </w:rPr>
        <w:t xml:space="preserve">la Commission européenne </w:t>
      </w:r>
      <w:r w:rsidR="00FB4249" w:rsidRPr="00731644">
        <w:rPr>
          <w:iCs/>
          <w:lang w:val="fr-CH"/>
        </w:rPr>
        <w:t>souligne que</w:t>
      </w:r>
      <w:r w:rsidR="00F31DD5" w:rsidRPr="00731644">
        <w:rPr>
          <w:iCs/>
          <w:lang w:val="fr-CH"/>
        </w:rPr>
        <w:t>:</w:t>
      </w:r>
      <w:r w:rsidR="00FB4249" w:rsidRPr="00731644">
        <w:rPr>
          <w:iCs/>
          <w:lang w:val="fr-CH"/>
        </w:rPr>
        <w:t xml:space="preserve"> </w:t>
      </w:r>
      <w:r w:rsidR="002061AB">
        <w:rPr>
          <w:iCs/>
          <w:lang w:val="fr-CH"/>
        </w:rPr>
        <w:t>«</w:t>
      </w:r>
      <w:r w:rsidR="00FB4249" w:rsidRPr="00731644">
        <w:rPr>
          <w:lang w:val="fr-CH"/>
        </w:rPr>
        <w:t>La structure juridique et le cadre d</w:t>
      </w:r>
      <w:r w:rsidR="00425386" w:rsidRPr="00731644">
        <w:rPr>
          <w:lang w:val="fr-CH"/>
        </w:rPr>
        <w:t>’</w:t>
      </w:r>
      <w:r w:rsidR="00FB4249" w:rsidRPr="00731644">
        <w:rPr>
          <w:lang w:val="fr-CH"/>
        </w:rPr>
        <w:t>action qui régissent les droits de l</w:t>
      </w:r>
      <w:r w:rsidR="00425386" w:rsidRPr="00731644">
        <w:rPr>
          <w:lang w:val="fr-CH"/>
        </w:rPr>
        <w:t>’</w:t>
      </w:r>
      <w:r w:rsidR="00FB4249" w:rsidRPr="00731644">
        <w:rPr>
          <w:lang w:val="fr-CH"/>
        </w:rPr>
        <w:t>homme et le respect et la protection des minorités au Monténégro sont, pour l</w:t>
      </w:r>
      <w:r w:rsidR="00425386" w:rsidRPr="00731644">
        <w:rPr>
          <w:lang w:val="fr-CH"/>
        </w:rPr>
        <w:t>’</w:t>
      </w:r>
      <w:r w:rsidR="00FB4249" w:rsidRPr="00731644">
        <w:rPr>
          <w:lang w:val="fr-CH"/>
        </w:rPr>
        <w:t>essentiel, en place et répondent largement aux normes européennes et internationales. Le cadre institutionnel est</w:t>
      </w:r>
      <w:r w:rsidR="00F31DD5" w:rsidRPr="00731644">
        <w:rPr>
          <w:lang w:val="fr-CH"/>
        </w:rPr>
        <w:t>, dans une large mesure, adapté</w:t>
      </w:r>
      <w:r w:rsidR="002061AB">
        <w:rPr>
          <w:lang w:val="fr-CH"/>
        </w:rPr>
        <w:t>»</w:t>
      </w:r>
      <w:r w:rsidR="00FB4249" w:rsidRPr="00731644">
        <w:rPr>
          <w:lang w:val="fr-CH"/>
        </w:rPr>
        <w:t>.</w:t>
      </w:r>
      <w:r w:rsidR="00F31DD5" w:rsidRPr="00731644">
        <w:rPr>
          <w:lang w:val="fr-CH"/>
        </w:rPr>
        <w:t xml:space="preserve"> </w:t>
      </w:r>
    </w:p>
    <w:p w:rsidR="00A725BF" w:rsidRPr="00731644" w:rsidRDefault="007A774E" w:rsidP="00E707D7">
      <w:pPr>
        <w:pStyle w:val="SingleTxtG"/>
        <w:rPr>
          <w:lang w:val="fr-CH"/>
        </w:rPr>
      </w:pPr>
      <w:r w:rsidRPr="00731644">
        <w:rPr>
          <w:lang w:val="fr-CH"/>
        </w:rPr>
        <w:t>9.</w:t>
      </w:r>
      <w:r w:rsidRPr="00731644">
        <w:rPr>
          <w:lang w:val="fr-CH"/>
        </w:rPr>
        <w:tab/>
      </w:r>
      <w:r w:rsidR="00A725BF" w:rsidRPr="00731644">
        <w:rPr>
          <w:lang w:val="fr-CH"/>
        </w:rPr>
        <w:t>Il ressort de</w:t>
      </w:r>
      <w:r w:rsidR="00FB4249" w:rsidRPr="00731644">
        <w:rPr>
          <w:lang w:val="fr-CH"/>
        </w:rPr>
        <w:t xml:space="preserve"> ce document</w:t>
      </w:r>
      <w:r w:rsidR="00A725BF" w:rsidRPr="00731644">
        <w:rPr>
          <w:lang w:val="fr-CH"/>
        </w:rPr>
        <w:t xml:space="preserve"> que</w:t>
      </w:r>
      <w:r w:rsidR="00FB4249" w:rsidRPr="00731644">
        <w:rPr>
          <w:lang w:val="fr-CH"/>
        </w:rPr>
        <w:t xml:space="preserve"> les droits de l</w:t>
      </w:r>
      <w:r w:rsidR="00425386" w:rsidRPr="00731644">
        <w:rPr>
          <w:lang w:val="fr-CH"/>
        </w:rPr>
        <w:t>’</w:t>
      </w:r>
      <w:r w:rsidR="00FB4249" w:rsidRPr="00731644">
        <w:rPr>
          <w:lang w:val="fr-CH"/>
        </w:rPr>
        <w:t>homme sont dans l</w:t>
      </w:r>
      <w:r w:rsidR="00425386" w:rsidRPr="00731644">
        <w:rPr>
          <w:lang w:val="fr-CH"/>
        </w:rPr>
        <w:t>’</w:t>
      </w:r>
      <w:r w:rsidR="00FB4249" w:rsidRPr="00731644">
        <w:rPr>
          <w:lang w:val="fr-CH"/>
        </w:rPr>
        <w:t>ensemble respectés, même si l</w:t>
      </w:r>
      <w:r w:rsidR="00425386" w:rsidRPr="00731644">
        <w:rPr>
          <w:lang w:val="fr-CH"/>
        </w:rPr>
        <w:t>’</w:t>
      </w:r>
      <w:r w:rsidR="00FB4249" w:rsidRPr="00731644">
        <w:rPr>
          <w:lang w:val="fr-CH"/>
        </w:rPr>
        <w:t xml:space="preserve">efficacité des politiques </w:t>
      </w:r>
      <w:r w:rsidR="00A66512" w:rsidRPr="00731644">
        <w:rPr>
          <w:lang w:val="fr-CH"/>
        </w:rPr>
        <w:t>antidiscriminatoires</w:t>
      </w:r>
      <w:r w:rsidR="00FB4249" w:rsidRPr="00731644">
        <w:rPr>
          <w:lang w:val="fr-CH"/>
        </w:rPr>
        <w:t xml:space="preserve"> demande </w:t>
      </w:r>
      <w:r w:rsidR="00A66512" w:rsidRPr="00731644">
        <w:rPr>
          <w:lang w:val="fr-CH"/>
        </w:rPr>
        <w:t>à</w:t>
      </w:r>
      <w:r w:rsidR="00FB4249" w:rsidRPr="00731644">
        <w:rPr>
          <w:lang w:val="fr-CH"/>
        </w:rPr>
        <w:t xml:space="preserve"> être encore </w:t>
      </w:r>
      <w:r w:rsidR="00A725BF" w:rsidRPr="00731644">
        <w:rPr>
          <w:lang w:val="fr-CH"/>
        </w:rPr>
        <w:t xml:space="preserve">renforcée, </w:t>
      </w:r>
      <w:r w:rsidR="00AE30A4" w:rsidRPr="00731644">
        <w:rPr>
          <w:lang w:val="fr-CH"/>
        </w:rPr>
        <w:t>à l</w:t>
      </w:r>
      <w:r w:rsidR="00425386" w:rsidRPr="00731644">
        <w:rPr>
          <w:lang w:val="fr-CH"/>
        </w:rPr>
        <w:t>’</w:t>
      </w:r>
      <w:r w:rsidR="00AE30A4" w:rsidRPr="00731644">
        <w:rPr>
          <w:lang w:val="fr-CH"/>
        </w:rPr>
        <w:t>aide</w:t>
      </w:r>
      <w:r w:rsidR="00A725BF" w:rsidRPr="00731644">
        <w:rPr>
          <w:lang w:val="fr-CH"/>
        </w:rPr>
        <w:t xml:space="preserve"> du cadre juridique </w:t>
      </w:r>
      <w:r w:rsidR="00AE30A4" w:rsidRPr="00731644">
        <w:rPr>
          <w:lang w:val="fr-CH"/>
        </w:rPr>
        <w:t>existant</w:t>
      </w:r>
      <w:r w:rsidR="00A725BF" w:rsidRPr="00731644">
        <w:rPr>
          <w:lang w:val="fr-CH"/>
        </w:rPr>
        <w:t xml:space="preserve">. </w:t>
      </w:r>
    </w:p>
    <w:p w:rsidR="00E707D7" w:rsidRPr="00731644" w:rsidRDefault="007A774E" w:rsidP="00E707D7">
      <w:pPr>
        <w:pStyle w:val="SingleTxtG"/>
        <w:rPr>
          <w:iCs/>
          <w:lang w:val="fr-CH"/>
        </w:rPr>
      </w:pPr>
      <w:r w:rsidRPr="00731644">
        <w:rPr>
          <w:iCs/>
          <w:lang w:val="fr-CH"/>
        </w:rPr>
        <w:t>10.</w:t>
      </w:r>
      <w:r w:rsidRPr="00731644">
        <w:rPr>
          <w:iCs/>
          <w:lang w:val="fr-CH"/>
        </w:rPr>
        <w:tab/>
      </w:r>
      <w:r w:rsidR="00A725BF" w:rsidRPr="00731644">
        <w:rPr>
          <w:iCs/>
          <w:lang w:val="fr-CH"/>
        </w:rPr>
        <w:t xml:space="preserve">Le Monténégro dispose </w:t>
      </w:r>
      <w:r w:rsidR="001A76F1" w:rsidRPr="00731644">
        <w:rPr>
          <w:iCs/>
          <w:lang w:val="fr-CH"/>
        </w:rPr>
        <w:t>de toute une panoplie</w:t>
      </w:r>
      <w:r w:rsidR="00D65BC2" w:rsidRPr="00731644">
        <w:rPr>
          <w:iCs/>
          <w:lang w:val="fr-CH"/>
        </w:rPr>
        <w:t xml:space="preserve"> d</w:t>
      </w:r>
      <w:r w:rsidR="00425386" w:rsidRPr="00731644">
        <w:rPr>
          <w:iCs/>
          <w:lang w:val="fr-CH"/>
        </w:rPr>
        <w:t>’</w:t>
      </w:r>
      <w:r w:rsidR="00A725BF" w:rsidRPr="00731644">
        <w:rPr>
          <w:iCs/>
          <w:lang w:val="fr-CH"/>
        </w:rPr>
        <w:t>institution</w:t>
      </w:r>
      <w:r w:rsidR="00D65BC2" w:rsidRPr="00731644">
        <w:rPr>
          <w:iCs/>
          <w:lang w:val="fr-CH"/>
        </w:rPr>
        <w:t>s</w:t>
      </w:r>
      <w:r w:rsidR="00A725BF" w:rsidRPr="00731644">
        <w:rPr>
          <w:iCs/>
          <w:lang w:val="fr-CH"/>
        </w:rPr>
        <w:t xml:space="preserve"> de </w:t>
      </w:r>
      <w:r w:rsidR="00D65BC2" w:rsidRPr="00731644">
        <w:rPr>
          <w:iCs/>
          <w:lang w:val="fr-CH"/>
        </w:rPr>
        <w:t>protection</w:t>
      </w:r>
      <w:r w:rsidR="00E707D7" w:rsidRPr="00731644">
        <w:rPr>
          <w:iCs/>
          <w:lang w:val="fr-CH"/>
        </w:rPr>
        <w:t xml:space="preserve"> </w:t>
      </w:r>
      <w:r w:rsidR="00A725BF" w:rsidRPr="00731644">
        <w:rPr>
          <w:iCs/>
          <w:lang w:val="fr-CH"/>
        </w:rPr>
        <w:t>de droits de l</w:t>
      </w:r>
      <w:r w:rsidR="00425386" w:rsidRPr="00731644">
        <w:rPr>
          <w:iCs/>
          <w:lang w:val="fr-CH"/>
        </w:rPr>
        <w:t>’</w:t>
      </w:r>
      <w:r w:rsidR="00A725BF" w:rsidRPr="00731644">
        <w:rPr>
          <w:iCs/>
          <w:lang w:val="fr-CH"/>
        </w:rPr>
        <w:t xml:space="preserve">homme, dont la pièce maîtresse </w:t>
      </w:r>
      <w:r w:rsidR="006845EE" w:rsidRPr="00731644">
        <w:rPr>
          <w:iCs/>
          <w:lang w:val="fr-CH"/>
        </w:rPr>
        <w:t xml:space="preserve">est </w:t>
      </w:r>
      <w:r w:rsidR="00D65BC2" w:rsidRPr="00731644">
        <w:rPr>
          <w:iCs/>
          <w:lang w:val="fr-CH"/>
        </w:rPr>
        <w:t>le</w:t>
      </w:r>
      <w:r w:rsidR="00A725BF" w:rsidRPr="00731644">
        <w:rPr>
          <w:iCs/>
          <w:lang w:val="fr-CH"/>
        </w:rPr>
        <w:t xml:space="preserve"> Protecteur des droits de l</w:t>
      </w:r>
      <w:r w:rsidR="00425386" w:rsidRPr="00731644">
        <w:rPr>
          <w:iCs/>
          <w:lang w:val="fr-CH"/>
        </w:rPr>
        <w:t>’</w:t>
      </w:r>
      <w:r w:rsidR="00A725BF" w:rsidRPr="00731644">
        <w:rPr>
          <w:iCs/>
          <w:lang w:val="fr-CH"/>
        </w:rPr>
        <w:t>homme et des libertés</w:t>
      </w:r>
      <w:r w:rsidR="00E707D7" w:rsidRPr="00731644">
        <w:rPr>
          <w:iCs/>
          <w:lang w:val="fr-CH"/>
        </w:rPr>
        <w:t xml:space="preserve">. </w:t>
      </w:r>
      <w:r w:rsidR="00A725BF" w:rsidRPr="00731644">
        <w:rPr>
          <w:iCs/>
          <w:lang w:val="fr-CH"/>
        </w:rPr>
        <w:t>De plus, nombre d</w:t>
      </w:r>
      <w:r w:rsidR="00425386" w:rsidRPr="00731644">
        <w:rPr>
          <w:iCs/>
          <w:lang w:val="fr-CH"/>
        </w:rPr>
        <w:t>’</w:t>
      </w:r>
      <w:r w:rsidR="00A725BF" w:rsidRPr="00731644">
        <w:rPr>
          <w:iCs/>
          <w:lang w:val="fr-CH"/>
        </w:rPr>
        <w:t xml:space="preserve">autres institutions qui </w:t>
      </w:r>
      <w:r w:rsidR="00D65BC2" w:rsidRPr="00731644">
        <w:rPr>
          <w:iCs/>
          <w:lang w:val="fr-CH"/>
        </w:rPr>
        <w:t>contribuent à l</w:t>
      </w:r>
      <w:r w:rsidR="00425386" w:rsidRPr="00731644">
        <w:rPr>
          <w:iCs/>
          <w:lang w:val="fr-CH"/>
        </w:rPr>
        <w:t>’</w:t>
      </w:r>
      <w:r w:rsidR="00A725BF" w:rsidRPr="00731644">
        <w:rPr>
          <w:iCs/>
          <w:lang w:val="fr-CH"/>
        </w:rPr>
        <w:t>é</w:t>
      </w:r>
      <w:r w:rsidR="00E707D7" w:rsidRPr="00731644">
        <w:rPr>
          <w:iCs/>
          <w:lang w:val="fr-CH"/>
        </w:rPr>
        <w:t xml:space="preserve">limination </w:t>
      </w:r>
      <w:r w:rsidR="00A725BF" w:rsidRPr="00731644">
        <w:rPr>
          <w:iCs/>
          <w:lang w:val="fr-CH"/>
        </w:rPr>
        <w:t>de la</w:t>
      </w:r>
      <w:r w:rsidR="00E707D7" w:rsidRPr="00731644">
        <w:rPr>
          <w:iCs/>
          <w:lang w:val="fr-CH"/>
        </w:rPr>
        <w:t xml:space="preserve"> discrimination </w:t>
      </w:r>
      <w:r w:rsidR="00A725BF" w:rsidRPr="00731644">
        <w:rPr>
          <w:iCs/>
          <w:lang w:val="fr-CH"/>
        </w:rPr>
        <w:t xml:space="preserve">dans la société participent à </w:t>
      </w:r>
      <w:r w:rsidR="00021AA3" w:rsidRPr="00731644">
        <w:rPr>
          <w:iCs/>
          <w:lang w:val="fr-CH"/>
        </w:rPr>
        <w:t xml:space="preserve">cette </w:t>
      </w:r>
      <w:r w:rsidR="00A725BF" w:rsidRPr="00731644">
        <w:rPr>
          <w:iCs/>
          <w:lang w:val="fr-CH"/>
        </w:rPr>
        <w:t xml:space="preserve">protection </w:t>
      </w:r>
      <w:r w:rsidR="00E707D7" w:rsidRPr="00731644">
        <w:rPr>
          <w:iCs/>
          <w:lang w:val="fr-CH"/>
        </w:rPr>
        <w:t>(</w:t>
      </w:r>
      <w:r w:rsidR="00A725BF" w:rsidRPr="00731644">
        <w:rPr>
          <w:iCs/>
          <w:lang w:val="fr-CH"/>
        </w:rPr>
        <w:t>l</w:t>
      </w:r>
      <w:r w:rsidR="00425386" w:rsidRPr="00731644">
        <w:rPr>
          <w:iCs/>
          <w:lang w:val="fr-CH"/>
        </w:rPr>
        <w:t>’</w:t>
      </w:r>
      <w:r w:rsidR="00A725BF" w:rsidRPr="00731644">
        <w:rPr>
          <w:iCs/>
          <w:lang w:val="fr-CH"/>
        </w:rPr>
        <w:t xml:space="preserve">Agence </w:t>
      </w:r>
      <w:r w:rsidR="006845EE" w:rsidRPr="00731644">
        <w:rPr>
          <w:iCs/>
          <w:lang w:val="fr-CH"/>
        </w:rPr>
        <w:t>d</w:t>
      </w:r>
      <w:r w:rsidR="00A725BF" w:rsidRPr="00731644">
        <w:rPr>
          <w:iCs/>
          <w:lang w:val="fr-CH"/>
        </w:rPr>
        <w:t>es médias électroniques, l</w:t>
      </w:r>
      <w:r w:rsidR="00425386" w:rsidRPr="00731644">
        <w:rPr>
          <w:iCs/>
          <w:lang w:val="fr-CH"/>
        </w:rPr>
        <w:t>’</w:t>
      </w:r>
      <w:r w:rsidR="00A725BF" w:rsidRPr="00731644">
        <w:rPr>
          <w:iCs/>
          <w:lang w:val="fr-CH"/>
        </w:rPr>
        <w:t xml:space="preserve">Agence </w:t>
      </w:r>
      <w:r w:rsidR="006845EE" w:rsidRPr="00731644">
        <w:rPr>
          <w:iCs/>
          <w:lang w:val="fr-CH"/>
        </w:rPr>
        <w:t>de</w:t>
      </w:r>
      <w:r w:rsidR="00A725BF" w:rsidRPr="00731644">
        <w:rPr>
          <w:iCs/>
          <w:lang w:val="fr-CH"/>
        </w:rPr>
        <w:t xml:space="preserve"> </w:t>
      </w:r>
      <w:r w:rsidR="005E123A" w:rsidRPr="00731644">
        <w:rPr>
          <w:iCs/>
          <w:lang w:val="fr-CH"/>
        </w:rPr>
        <w:t>la protection des données personnelles</w:t>
      </w:r>
      <w:r w:rsidR="00E707D7" w:rsidRPr="00731644">
        <w:rPr>
          <w:iCs/>
          <w:lang w:val="fr-CH"/>
        </w:rPr>
        <w:t xml:space="preserve">, </w:t>
      </w:r>
      <w:r w:rsidR="005E123A" w:rsidRPr="00731644">
        <w:rPr>
          <w:iCs/>
          <w:lang w:val="fr-CH"/>
        </w:rPr>
        <w:t xml:space="preserve">le </w:t>
      </w:r>
      <w:r w:rsidR="00AE30A4" w:rsidRPr="00731644">
        <w:rPr>
          <w:iCs/>
          <w:lang w:val="fr-CH"/>
        </w:rPr>
        <w:t>C</w:t>
      </w:r>
      <w:r w:rsidR="005E123A" w:rsidRPr="00731644">
        <w:rPr>
          <w:iCs/>
          <w:lang w:val="fr-CH"/>
        </w:rPr>
        <w:t xml:space="preserve">onseil </w:t>
      </w:r>
      <w:r w:rsidR="006845EE" w:rsidRPr="00731644">
        <w:rPr>
          <w:iCs/>
          <w:lang w:val="fr-CH"/>
        </w:rPr>
        <w:t>de</w:t>
      </w:r>
      <w:r w:rsidR="005E123A" w:rsidRPr="00731644">
        <w:rPr>
          <w:iCs/>
          <w:lang w:val="fr-CH"/>
        </w:rPr>
        <w:t xml:space="preserve"> contrôle civi</w:t>
      </w:r>
      <w:r w:rsidR="00882D64" w:rsidRPr="00731644">
        <w:rPr>
          <w:iCs/>
          <w:lang w:val="fr-CH"/>
        </w:rPr>
        <w:t>l</w:t>
      </w:r>
      <w:r w:rsidR="005E123A" w:rsidRPr="00731644">
        <w:rPr>
          <w:iCs/>
          <w:lang w:val="fr-CH"/>
        </w:rPr>
        <w:t xml:space="preserve"> du travail de la police</w:t>
      </w:r>
      <w:r w:rsidR="00F31DD5" w:rsidRPr="00731644">
        <w:rPr>
          <w:iCs/>
          <w:lang w:val="fr-CH"/>
        </w:rPr>
        <w:t xml:space="preserve"> – </w:t>
      </w:r>
      <w:r w:rsidR="005E123A" w:rsidRPr="00731644">
        <w:rPr>
          <w:iCs/>
          <w:lang w:val="fr-CH"/>
        </w:rPr>
        <w:t>pour ne citer que quelques exemples</w:t>
      </w:r>
      <w:r w:rsidR="00E707D7" w:rsidRPr="00731644">
        <w:rPr>
          <w:iCs/>
          <w:lang w:val="fr-CH"/>
        </w:rPr>
        <w:t>).</w:t>
      </w:r>
    </w:p>
    <w:p w:rsidR="00E707D7" w:rsidRPr="00731644" w:rsidRDefault="007A774E" w:rsidP="00134258">
      <w:pPr>
        <w:pStyle w:val="SingleTxtG"/>
        <w:rPr>
          <w:lang w:val="fr-CH"/>
        </w:rPr>
      </w:pPr>
      <w:r w:rsidRPr="00731644">
        <w:rPr>
          <w:iCs/>
          <w:lang w:val="fr-CH"/>
        </w:rPr>
        <w:t>11.</w:t>
      </w:r>
      <w:r w:rsidRPr="00731644">
        <w:rPr>
          <w:iCs/>
          <w:lang w:val="fr-CH"/>
        </w:rPr>
        <w:tab/>
      </w:r>
      <w:r w:rsidR="007A0FE5" w:rsidRPr="00731644">
        <w:rPr>
          <w:iCs/>
          <w:lang w:val="fr-CH"/>
        </w:rPr>
        <w:t xml:space="preserve">À propos de la </w:t>
      </w:r>
      <w:r w:rsidR="00E707D7" w:rsidRPr="00731644">
        <w:rPr>
          <w:iCs/>
          <w:lang w:val="fr-CH"/>
        </w:rPr>
        <w:t xml:space="preserve">protection </w:t>
      </w:r>
      <w:r w:rsidR="007A0FE5" w:rsidRPr="00731644">
        <w:rPr>
          <w:iCs/>
          <w:lang w:val="fr-CH"/>
        </w:rPr>
        <w:t>des</w:t>
      </w:r>
      <w:r w:rsidR="000169BD" w:rsidRPr="00731644">
        <w:rPr>
          <w:iCs/>
          <w:lang w:val="fr-CH"/>
        </w:rPr>
        <w:t xml:space="preserve"> </w:t>
      </w:r>
      <w:r w:rsidR="007A0FE5" w:rsidRPr="00731644">
        <w:rPr>
          <w:iCs/>
          <w:lang w:val="fr-CH"/>
        </w:rPr>
        <w:t>droits des minorités ethniques, signalons la mise en place de trois importants mécanismes institutionnels</w:t>
      </w:r>
      <w:r w:rsidR="00F31DD5" w:rsidRPr="00731644">
        <w:rPr>
          <w:iCs/>
          <w:lang w:val="fr-CH"/>
        </w:rPr>
        <w:t>:</w:t>
      </w:r>
      <w:r w:rsidR="006845EE" w:rsidRPr="00731644">
        <w:rPr>
          <w:iCs/>
          <w:lang w:val="fr-CH"/>
        </w:rPr>
        <w:t xml:space="preserve"> </w:t>
      </w:r>
      <w:r w:rsidR="007A0FE5" w:rsidRPr="00731644">
        <w:rPr>
          <w:iCs/>
          <w:lang w:val="fr-CH"/>
        </w:rPr>
        <w:t xml:space="preserve">les conseils de toutes les </w:t>
      </w:r>
      <w:r w:rsidR="000169BD" w:rsidRPr="00731644">
        <w:rPr>
          <w:iCs/>
          <w:lang w:val="fr-CH"/>
        </w:rPr>
        <w:t>com</w:t>
      </w:r>
      <w:r w:rsidR="007A0FE5" w:rsidRPr="00731644">
        <w:rPr>
          <w:iCs/>
          <w:lang w:val="fr-CH"/>
        </w:rPr>
        <w:t xml:space="preserve">munautés minoritaires, le Fonds </w:t>
      </w:r>
      <w:r w:rsidR="00987C2D" w:rsidRPr="00731644">
        <w:rPr>
          <w:iCs/>
          <w:lang w:val="fr-CH"/>
        </w:rPr>
        <w:t>de soutien aux</w:t>
      </w:r>
      <w:r w:rsidR="007A0FE5" w:rsidRPr="00731644">
        <w:rPr>
          <w:iCs/>
          <w:lang w:val="fr-CH"/>
        </w:rPr>
        <w:t xml:space="preserve"> minorités</w:t>
      </w:r>
      <w:r w:rsidR="000169BD" w:rsidRPr="00731644">
        <w:rPr>
          <w:iCs/>
          <w:lang w:val="fr-CH"/>
        </w:rPr>
        <w:t>, par l</w:t>
      </w:r>
      <w:r w:rsidR="00425386" w:rsidRPr="00731644">
        <w:rPr>
          <w:iCs/>
          <w:lang w:val="fr-CH"/>
        </w:rPr>
        <w:t>’</w:t>
      </w:r>
      <w:r w:rsidR="000169BD" w:rsidRPr="00731644">
        <w:rPr>
          <w:iCs/>
          <w:lang w:val="fr-CH"/>
        </w:rPr>
        <w:t>intermédiaire duquel sont financés</w:t>
      </w:r>
      <w:r w:rsidR="00E707D7" w:rsidRPr="00731644">
        <w:rPr>
          <w:iCs/>
          <w:lang w:val="fr-CH"/>
        </w:rPr>
        <w:t xml:space="preserve"> </w:t>
      </w:r>
      <w:r w:rsidR="000169BD" w:rsidRPr="00731644">
        <w:rPr>
          <w:iCs/>
          <w:lang w:val="fr-CH"/>
        </w:rPr>
        <w:t>les projets d</w:t>
      </w:r>
      <w:r w:rsidR="00425386" w:rsidRPr="00731644">
        <w:rPr>
          <w:iCs/>
          <w:lang w:val="fr-CH"/>
        </w:rPr>
        <w:t>’</w:t>
      </w:r>
      <w:r w:rsidR="000169BD" w:rsidRPr="00731644">
        <w:rPr>
          <w:iCs/>
          <w:lang w:val="fr-CH"/>
        </w:rPr>
        <w:t xml:space="preserve">importance pour la </w:t>
      </w:r>
      <w:r w:rsidR="00A66512" w:rsidRPr="00731644">
        <w:rPr>
          <w:iCs/>
          <w:lang w:val="fr-CH"/>
        </w:rPr>
        <w:t>protection</w:t>
      </w:r>
      <w:r w:rsidR="000169BD" w:rsidRPr="00731644">
        <w:rPr>
          <w:iCs/>
          <w:lang w:val="fr-CH"/>
        </w:rPr>
        <w:t xml:space="preserve"> des droits de minorités, et le Centre </w:t>
      </w:r>
      <w:r w:rsidR="006845EE" w:rsidRPr="00731644">
        <w:rPr>
          <w:iCs/>
          <w:lang w:val="fr-CH"/>
        </w:rPr>
        <w:t>de</w:t>
      </w:r>
      <w:r w:rsidR="000169BD" w:rsidRPr="00731644">
        <w:rPr>
          <w:iCs/>
          <w:lang w:val="fr-CH"/>
        </w:rPr>
        <w:t xml:space="preserve"> </w:t>
      </w:r>
      <w:r w:rsidR="001A76F1" w:rsidRPr="00731644">
        <w:rPr>
          <w:iCs/>
          <w:lang w:val="fr-CH"/>
        </w:rPr>
        <w:t>sauvegarde</w:t>
      </w:r>
      <w:r w:rsidR="000169BD" w:rsidRPr="00731644">
        <w:rPr>
          <w:iCs/>
          <w:lang w:val="fr-CH"/>
        </w:rPr>
        <w:t xml:space="preserve"> et </w:t>
      </w:r>
      <w:r w:rsidR="006845EE" w:rsidRPr="00731644">
        <w:rPr>
          <w:iCs/>
          <w:lang w:val="fr-CH"/>
        </w:rPr>
        <w:t>de</w:t>
      </w:r>
      <w:r w:rsidR="001A76F1" w:rsidRPr="00731644">
        <w:rPr>
          <w:iCs/>
          <w:lang w:val="fr-CH"/>
        </w:rPr>
        <w:t xml:space="preserve"> mise en valeur</w:t>
      </w:r>
      <w:r w:rsidR="000169BD" w:rsidRPr="00731644">
        <w:rPr>
          <w:iCs/>
          <w:lang w:val="fr-CH"/>
        </w:rPr>
        <w:t xml:space="preserve"> des cultures des minorités.</w:t>
      </w:r>
      <w:r w:rsidR="00F31DD5" w:rsidRPr="00731644">
        <w:rPr>
          <w:iCs/>
          <w:lang w:val="fr-CH"/>
        </w:rPr>
        <w:t xml:space="preserve"> </w:t>
      </w:r>
      <w:r w:rsidR="000169BD" w:rsidRPr="00731644">
        <w:rPr>
          <w:lang w:val="fr-CH"/>
        </w:rPr>
        <w:t xml:space="preserve">Ces mécanismes </w:t>
      </w:r>
      <w:r w:rsidR="001A76F1" w:rsidRPr="00731644">
        <w:rPr>
          <w:lang w:val="fr-CH"/>
        </w:rPr>
        <w:t>o</w:t>
      </w:r>
      <w:r w:rsidR="000169BD" w:rsidRPr="00731644">
        <w:rPr>
          <w:lang w:val="fr-CH"/>
        </w:rPr>
        <w:t xml:space="preserve">nt de la personnalité juridique et </w:t>
      </w:r>
      <w:r w:rsidR="001A76F1" w:rsidRPr="00731644">
        <w:rPr>
          <w:lang w:val="fr-CH"/>
        </w:rPr>
        <w:t>so</w:t>
      </w:r>
      <w:r w:rsidR="000169BD" w:rsidRPr="00731644">
        <w:rPr>
          <w:lang w:val="fr-CH"/>
        </w:rPr>
        <w:t>nt l</w:t>
      </w:r>
      <w:r w:rsidR="00425386" w:rsidRPr="00731644">
        <w:rPr>
          <w:lang w:val="fr-CH"/>
        </w:rPr>
        <w:t>’</w:t>
      </w:r>
      <w:r w:rsidR="000169BD" w:rsidRPr="00731644">
        <w:rPr>
          <w:lang w:val="fr-CH"/>
        </w:rPr>
        <w:t xml:space="preserve">élément </w:t>
      </w:r>
      <w:r w:rsidR="001A76F1" w:rsidRPr="00731644">
        <w:rPr>
          <w:lang w:val="fr-CH"/>
        </w:rPr>
        <w:t xml:space="preserve">du dispositif en faveur </w:t>
      </w:r>
      <w:r w:rsidR="000169BD" w:rsidRPr="00731644">
        <w:rPr>
          <w:iCs/>
          <w:lang w:val="fr-CH"/>
        </w:rPr>
        <w:t xml:space="preserve">des droits de minorités qui </w:t>
      </w:r>
      <w:r w:rsidR="001A76F1" w:rsidRPr="00731644">
        <w:rPr>
          <w:iCs/>
          <w:lang w:val="fr-CH"/>
        </w:rPr>
        <w:t xml:space="preserve">est </w:t>
      </w:r>
      <w:r w:rsidR="000169BD" w:rsidRPr="00731644">
        <w:rPr>
          <w:iCs/>
          <w:lang w:val="fr-CH"/>
        </w:rPr>
        <w:t>le plus étroitement rég</w:t>
      </w:r>
      <w:r w:rsidR="001A76F1" w:rsidRPr="00731644">
        <w:rPr>
          <w:iCs/>
          <w:lang w:val="fr-CH"/>
        </w:rPr>
        <w:t>lementé</w:t>
      </w:r>
      <w:r w:rsidR="000169BD" w:rsidRPr="00731644">
        <w:rPr>
          <w:iCs/>
          <w:lang w:val="fr-CH"/>
        </w:rPr>
        <w:t xml:space="preserve"> par la </w:t>
      </w:r>
      <w:r w:rsidR="000169BD" w:rsidRPr="000D32F3">
        <w:rPr>
          <w:lang w:val="fr-CH"/>
        </w:rPr>
        <w:t xml:space="preserve">loi sur les droits et libertés des minorités. </w:t>
      </w:r>
      <w:r w:rsidR="000169BD" w:rsidRPr="00731644">
        <w:rPr>
          <w:iCs/>
          <w:lang w:val="fr-CH"/>
        </w:rPr>
        <w:t xml:space="preserve">Cette loi-cadre a été en partie modifiée </w:t>
      </w:r>
      <w:r w:rsidR="001A76F1" w:rsidRPr="00731644">
        <w:rPr>
          <w:iCs/>
          <w:lang w:val="fr-CH"/>
        </w:rPr>
        <w:t>à la suite de</w:t>
      </w:r>
      <w:r w:rsidR="000169BD" w:rsidRPr="00731644">
        <w:rPr>
          <w:iCs/>
          <w:lang w:val="fr-CH"/>
        </w:rPr>
        <w:t xml:space="preserve"> </w:t>
      </w:r>
      <w:r w:rsidR="001A76F1" w:rsidRPr="00731644">
        <w:rPr>
          <w:iCs/>
          <w:lang w:val="fr-CH"/>
        </w:rPr>
        <w:t>l</w:t>
      </w:r>
      <w:r w:rsidR="00425386" w:rsidRPr="00731644">
        <w:rPr>
          <w:iCs/>
          <w:lang w:val="fr-CH"/>
        </w:rPr>
        <w:t>’</w:t>
      </w:r>
      <w:r w:rsidR="001A76F1" w:rsidRPr="00731644">
        <w:rPr>
          <w:iCs/>
          <w:lang w:val="fr-CH"/>
        </w:rPr>
        <w:t>arrêt</w:t>
      </w:r>
      <w:r w:rsidR="00F31DD5" w:rsidRPr="00731644">
        <w:rPr>
          <w:iCs/>
          <w:lang w:val="fr-CH"/>
        </w:rPr>
        <w:t xml:space="preserve"> </w:t>
      </w:r>
      <w:r w:rsidR="001A76F1" w:rsidRPr="00731644">
        <w:rPr>
          <w:iCs/>
          <w:lang w:val="fr-CH"/>
        </w:rPr>
        <w:t>de</w:t>
      </w:r>
      <w:r w:rsidR="000169BD" w:rsidRPr="00731644">
        <w:rPr>
          <w:iCs/>
          <w:lang w:val="fr-CH"/>
        </w:rPr>
        <w:t xml:space="preserve"> la Cour constitutionnelle abrog</w:t>
      </w:r>
      <w:r w:rsidR="001A76F1" w:rsidRPr="00731644">
        <w:rPr>
          <w:iCs/>
          <w:lang w:val="fr-CH"/>
        </w:rPr>
        <w:t xml:space="preserve">eant </w:t>
      </w:r>
      <w:r w:rsidR="000169BD" w:rsidRPr="00731644">
        <w:rPr>
          <w:iCs/>
          <w:lang w:val="fr-CH"/>
        </w:rPr>
        <w:t xml:space="preserve">les dispositions des </w:t>
      </w:r>
      <w:r w:rsidR="00CB7658" w:rsidRPr="00731644">
        <w:rPr>
          <w:iCs/>
          <w:lang w:val="fr-CH"/>
        </w:rPr>
        <w:t>articles </w:t>
      </w:r>
      <w:r w:rsidR="00E707D7" w:rsidRPr="00731644">
        <w:rPr>
          <w:iCs/>
          <w:lang w:val="fr-CH"/>
        </w:rPr>
        <w:t xml:space="preserve">23 </w:t>
      </w:r>
      <w:r w:rsidR="000169BD" w:rsidRPr="00731644">
        <w:rPr>
          <w:iCs/>
          <w:lang w:val="fr-CH"/>
        </w:rPr>
        <w:t>et</w:t>
      </w:r>
      <w:r w:rsidR="00E707D7" w:rsidRPr="00731644">
        <w:rPr>
          <w:iCs/>
          <w:lang w:val="fr-CH"/>
        </w:rPr>
        <w:t xml:space="preserve"> 24 </w:t>
      </w:r>
      <w:r w:rsidR="008B6D17" w:rsidRPr="00731644">
        <w:rPr>
          <w:iCs/>
          <w:lang w:val="fr-CH"/>
        </w:rPr>
        <w:t>relati</w:t>
      </w:r>
      <w:r w:rsidR="001A76F1" w:rsidRPr="00731644">
        <w:rPr>
          <w:iCs/>
          <w:lang w:val="fr-CH"/>
        </w:rPr>
        <w:t>ve</w:t>
      </w:r>
      <w:r w:rsidR="008B6D17" w:rsidRPr="00731644">
        <w:rPr>
          <w:iCs/>
          <w:lang w:val="fr-CH"/>
        </w:rPr>
        <w:t>s à la représentation d</w:t>
      </w:r>
      <w:r w:rsidR="00856973" w:rsidRPr="00731644">
        <w:rPr>
          <w:iCs/>
          <w:lang w:val="fr-CH"/>
        </w:rPr>
        <w:t>e</w:t>
      </w:r>
      <w:r w:rsidR="008B6D17" w:rsidRPr="00731644">
        <w:rPr>
          <w:iCs/>
          <w:lang w:val="fr-CH"/>
        </w:rPr>
        <w:t xml:space="preserve">s minorités aux échelons central et local </w:t>
      </w:r>
      <w:r w:rsidR="00E707D7" w:rsidRPr="00731644">
        <w:rPr>
          <w:iCs/>
          <w:lang w:val="fr-CH"/>
        </w:rPr>
        <w:t>(</w:t>
      </w:r>
      <w:r w:rsidR="008B6D17" w:rsidRPr="00731644">
        <w:rPr>
          <w:iCs/>
          <w:lang w:val="fr-CH"/>
        </w:rPr>
        <w:t xml:space="preserve">au Parlement et dans les assemblées des </w:t>
      </w:r>
      <w:r w:rsidR="00987C2D" w:rsidRPr="00731644">
        <w:rPr>
          <w:iCs/>
          <w:lang w:val="fr-CH"/>
        </w:rPr>
        <w:t>collectiv</w:t>
      </w:r>
      <w:r w:rsidR="008B6D17" w:rsidRPr="00731644">
        <w:rPr>
          <w:iCs/>
          <w:lang w:val="fr-CH"/>
        </w:rPr>
        <w:t>ités locales</w:t>
      </w:r>
      <w:r w:rsidR="00856973" w:rsidRPr="00731644">
        <w:rPr>
          <w:iCs/>
          <w:lang w:val="fr-CH"/>
        </w:rPr>
        <w:t xml:space="preserve"> </w:t>
      </w:r>
      <w:r w:rsidR="008B6D17" w:rsidRPr="00731644">
        <w:rPr>
          <w:iCs/>
          <w:lang w:val="fr-CH"/>
        </w:rPr>
        <w:t>autonomes</w:t>
      </w:r>
      <w:r w:rsidR="00E707D7" w:rsidRPr="00731644">
        <w:rPr>
          <w:iCs/>
          <w:lang w:val="fr-CH"/>
        </w:rPr>
        <w:t xml:space="preserve">), </w:t>
      </w:r>
      <w:r w:rsidR="008B6D17" w:rsidRPr="00731644">
        <w:rPr>
          <w:iCs/>
          <w:lang w:val="fr-CH"/>
        </w:rPr>
        <w:t>conformément au principe de l</w:t>
      </w:r>
      <w:r w:rsidR="00425386" w:rsidRPr="00731644">
        <w:rPr>
          <w:iCs/>
          <w:lang w:val="fr-CH"/>
        </w:rPr>
        <w:t>’</w:t>
      </w:r>
      <w:r w:rsidR="008B6D17" w:rsidRPr="00731644">
        <w:rPr>
          <w:iCs/>
          <w:lang w:val="fr-CH"/>
        </w:rPr>
        <w:t xml:space="preserve">action positive. </w:t>
      </w:r>
    </w:p>
    <w:p w:rsidR="00E707D7" w:rsidRPr="00731644" w:rsidRDefault="007A774E" w:rsidP="003B27E7">
      <w:pPr>
        <w:pStyle w:val="SingleTxtG"/>
        <w:rPr>
          <w:lang w:val="fr-CH"/>
        </w:rPr>
      </w:pPr>
      <w:r w:rsidRPr="00731644">
        <w:rPr>
          <w:lang w:val="fr-CH"/>
        </w:rPr>
        <w:t>12.</w:t>
      </w:r>
      <w:r w:rsidRPr="00731644">
        <w:rPr>
          <w:lang w:val="fr-CH"/>
        </w:rPr>
        <w:tab/>
      </w:r>
      <w:r w:rsidR="007E44D5" w:rsidRPr="00731644">
        <w:rPr>
          <w:lang w:val="fr-CH"/>
        </w:rPr>
        <w:t xml:space="preserve">Le </w:t>
      </w:r>
      <w:r w:rsidR="001A76F1" w:rsidRPr="00731644">
        <w:rPr>
          <w:lang w:val="fr-CH"/>
        </w:rPr>
        <w:t>C</w:t>
      </w:r>
      <w:r w:rsidR="007E44D5" w:rsidRPr="00731644">
        <w:rPr>
          <w:lang w:val="fr-CH"/>
        </w:rPr>
        <w:t xml:space="preserve">omité ayant recommandé, au </w:t>
      </w:r>
      <w:r w:rsidR="00CB7658" w:rsidRPr="00731644">
        <w:rPr>
          <w:lang w:val="fr-CH"/>
        </w:rPr>
        <w:t>paragraphe </w:t>
      </w:r>
      <w:r w:rsidR="00E707D7" w:rsidRPr="00731644">
        <w:rPr>
          <w:lang w:val="fr-CH"/>
        </w:rPr>
        <w:t xml:space="preserve">10 </w:t>
      </w:r>
      <w:r w:rsidR="007E44D5" w:rsidRPr="00731644">
        <w:rPr>
          <w:lang w:val="fr-CH"/>
        </w:rPr>
        <w:t>de ses observations finales</w:t>
      </w:r>
      <w:r w:rsidR="007E464A" w:rsidRPr="00731644">
        <w:rPr>
          <w:lang w:val="fr-CH"/>
        </w:rPr>
        <w:t xml:space="preserve"> relatives au rapport initial du Monténégro</w:t>
      </w:r>
      <w:r w:rsidR="00987C2D" w:rsidRPr="00731644">
        <w:rPr>
          <w:lang w:val="fr-CH"/>
        </w:rPr>
        <w:t>,</w:t>
      </w:r>
      <w:r w:rsidR="00F31DD5" w:rsidRPr="00731644">
        <w:rPr>
          <w:lang w:val="fr-CH"/>
        </w:rPr>
        <w:t xml:space="preserve"> </w:t>
      </w:r>
      <w:r w:rsidR="007E44D5" w:rsidRPr="00731644">
        <w:rPr>
          <w:lang w:val="fr-CH"/>
        </w:rPr>
        <w:t>qu</w:t>
      </w:r>
      <w:r w:rsidR="00165419" w:rsidRPr="00731644">
        <w:rPr>
          <w:lang w:val="fr-CH"/>
        </w:rPr>
        <w:t>e</w:t>
      </w:r>
      <w:r w:rsidR="007E44D5" w:rsidRPr="00731644">
        <w:rPr>
          <w:lang w:val="fr-CH"/>
        </w:rPr>
        <w:t xml:space="preserve"> </w:t>
      </w:r>
      <w:r w:rsidR="007E464A" w:rsidRPr="00731644">
        <w:rPr>
          <w:lang w:val="fr-CH"/>
        </w:rPr>
        <w:t>celui-ci</w:t>
      </w:r>
      <w:r w:rsidR="007E44D5" w:rsidRPr="00731644">
        <w:rPr>
          <w:lang w:val="fr-CH"/>
        </w:rPr>
        <w:t xml:space="preserve"> mette sa législation (et notamment la </w:t>
      </w:r>
      <w:r w:rsidR="007E44D5" w:rsidRPr="000D32F3">
        <w:rPr>
          <w:iCs/>
          <w:lang w:val="fr-CH"/>
        </w:rPr>
        <w:t>loi sur les droits et libertés des minorités</w:t>
      </w:r>
      <w:r w:rsidR="007E44D5" w:rsidRPr="00731644">
        <w:rPr>
          <w:lang w:val="fr-CH"/>
        </w:rPr>
        <w:t xml:space="preserve">) en conformité avec </w:t>
      </w:r>
      <w:r w:rsidR="00B446D9" w:rsidRPr="00731644">
        <w:rPr>
          <w:lang w:val="fr-CH"/>
        </w:rPr>
        <w:t>s</w:t>
      </w:r>
      <w:r w:rsidR="007E44D5" w:rsidRPr="00731644">
        <w:rPr>
          <w:lang w:val="fr-CH"/>
        </w:rPr>
        <w:t>a</w:t>
      </w:r>
      <w:r w:rsidR="00F31DD5" w:rsidRPr="00731644">
        <w:rPr>
          <w:lang w:val="fr-CH"/>
        </w:rPr>
        <w:t xml:space="preserve"> </w:t>
      </w:r>
      <w:r w:rsidR="00E707D7" w:rsidRPr="00731644">
        <w:rPr>
          <w:lang w:val="fr-CH"/>
        </w:rPr>
        <w:t xml:space="preserve">Constitution, </w:t>
      </w:r>
      <w:r w:rsidR="00165419" w:rsidRPr="00731644">
        <w:rPr>
          <w:lang w:val="fr-CH"/>
        </w:rPr>
        <w:t>soulignons</w:t>
      </w:r>
      <w:r w:rsidR="007E44D5" w:rsidRPr="00731644">
        <w:rPr>
          <w:lang w:val="fr-CH"/>
        </w:rPr>
        <w:t xml:space="preserve"> que la Cour constitutionnelle </w:t>
      </w:r>
      <w:r w:rsidR="00B446D9" w:rsidRPr="00731644">
        <w:rPr>
          <w:lang w:val="fr-CH"/>
        </w:rPr>
        <w:t>a précisément estimé, pour l</w:t>
      </w:r>
      <w:r w:rsidR="00425386" w:rsidRPr="00731644">
        <w:rPr>
          <w:lang w:val="fr-CH"/>
        </w:rPr>
        <w:t>’</w:t>
      </w:r>
      <w:r w:rsidR="00B446D9" w:rsidRPr="00731644">
        <w:rPr>
          <w:lang w:val="fr-CH"/>
        </w:rPr>
        <w:t xml:space="preserve">essentiel, que les dispositions des </w:t>
      </w:r>
      <w:r w:rsidR="00CB7658" w:rsidRPr="00731644">
        <w:rPr>
          <w:lang w:val="fr-CH"/>
        </w:rPr>
        <w:t>articles </w:t>
      </w:r>
      <w:r w:rsidR="00E707D7" w:rsidRPr="00731644">
        <w:rPr>
          <w:lang w:val="fr-CH"/>
        </w:rPr>
        <w:t xml:space="preserve">23 </w:t>
      </w:r>
      <w:r w:rsidR="00B446D9" w:rsidRPr="00731644">
        <w:rPr>
          <w:lang w:val="fr-CH"/>
        </w:rPr>
        <w:t>et</w:t>
      </w:r>
      <w:r w:rsidR="00E707D7" w:rsidRPr="00731644">
        <w:rPr>
          <w:lang w:val="fr-CH"/>
        </w:rPr>
        <w:t xml:space="preserve"> 24 </w:t>
      </w:r>
      <w:r w:rsidR="00B446D9" w:rsidRPr="00731644">
        <w:rPr>
          <w:lang w:val="fr-CH"/>
        </w:rPr>
        <w:t>de cette loi portai</w:t>
      </w:r>
      <w:r w:rsidR="00165419" w:rsidRPr="00731644">
        <w:rPr>
          <w:lang w:val="fr-CH"/>
        </w:rPr>
        <w:t>en</w:t>
      </w:r>
      <w:r w:rsidR="00B446D9" w:rsidRPr="00731644">
        <w:rPr>
          <w:lang w:val="fr-CH"/>
        </w:rPr>
        <w:t>t atteinte au droit à des élections libres et démocratiques et violaient le principe de l</w:t>
      </w:r>
      <w:r w:rsidR="00425386" w:rsidRPr="00731644">
        <w:rPr>
          <w:lang w:val="fr-CH"/>
        </w:rPr>
        <w:t>’</w:t>
      </w:r>
      <w:r w:rsidR="00B446D9" w:rsidRPr="00731644">
        <w:rPr>
          <w:lang w:val="fr-CH"/>
        </w:rPr>
        <w:t>égalité</w:t>
      </w:r>
      <w:r w:rsidR="00E707D7" w:rsidRPr="00731644">
        <w:rPr>
          <w:lang w:val="fr-CH"/>
        </w:rPr>
        <w:t xml:space="preserve"> </w:t>
      </w:r>
      <w:r w:rsidR="00B446D9" w:rsidRPr="00731644">
        <w:rPr>
          <w:lang w:val="fr-CH"/>
        </w:rPr>
        <w:t>d</w:t>
      </w:r>
      <w:r w:rsidR="00165419" w:rsidRPr="00731644">
        <w:rPr>
          <w:lang w:val="fr-CH"/>
        </w:rPr>
        <w:t>e</w:t>
      </w:r>
      <w:r w:rsidR="00B446D9" w:rsidRPr="00731644">
        <w:rPr>
          <w:lang w:val="fr-CH"/>
        </w:rPr>
        <w:t xml:space="preserve"> jouissance de ce droit, garanti par le droit international et </w:t>
      </w:r>
      <w:r w:rsidR="00165419" w:rsidRPr="00731644">
        <w:rPr>
          <w:lang w:val="fr-CH"/>
        </w:rPr>
        <w:t xml:space="preserve">par </w:t>
      </w:r>
      <w:r w:rsidR="00B446D9" w:rsidRPr="00731644">
        <w:rPr>
          <w:lang w:val="fr-CH"/>
        </w:rPr>
        <w:t xml:space="preserve">la </w:t>
      </w:r>
      <w:r w:rsidR="00E707D7" w:rsidRPr="00731644">
        <w:rPr>
          <w:lang w:val="fr-CH"/>
        </w:rPr>
        <w:t xml:space="preserve">Constitution. </w:t>
      </w:r>
      <w:r w:rsidR="00B446D9" w:rsidRPr="00731644">
        <w:rPr>
          <w:lang w:val="fr-CH"/>
        </w:rPr>
        <w:t xml:space="preserve">La question est considérée comme relevant de la </w:t>
      </w:r>
      <w:r w:rsidR="00165419" w:rsidRPr="00731644">
        <w:rPr>
          <w:lang w:val="fr-CH"/>
        </w:rPr>
        <w:t>loi</w:t>
      </w:r>
      <w:r w:rsidR="00B446D9" w:rsidRPr="00731644">
        <w:rPr>
          <w:lang w:val="fr-CH"/>
        </w:rPr>
        <w:t xml:space="preserve"> électorale</w:t>
      </w:r>
      <w:r w:rsidR="00165419" w:rsidRPr="00731644">
        <w:rPr>
          <w:lang w:val="fr-CH"/>
        </w:rPr>
        <w:t>,</w:t>
      </w:r>
      <w:r w:rsidR="00B446D9" w:rsidRPr="00731644">
        <w:rPr>
          <w:lang w:val="fr-CH"/>
        </w:rPr>
        <w:t xml:space="preserve"> et c</w:t>
      </w:r>
      <w:r w:rsidR="00425386" w:rsidRPr="00731644">
        <w:rPr>
          <w:lang w:val="fr-CH"/>
        </w:rPr>
        <w:t>’</w:t>
      </w:r>
      <w:r w:rsidR="00B446D9" w:rsidRPr="00731644">
        <w:rPr>
          <w:lang w:val="fr-CH"/>
        </w:rPr>
        <w:t xml:space="preserve">est </w:t>
      </w:r>
      <w:r w:rsidR="00165419" w:rsidRPr="00731644">
        <w:rPr>
          <w:lang w:val="fr-CH"/>
        </w:rPr>
        <w:t>du côté du système électoral qu</w:t>
      </w:r>
      <w:r w:rsidR="00425386" w:rsidRPr="00731644">
        <w:rPr>
          <w:lang w:val="fr-CH"/>
        </w:rPr>
        <w:t>’</w:t>
      </w:r>
      <w:r w:rsidR="00B446D9" w:rsidRPr="00731644">
        <w:rPr>
          <w:lang w:val="fr-CH"/>
        </w:rPr>
        <w:t>une solution</w:t>
      </w:r>
      <w:r w:rsidR="006443F6" w:rsidRPr="00731644">
        <w:rPr>
          <w:lang w:val="fr-CH"/>
        </w:rPr>
        <w:t xml:space="preserve"> </w:t>
      </w:r>
      <w:r w:rsidR="00165419" w:rsidRPr="00731644">
        <w:rPr>
          <w:lang w:val="fr-CH"/>
        </w:rPr>
        <w:t>est actuellement recherchée</w:t>
      </w:r>
      <w:r w:rsidR="00F31DD5" w:rsidRPr="00731644">
        <w:rPr>
          <w:lang w:val="fr-CH"/>
        </w:rPr>
        <w:t>;</w:t>
      </w:r>
      <w:r w:rsidR="00165419" w:rsidRPr="00731644">
        <w:rPr>
          <w:lang w:val="fr-CH"/>
        </w:rPr>
        <w:t xml:space="preserve"> la question</w:t>
      </w:r>
      <w:r w:rsidR="00B446D9" w:rsidRPr="00731644">
        <w:rPr>
          <w:lang w:val="fr-CH"/>
        </w:rPr>
        <w:t xml:space="preserve"> est entièrement entre les mains du Parlement et de ses organes de travail, qui </w:t>
      </w:r>
      <w:r w:rsidR="00165419" w:rsidRPr="00731644">
        <w:rPr>
          <w:lang w:val="fr-CH"/>
        </w:rPr>
        <w:t>s</w:t>
      </w:r>
      <w:r w:rsidR="00425386" w:rsidRPr="00731644">
        <w:rPr>
          <w:lang w:val="fr-CH"/>
        </w:rPr>
        <w:t>’</w:t>
      </w:r>
      <w:r w:rsidR="00165419" w:rsidRPr="00731644">
        <w:rPr>
          <w:lang w:val="fr-CH"/>
        </w:rPr>
        <w:t>emploient</w:t>
      </w:r>
      <w:r w:rsidR="00B446D9" w:rsidRPr="00731644">
        <w:rPr>
          <w:lang w:val="fr-CH"/>
        </w:rPr>
        <w:t xml:space="preserve"> depuis longtemps </w:t>
      </w:r>
      <w:r w:rsidR="00165419" w:rsidRPr="00731644">
        <w:rPr>
          <w:lang w:val="fr-CH"/>
        </w:rPr>
        <w:t>à</w:t>
      </w:r>
      <w:r w:rsidR="00B446D9" w:rsidRPr="00731644">
        <w:rPr>
          <w:lang w:val="fr-CH"/>
        </w:rPr>
        <w:t xml:space="preserve"> trouver un </w:t>
      </w:r>
      <w:r w:rsidR="00165419" w:rsidRPr="00731644">
        <w:rPr>
          <w:lang w:val="fr-CH"/>
        </w:rPr>
        <w:t>système</w:t>
      </w:r>
      <w:r w:rsidR="00B446D9" w:rsidRPr="00731644">
        <w:rPr>
          <w:lang w:val="fr-CH"/>
        </w:rPr>
        <w:t xml:space="preserve"> </w:t>
      </w:r>
      <w:r w:rsidR="00930E18" w:rsidRPr="00731644">
        <w:rPr>
          <w:lang w:val="fr-CH"/>
        </w:rPr>
        <w:t>susceptible d</w:t>
      </w:r>
      <w:r w:rsidR="00425386" w:rsidRPr="00731644">
        <w:rPr>
          <w:lang w:val="fr-CH"/>
        </w:rPr>
        <w:t>’</w:t>
      </w:r>
      <w:r w:rsidR="00B446D9" w:rsidRPr="00731644">
        <w:rPr>
          <w:lang w:val="fr-CH"/>
        </w:rPr>
        <w:t xml:space="preserve">être adopté par les parlementaires à la majorité qualifiée des deux-tiers. Le texte </w:t>
      </w:r>
      <w:r w:rsidR="00930E18" w:rsidRPr="00731644">
        <w:rPr>
          <w:lang w:val="fr-CH"/>
        </w:rPr>
        <w:t xml:space="preserve">législatif </w:t>
      </w:r>
      <w:r w:rsidR="00B446D9" w:rsidRPr="00731644">
        <w:rPr>
          <w:lang w:val="fr-CH"/>
        </w:rPr>
        <w:t xml:space="preserve">qui </w:t>
      </w:r>
      <w:r w:rsidR="00A66512" w:rsidRPr="00731644">
        <w:rPr>
          <w:lang w:val="fr-CH"/>
        </w:rPr>
        <w:t>agréerait</w:t>
      </w:r>
      <w:r w:rsidR="00B446D9" w:rsidRPr="00731644">
        <w:rPr>
          <w:lang w:val="fr-CH"/>
        </w:rPr>
        <w:t xml:space="preserve"> à tous les partis </w:t>
      </w:r>
      <w:r w:rsidR="00AC1226" w:rsidRPr="00731644">
        <w:rPr>
          <w:lang w:val="fr-CH"/>
        </w:rPr>
        <w:t xml:space="preserve">représentés au </w:t>
      </w:r>
      <w:r w:rsidR="00930E18" w:rsidRPr="00731644">
        <w:rPr>
          <w:lang w:val="fr-CH"/>
        </w:rPr>
        <w:t>P</w:t>
      </w:r>
      <w:r w:rsidR="00AC1226" w:rsidRPr="00731644">
        <w:rPr>
          <w:lang w:val="fr-CH"/>
        </w:rPr>
        <w:t xml:space="preserve">arlement et </w:t>
      </w:r>
      <w:r w:rsidR="00930E18" w:rsidRPr="00731644">
        <w:rPr>
          <w:lang w:val="fr-CH"/>
        </w:rPr>
        <w:t xml:space="preserve">pourrait </w:t>
      </w:r>
      <w:r w:rsidR="00AC1226" w:rsidRPr="00731644">
        <w:rPr>
          <w:lang w:val="fr-CH"/>
        </w:rPr>
        <w:t xml:space="preserve">être adopté à la majorité requise </w:t>
      </w:r>
      <w:r w:rsidR="0089017C" w:rsidRPr="00731644">
        <w:rPr>
          <w:lang w:val="fr-CH"/>
        </w:rPr>
        <w:t>n</w:t>
      </w:r>
      <w:r w:rsidR="00425386" w:rsidRPr="00731644">
        <w:rPr>
          <w:lang w:val="fr-CH"/>
        </w:rPr>
        <w:t>’</w:t>
      </w:r>
      <w:r w:rsidR="0089017C" w:rsidRPr="00731644">
        <w:rPr>
          <w:lang w:val="fr-CH"/>
        </w:rPr>
        <w:t>a pas</w:t>
      </w:r>
      <w:r w:rsidR="00930E18" w:rsidRPr="00731644">
        <w:rPr>
          <w:lang w:val="fr-CH"/>
        </w:rPr>
        <w:t xml:space="preserve"> encore </w:t>
      </w:r>
      <w:r w:rsidR="0089017C" w:rsidRPr="00731644">
        <w:rPr>
          <w:lang w:val="fr-CH"/>
        </w:rPr>
        <w:t>été</w:t>
      </w:r>
      <w:r w:rsidR="00930E18" w:rsidRPr="00731644">
        <w:rPr>
          <w:lang w:val="fr-CH"/>
        </w:rPr>
        <w:t xml:space="preserve"> </w:t>
      </w:r>
      <w:r w:rsidR="00AC1226" w:rsidRPr="00731644">
        <w:rPr>
          <w:lang w:val="fr-CH"/>
        </w:rPr>
        <w:t>trouv</w:t>
      </w:r>
      <w:r w:rsidR="0089017C" w:rsidRPr="00731644">
        <w:rPr>
          <w:lang w:val="fr-CH"/>
        </w:rPr>
        <w:t>é</w:t>
      </w:r>
      <w:r w:rsidR="00AC1226" w:rsidRPr="00731644">
        <w:rPr>
          <w:lang w:val="fr-CH"/>
        </w:rPr>
        <w:t>.</w:t>
      </w:r>
      <w:r w:rsidR="00F31DD5" w:rsidRPr="00731644">
        <w:rPr>
          <w:lang w:val="fr-CH"/>
        </w:rPr>
        <w:t xml:space="preserve"> </w:t>
      </w:r>
    </w:p>
    <w:p w:rsidR="00AC1226" w:rsidRPr="00731644" w:rsidRDefault="007A774E" w:rsidP="00E707D7">
      <w:pPr>
        <w:pStyle w:val="SingleTxtG"/>
        <w:rPr>
          <w:lang w:val="fr-CH"/>
        </w:rPr>
      </w:pPr>
      <w:r w:rsidRPr="00731644">
        <w:rPr>
          <w:lang w:val="fr-CH"/>
        </w:rPr>
        <w:t>13.</w:t>
      </w:r>
      <w:r w:rsidRPr="00731644">
        <w:rPr>
          <w:lang w:val="fr-CH"/>
        </w:rPr>
        <w:tab/>
      </w:r>
      <w:r w:rsidR="00AC1226" w:rsidRPr="00731644">
        <w:rPr>
          <w:lang w:val="fr-CH"/>
        </w:rPr>
        <w:t xml:space="preserve">La loi portant modification de la </w:t>
      </w:r>
      <w:r w:rsidR="00AC1226" w:rsidRPr="007A17E1">
        <w:rPr>
          <w:iCs/>
          <w:lang w:val="fr-CH"/>
        </w:rPr>
        <w:t xml:space="preserve">loi sur les droits et libertés des minorités </w:t>
      </w:r>
      <w:r w:rsidR="00AC1226" w:rsidRPr="00731644">
        <w:rPr>
          <w:lang w:val="fr-CH"/>
        </w:rPr>
        <w:t>a été adoptée le 9 décembre</w:t>
      </w:r>
      <w:r w:rsidR="00E707D7" w:rsidRPr="00731644">
        <w:rPr>
          <w:lang w:val="fr-CH"/>
        </w:rPr>
        <w:t xml:space="preserve"> 2010, </w:t>
      </w:r>
      <w:r w:rsidR="00AC1226" w:rsidRPr="00731644">
        <w:rPr>
          <w:lang w:val="fr-CH"/>
        </w:rPr>
        <w:t>à la cinquième séance de la deuxième session</w:t>
      </w:r>
      <w:r w:rsidR="00A828E9">
        <w:rPr>
          <w:lang w:val="fr-CH"/>
        </w:rPr>
        <w:t xml:space="preserve"> </w:t>
      </w:r>
      <w:r w:rsidR="00930E18" w:rsidRPr="00731644">
        <w:rPr>
          <w:lang w:val="fr-CH"/>
        </w:rPr>
        <w:t>ordinaire</w:t>
      </w:r>
      <w:r w:rsidR="00AC1226" w:rsidRPr="00731644">
        <w:rPr>
          <w:lang w:val="fr-CH"/>
        </w:rPr>
        <w:t xml:space="preserve"> de </w:t>
      </w:r>
      <w:r w:rsidR="00930E18" w:rsidRPr="00731644">
        <w:rPr>
          <w:lang w:val="fr-CH"/>
        </w:rPr>
        <w:t>l</w:t>
      </w:r>
      <w:r w:rsidR="00425386" w:rsidRPr="00731644">
        <w:rPr>
          <w:lang w:val="fr-CH"/>
        </w:rPr>
        <w:t>’</w:t>
      </w:r>
      <w:r w:rsidR="00A66512" w:rsidRPr="00731644">
        <w:rPr>
          <w:lang w:val="fr-CH"/>
        </w:rPr>
        <w:t>année</w:t>
      </w:r>
      <w:r w:rsidR="00AC1226" w:rsidRPr="00731644">
        <w:rPr>
          <w:lang w:val="fr-CH"/>
        </w:rPr>
        <w:t>. Cette loi dispose notamment qu</w:t>
      </w:r>
      <w:r w:rsidR="00425386" w:rsidRPr="00731644">
        <w:rPr>
          <w:lang w:val="fr-CH"/>
        </w:rPr>
        <w:t>’</w:t>
      </w:r>
      <w:r w:rsidR="00AC1226" w:rsidRPr="00731644">
        <w:rPr>
          <w:lang w:val="fr-CH"/>
        </w:rPr>
        <w:t xml:space="preserve">une représentation authentique des minorités au Parlement et dans les assemblées des localités où les minorités forment une part importante de la </w:t>
      </w:r>
      <w:r w:rsidR="00E707D7" w:rsidRPr="00731644">
        <w:rPr>
          <w:lang w:val="fr-CH"/>
        </w:rPr>
        <w:t>population</w:t>
      </w:r>
      <w:r w:rsidR="00AC1226" w:rsidRPr="00731644">
        <w:rPr>
          <w:lang w:val="fr-CH"/>
        </w:rPr>
        <w:t xml:space="preserve"> sera assurée par application du principe de l</w:t>
      </w:r>
      <w:r w:rsidR="00425386" w:rsidRPr="00731644">
        <w:rPr>
          <w:lang w:val="fr-CH"/>
        </w:rPr>
        <w:t>’</w:t>
      </w:r>
      <w:r w:rsidR="00AC1226" w:rsidRPr="00731644">
        <w:rPr>
          <w:lang w:val="fr-CH"/>
        </w:rPr>
        <w:t xml:space="preserve">action positive, conformément à la </w:t>
      </w:r>
      <w:r w:rsidR="00930E18" w:rsidRPr="00731644">
        <w:rPr>
          <w:lang w:val="fr-CH"/>
        </w:rPr>
        <w:t>loi</w:t>
      </w:r>
      <w:r w:rsidR="00AC1226" w:rsidRPr="00731644">
        <w:rPr>
          <w:lang w:val="fr-CH"/>
        </w:rPr>
        <w:t xml:space="preserve"> </w:t>
      </w:r>
      <w:r w:rsidR="00A66512" w:rsidRPr="00731644">
        <w:rPr>
          <w:lang w:val="fr-CH"/>
        </w:rPr>
        <w:t>électorale</w:t>
      </w:r>
      <w:r w:rsidR="00AC1226" w:rsidRPr="00731644">
        <w:rPr>
          <w:lang w:val="fr-CH"/>
        </w:rPr>
        <w:t>.</w:t>
      </w:r>
      <w:r w:rsidR="00F31DD5" w:rsidRPr="00731644">
        <w:rPr>
          <w:lang w:val="fr-CH"/>
        </w:rPr>
        <w:t xml:space="preserve"> </w:t>
      </w:r>
    </w:p>
    <w:p w:rsidR="005A6A67" w:rsidRPr="00731644" w:rsidRDefault="007A774E" w:rsidP="00E707D7">
      <w:pPr>
        <w:pStyle w:val="SingleTxtG"/>
        <w:rPr>
          <w:lang w:val="fr-CH"/>
        </w:rPr>
      </w:pPr>
      <w:r w:rsidRPr="00731644">
        <w:rPr>
          <w:lang w:val="fr-CH"/>
        </w:rPr>
        <w:t>14.</w:t>
      </w:r>
      <w:r w:rsidRPr="00731644">
        <w:rPr>
          <w:lang w:val="fr-CH"/>
        </w:rPr>
        <w:tab/>
      </w:r>
      <w:r w:rsidR="00AC1226" w:rsidRPr="00731644">
        <w:rPr>
          <w:lang w:val="fr-CH"/>
        </w:rPr>
        <w:t xml:space="preserve">Les principaux changements ont </w:t>
      </w:r>
      <w:r w:rsidR="0089017C" w:rsidRPr="00731644">
        <w:rPr>
          <w:lang w:val="fr-CH"/>
        </w:rPr>
        <w:t>eu pour effet d</w:t>
      </w:r>
      <w:r w:rsidR="00425386" w:rsidRPr="00731644">
        <w:rPr>
          <w:lang w:val="fr-CH"/>
        </w:rPr>
        <w:t>’</w:t>
      </w:r>
      <w:r w:rsidR="00AC1226" w:rsidRPr="00731644">
        <w:rPr>
          <w:lang w:val="fr-CH"/>
        </w:rPr>
        <w:t>aligne</w:t>
      </w:r>
      <w:r w:rsidR="0089017C" w:rsidRPr="00731644">
        <w:rPr>
          <w:lang w:val="fr-CH"/>
        </w:rPr>
        <w:t>r</w:t>
      </w:r>
      <w:r w:rsidR="00AC1226" w:rsidRPr="00731644">
        <w:rPr>
          <w:lang w:val="fr-CH"/>
        </w:rPr>
        <w:t xml:space="preserve"> la </w:t>
      </w:r>
      <w:r w:rsidR="00E707D7" w:rsidRPr="00731644">
        <w:rPr>
          <w:lang w:val="fr-CH"/>
        </w:rPr>
        <w:t>terminolog</w:t>
      </w:r>
      <w:r w:rsidR="00AC1226" w:rsidRPr="00731644">
        <w:rPr>
          <w:lang w:val="fr-CH"/>
        </w:rPr>
        <w:t xml:space="preserve">ie de cette loi </w:t>
      </w:r>
      <w:r w:rsidR="005A6A67" w:rsidRPr="00731644">
        <w:rPr>
          <w:lang w:val="fr-CH"/>
        </w:rPr>
        <w:t>sur</w:t>
      </w:r>
      <w:r w:rsidR="00AC1226" w:rsidRPr="00731644">
        <w:rPr>
          <w:lang w:val="fr-CH"/>
        </w:rPr>
        <w:t xml:space="preserve"> </w:t>
      </w:r>
      <w:r w:rsidR="00DD1FC8" w:rsidRPr="00731644">
        <w:rPr>
          <w:lang w:val="fr-CH"/>
        </w:rPr>
        <w:t xml:space="preserve">celle de </w:t>
      </w:r>
      <w:r w:rsidR="00AC1226" w:rsidRPr="00731644">
        <w:rPr>
          <w:lang w:val="fr-CH"/>
        </w:rPr>
        <w:t>la</w:t>
      </w:r>
      <w:r w:rsidR="00E707D7" w:rsidRPr="00731644">
        <w:rPr>
          <w:lang w:val="fr-CH"/>
        </w:rPr>
        <w:t xml:space="preserve"> Constitution. </w:t>
      </w:r>
      <w:r w:rsidR="00AC1226" w:rsidRPr="00731644">
        <w:rPr>
          <w:lang w:val="fr-CH"/>
        </w:rPr>
        <w:t xml:space="preserve">De plus, les </w:t>
      </w:r>
      <w:r w:rsidR="00DD1FC8" w:rsidRPr="00731644">
        <w:rPr>
          <w:lang w:val="fr-CH"/>
        </w:rPr>
        <w:t>nouvelles disposi</w:t>
      </w:r>
      <w:r w:rsidR="00AC1226" w:rsidRPr="00731644">
        <w:rPr>
          <w:lang w:val="fr-CH"/>
        </w:rPr>
        <w:t xml:space="preserve">tions définissent de manière plus précise la </w:t>
      </w:r>
      <w:r w:rsidR="00E707D7" w:rsidRPr="00731644">
        <w:rPr>
          <w:lang w:val="fr-CH"/>
        </w:rPr>
        <w:t xml:space="preserve">composition </w:t>
      </w:r>
      <w:r w:rsidR="00AC1226" w:rsidRPr="00731644">
        <w:rPr>
          <w:lang w:val="fr-CH"/>
        </w:rPr>
        <w:t>des conseils des minorités</w:t>
      </w:r>
      <w:r w:rsidR="005A6A67" w:rsidRPr="00731644">
        <w:rPr>
          <w:lang w:val="fr-CH"/>
        </w:rPr>
        <w:t xml:space="preserve"> </w:t>
      </w:r>
      <w:r w:rsidR="00DD1FC8" w:rsidRPr="00731644">
        <w:rPr>
          <w:lang w:val="fr-CH"/>
        </w:rPr>
        <w:t>et</w:t>
      </w:r>
      <w:r w:rsidR="005A6A67" w:rsidRPr="00731644">
        <w:rPr>
          <w:lang w:val="fr-CH"/>
        </w:rPr>
        <w:t xml:space="preserve"> </w:t>
      </w:r>
      <w:r w:rsidR="00DD1FC8" w:rsidRPr="00731644">
        <w:rPr>
          <w:lang w:val="fr-CH"/>
        </w:rPr>
        <w:t>le mode</w:t>
      </w:r>
      <w:r w:rsidR="005A6A67" w:rsidRPr="00731644">
        <w:rPr>
          <w:lang w:val="fr-CH"/>
        </w:rPr>
        <w:t xml:space="preserve"> d</w:t>
      </w:r>
      <w:r w:rsidR="00425386" w:rsidRPr="00731644">
        <w:rPr>
          <w:lang w:val="fr-CH"/>
        </w:rPr>
        <w:t>’</w:t>
      </w:r>
      <w:r w:rsidR="005A6A67" w:rsidRPr="00731644">
        <w:rPr>
          <w:lang w:val="fr-CH"/>
        </w:rPr>
        <w:t>élection de leurs membres</w:t>
      </w:r>
      <w:r w:rsidR="00E707D7" w:rsidRPr="00731644">
        <w:rPr>
          <w:lang w:val="fr-CH"/>
        </w:rPr>
        <w:t xml:space="preserve">. </w:t>
      </w:r>
      <w:r w:rsidR="005A6A67" w:rsidRPr="00731644">
        <w:rPr>
          <w:lang w:val="fr-CH"/>
        </w:rPr>
        <w:t xml:space="preserve">Elles </w:t>
      </w:r>
      <w:r w:rsidR="00DD1FC8" w:rsidRPr="00731644">
        <w:rPr>
          <w:lang w:val="fr-CH"/>
        </w:rPr>
        <w:t>réglementent la</w:t>
      </w:r>
      <w:r w:rsidR="005A6A67" w:rsidRPr="00731644">
        <w:rPr>
          <w:lang w:val="fr-CH"/>
        </w:rPr>
        <w:t xml:space="preserve"> supervision de la légalité de l</w:t>
      </w:r>
      <w:r w:rsidR="00425386" w:rsidRPr="00731644">
        <w:rPr>
          <w:lang w:val="fr-CH"/>
        </w:rPr>
        <w:t>’</w:t>
      </w:r>
      <w:r w:rsidR="005A6A67" w:rsidRPr="00731644">
        <w:rPr>
          <w:lang w:val="fr-CH"/>
        </w:rPr>
        <w:t>activité des conseils et établissent l</w:t>
      </w:r>
      <w:r w:rsidR="00425386" w:rsidRPr="00731644">
        <w:rPr>
          <w:lang w:val="fr-CH"/>
        </w:rPr>
        <w:t>’</w:t>
      </w:r>
      <w:r w:rsidR="00E707D7" w:rsidRPr="00731644">
        <w:rPr>
          <w:lang w:val="fr-CH"/>
        </w:rPr>
        <w:t xml:space="preserve">obligation </w:t>
      </w:r>
      <w:r w:rsidR="005A6A67" w:rsidRPr="00731644">
        <w:rPr>
          <w:lang w:val="fr-CH"/>
        </w:rPr>
        <w:t xml:space="preserve">de ces derniers de présenter, une fois par an au moins, </w:t>
      </w:r>
      <w:r w:rsidR="00DD1FC8" w:rsidRPr="00731644">
        <w:rPr>
          <w:lang w:val="fr-CH"/>
        </w:rPr>
        <w:t>leur</w:t>
      </w:r>
      <w:r w:rsidR="005A6A67" w:rsidRPr="00731644">
        <w:rPr>
          <w:lang w:val="fr-CH"/>
        </w:rPr>
        <w:t xml:space="preserve"> rapport d</w:t>
      </w:r>
      <w:r w:rsidR="00425386" w:rsidRPr="00731644">
        <w:rPr>
          <w:lang w:val="fr-CH"/>
        </w:rPr>
        <w:t>’</w:t>
      </w:r>
      <w:r w:rsidR="005A6A67" w:rsidRPr="00731644">
        <w:rPr>
          <w:lang w:val="fr-CH"/>
        </w:rPr>
        <w:t>activité et leurs comptes au Ministère et à l</w:t>
      </w:r>
      <w:r w:rsidR="00425386" w:rsidRPr="00731644">
        <w:rPr>
          <w:lang w:val="fr-CH"/>
        </w:rPr>
        <w:t>’</w:t>
      </w:r>
      <w:r w:rsidR="005A6A67" w:rsidRPr="00731644">
        <w:rPr>
          <w:lang w:val="fr-CH"/>
        </w:rPr>
        <w:t>organe de travail compétent du Parlement.</w:t>
      </w:r>
      <w:r w:rsidR="00E707D7" w:rsidRPr="00731644">
        <w:rPr>
          <w:lang w:val="fr-CH"/>
        </w:rPr>
        <w:t xml:space="preserve"> </w:t>
      </w:r>
      <w:r w:rsidR="005A6A67" w:rsidRPr="00731644">
        <w:rPr>
          <w:lang w:val="fr-CH"/>
        </w:rPr>
        <w:t>Dans la partie qui régit l</w:t>
      </w:r>
      <w:r w:rsidR="00425386" w:rsidRPr="00731644">
        <w:rPr>
          <w:lang w:val="fr-CH"/>
        </w:rPr>
        <w:t>’</w:t>
      </w:r>
      <w:r w:rsidR="00E707D7" w:rsidRPr="00731644">
        <w:rPr>
          <w:lang w:val="fr-CH"/>
        </w:rPr>
        <w:t xml:space="preserve">allocation </w:t>
      </w:r>
      <w:r w:rsidR="005A6A67" w:rsidRPr="00731644">
        <w:rPr>
          <w:lang w:val="fr-CH"/>
        </w:rPr>
        <w:t xml:space="preserve">des ressources du Fonds </w:t>
      </w:r>
      <w:r w:rsidR="00987C2D" w:rsidRPr="00731644">
        <w:rPr>
          <w:lang w:val="fr-CH"/>
        </w:rPr>
        <w:t>de soutien aux</w:t>
      </w:r>
      <w:r w:rsidR="005A6A67" w:rsidRPr="00731644">
        <w:rPr>
          <w:lang w:val="fr-CH"/>
        </w:rPr>
        <w:t xml:space="preserve"> minorités, </w:t>
      </w:r>
      <w:r w:rsidR="00DD1FC8" w:rsidRPr="00731644">
        <w:rPr>
          <w:lang w:val="fr-CH"/>
        </w:rPr>
        <w:t>le nouveau texte</w:t>
      </w:r>
      <w:r w:rsidR="005A6A67" w:rsidRPr="00731644">
        <w:rPr>
          <w:lang w:val="fr-CH"/>
        </w:rPr>
        <w:t xml:space="preserve"> confère </w:t>
      </w:r>
      <w:r w:rsidR="005E39BA" w:rsidRPr="00731644">
        <w:rPr>
          <w:lang w:val="fr-CH"/>
        </w:rPr>
        <w:t xml:space="preserve">aux organes de gestion du Fonds </w:t>
      </w:r>
      <w:r w:rsidR="005A6A67" w:rsidRPr="00731644">
        <w:rPr>
          <w:lang w:val="fr-CH"/>
        </w:rPr>
        <w:t xml:space="preserve">le droit de répartir les crédits destinés à la </w:t>
      </w:r>
      <w:r w:rsidR="00E707D7" w:rsidRPr="00731644">
        <w:rPr>
          <w:lang w:val="fr-CH"/>
        </w:rPr>
        <w:t xml:space="preserve">protection, </w:t>
      </w:r>
      <w:r w:rsidR="005A6A67" w:rsidRPr="00731644">
        <w:rPr>
          <w:lang w:val="fr-CH"/>
        </w:rPr>
        <w:t xml:space="preserve">à la </w:t>
      </w:r>
      <w:r w:rsidR="00E707D7" w:rsidRPr="00731644">
        <w:rPr>
          <w:lang w:val="fr-CH"/>
        </w:rPr>
        <w:t xml:space="preserve">promotion </w:t>
      </w:r>
      <w:r w:rsidR="005A6A67" w:rsidRPr="00731644">
        <w:rPr>
          <w:lang w:val="fr-CH"/>
        </w:rPr>
        <w:t xml:space="preserve">et au développement des droits de minorités, laissant les décisions à </w:t>
      </w:r>
      <w:r w:rsidR="005E39BA" w:rsidRPr="00731644">
        <w:rPr>
          <w:lang w:val="fr-CH"/>
        </w:rPr>
        <w:t>leur</w:t>
      </w:r>
      <w:r w:rsidR="005A6A67" w:rsidRPr="00731644">
        <w:rPr>
          <w:lang w:val="fr-CH"/>
        </w:rPr>
        <w:t xml:space="preserve"> seule appréciation sous réserve de l</w:t>
      </w:r>
      <w:r w:rsidR="00425386" w:rsidRPr="00731644">
        <w:rPr>
          <w:lang w:val="fr-CH"/>
        </w:rPr>
        <w:t>’</w:t>
      </w:r>
      <w:r w:rsidR="005A6A67" w:rsidRPr="00731644">
        <w:rPr>
          <w:lang w:val="fr-CH"/>
        </w:rPr>
        <w:t>application de quelques critères fondamentaux.</w:t>
      </w:r>
      <w:r w:rsidR="00F31DD5" w:rsidRPr="00731644">
        <w:rPr>
          <w:lang w:val="fr-CH"/>
        </w:rPr>
        <w:t xml:space="preserve"> </w:t>
      </w:r>
    </w:p>
    <w:p w:rsidR="00E707D7" w:rsidRPr="00731644" w:rsidRDefault="007A774E" w:rsidP="00E707D7">
      <w:pPr>
        <w:pStyle w:val="SingleTxtG"/>
        <w:rPr>
          <w:lang w:val="fr-CH"/>
        </w:rPr>
      </w:pPr>
      <w:r w:rsidRPr="00731644">
        <w:rPr>
          <w:lang w:val="fr-CH"/>
        </w:rPr>
        <w:t>15.</w:t>
      </w:r>
      <w:r w:rsidRPr="00731644">
        <w:rPr>
          <w:lang w:val="fr-CH"/>
        </w:rPr>
        <w:tab/>
      </w:r>
      <w:r w:rsidR="00DD1FC8" w:rsidRPr="00731644">
        <w:rPr>
          <w:lang w:val="fr-CH"/>
        </w:rPr>
        <w:t xml:space="preserve">Les </w:t>
      </w:r>
      <w:r w:rsidR="001A00E5" w:rsidRPr="00731644">
        <w:rPr>
          <w:lang w:val="fr-CH"/>
        </w:rPr>
        <w:t>aut</w:t>
      </w:r>
      <w:r w:rsidR="00DD1FC8" w:rsidRPr="00731644">
        <w:rPr>
          <w:lang w:val="fr-CH"/>
        </w:rPr>
        <w:t>r</w:t>
      </w:r>
      <w:r w:rsidR="001A00E5" w:rsidRPr="00731644">
        <w:rPr>
          <w:lang w:val="fr-CH"/>
        </w:rPr>
        <w:t xml:space="preserve">es dispositions de la </w:t>
      </w:r>
      <w:r w:rsidR="001A00E5" w:rsidRPr="007A17E1">
        <w:rPr>
          <w:iCs/>
          <w:lang w:val="fr-CH"/>
        </w:rPr>
        <w:t xml:space="preserve">loi sur les droits et libertés des minorités </w:t>
      </w:r>
      <w:r w:rsidR="00DD1FC8" w:rsidRPr="00731644">
        <w:rPr>
          <w:lang w:val="fr-CH"/>
        </w:rPr>
        <w:t>conservent toute leur validité</w:t>
      </w:r>
      <w:r w:rsidR="001A00E5" w:rsidRPr="00731644">
        <w:rPr>
          <w:lang w:val="fr-CH"/>
        </w:rPr>
        <w:t xml:space="preserve"> et s</w:t>
      </w:r>
      <w:r w:rsidR="00425386" w:rsidRPr="00731644">
        <w:rPr>
          <w:lang w:val="fr-CH"/>
        </w:rPr>
        <w:t>’</w:t>
      </w:r>
      <w:r w:rsidR="001A00E5" w:rsidRPr="00731644">
        <w:rPr>
          <w:lang w:val="fr-CH"/>
        </w:rPr>
        <w:t xml:space="preserve">imposent </w:t>
      </w:r>
      <w:r w:rsidR="00D26056" w:rsidRPr="00731644">
        <w:rPr>
          <w:lang w:val="fr-CH"/>
        </w:rPr>
        <w:t>plein</w:t>
      </w:r>
      <w:r w:rsidR="001A00E5" w:rsidRPr="00731644">
        <w:rPr>
          <w:lang w:val="fr-CH"/>
        </w:rPr>
        <w:t xml:space="preserve">ement </w:t>
      </w:r>
      <w:r w:rsidR="00D26056" w:rsidRPr="00731644">
        <w:rPr>
          <w:lang w:val="fr-CH"/>
        </w:rPr>
        <w:t>à tous,</w:t>
      </w:r>
      <w:r w:rsidR="001A00E5" w:rsidRPr="00731644">
        <w:rPr>
          <w:lang w:val="fr-CH"/>
        </w:rPr>
        <w:t xml:space="preserve"> autorisant les </w:t>
      </w:r>
      <w:r w:rsidR="00D26056" w:rsidRPr="00731644">
        <w:rPr>
          <w:lang w:val="fr-CH"/>
        </w:rPr>
        <w:t>titul</w:t>
      </w:r>
      <w:r w:rsidR="001A00E5" w:rsidRPr="00731644">
        <w:rPr>
          <w:lang w:val="fr-CH"/>
        </w:rPr>
        <w:t xml:space="preserve">aires à faire appel </w:t>
      </w:r>
      <w:r w:rsidR="00D26056" w:rsidRPr="00731644">
        <w:rPr>
          <w:lang w:val="fr-CH"/>
        </w:rPr>
        <w:t>aux</w:t>
      </w:r>
      <w:r w:rsidR="001A00E5" w:rsidRPr="00731644">
        <w:rPr>
          <w:lang w:val="fr-CH"/>
        </w:rPr>
        <w:t xml:space="preserve"> institut</w:t>
      </w:r>
      <w:r w:rsidR="00D26056" w:rsidRPr="00731644">
        <w:rPr>
          <w:lang w:val="fr-CH"/>
        </w:rPr>
        <w:t>ions compétentes</w:t>
      </w:r>
      <w:r w:rsidR="001A00E5" w:rsidRPr="00731644">
        <w:rPr>
          <w:lang w:val="fr-CH"/>
        </w:rPr>
        <w:t xml:space="preserve"> pour exercer les droits qui leur sont </w:t>
      </w:r>
      <w:r w:rsidR="00A66512" w:rsidRPr="00731644">
        <w:rPr>
          <w:lang w:val="fr-CH"/>
        </w:rPr>
        <w:t>reconnus.</w:t>
      </w:r>
    </w:p>
    <w:p w:rsidR="00E707D7" w:rsidRPr="00731644" w:rsidRDefault="007A774E" w:rsidP="00E707D7">
      <w:pPr>
        <w:pStyle w:val="SingleTxtG"/>
        <w:rPr>
          <w:iCs/>
          <w:lang w:val="fr-CH"/>
        </w:rPr>
      </w:pPr>
      <w:r w:rsidRPr="00731644">
        <w:rPr>
          <w:iCs/>
          <w:lang w:val="fr-CH"/>
        </w:rPr>
        <w:t>16.</w:t>
      </w:r>
      <w:r w:rsidRPr="00731644">
        <w:rPr>
          <w:iCs/>
          <w:lang w:val="fr-CH"/>
        </w:rPr>
        <w:tab/>
      </w:r>
      <w:r w:rsidR="001A00E5" w:rsidRPr="00731644">
        <w:rPr>
          <w:iCs/>
          <w:lang w:val="fr-CH"/>
        </w:rPr>
        <w:t xml:space="preserve">La coopération entre les pouvoirs publics et la société civile est bonne depuis </w:t>
      </w:r>
      <w:r w:rsidR="00D26056" w:rsidRPr="00731644">
        <w:rPr>
          <w:iCs/>
          <w:lang w:val="fr-CH"/>
        </w:rPr>
        <w:t>plusieur</w:t>
      </w:r>
      <w:r w:rsidR="001A00E5" w:rsidRPr="00731644">
        <w:rPr>
          <w:iCs/>
          <w:lang w:val="fr-CH"/>
        </w:rPr>
        <w:t>s années</w:t>
      </w:r>
      <w:r w:rsidR="00E701EE" w:rsidRPr="00731644">
        <w:rPr>
          <w:iCs/>
          <w:lang w:val="fr-CH"/>
        </w:rPr>
        <w:t xml:space="preserve">, ce qui se traduit par une participation </w:t>
      </w:r>
      <w:r w:rsidR="00D26056" w:rsidRPr="00731644">
        <w:rPr>
          <w:iCs/>
          <w:lang w:val="fr-CH"/>
        </w:rPr>
        <w:t>important</w:t>
      </w:r>
      <w:r w:rsidR="00E701EE" w:rsidRPr="00731644">
        <w:rPr>
          <w:iCs/>
          <w:lang w:val="fr-CH"/>
        </w:rPr>
        <w:t xml:space="preserve">e des organisations non gouvernementales et </w:t>
      </w:r>
      <w:r w:rsidR="00D26056" w:rsidRPr="00731644">
        <w:rPr>
          <w:iCs/>
          <w:lang w:val="fr-CH"/>
        </w:rPr>
        <w:t xml:space="preserve">des organismes spécialisés </w:t>
      </w:r>
      <w:r w:rsidR="00E701EE" w:rsidRPr="00731644">
        <w:rPr>
          <w:iCs/>
          <w:lang w:val="fr-CH"/>
        </w:rPr>
        <w:t>à l</w:t>
      </w:r>
      <w:r w:rsidR="00425386" w:rsidRPr="00731644">
        <w:rPr>
          <w:iCs/>
          <w:lang w:val="fr-CH"/>
        </w:rPr>
        <w:t>’</w:t>
      </w:r>
      <w:r w:rsidR="00E701EE" w:rsidRPr="00731644">
        <w:rPr>
          <w:iCs/>
          <w:lang w:val="fr-CH"/>
        </w:rPr>
        <w:t>élaboration de documents nationaux stratégiques</w:t>
      </w:r>
      <w:r w:rsidR="00F31DD5" w:rsidRPr="00731644">
        <w:rPr>
          <w:iCs/>
          <w:lang w:val="fr-CH"/>
        </w:rPr>
        <w:t xml:space="preserve"> </w:t>
      </w:r>
      <w:r w:rsidR="00E707D7" w:rsidRPr="00731644">
        <w:rPr>
          <w:iCs/>
          <w:lang w:val="fr-CH"/>
        </w:rPr>
        <w:t>(</w:t>
      </w:r>
      <w:r w:rsidR="00BF29B8" w:rsidRPr="00731644">
        <w:rPr>
          <w:iCs/>
          <w:lang w:val="fr-CH"/>
        </w:rPr>
        <w:t>telle</w:t>
      </w:r>
      <w:r w:rsidR="00E701EE" w:rsidRPr="00731644">
        <w:rPr>
          <w:iCs/>
          <w:lang w:val="fr-CH"/>
        </w:rPr>
        <w:t xml:space="preserve"> la Stratégie </w:t>
      </w:r>
      <w:r w:rsidR="00FE346F" w:rsidRPr="00731644">
        <w:rPr>
          <w:iCs/>
          <w:lang w:val="fr-CH"/>
        </w:rPr>
        <w:t>relative à</w:t>
      </w:r>
      <w:r w:rsidR="00E701EE" w:rsidRPr="00731644">
        <w:rPr>
          <w:iCs/>
          <w:lang w:val="fr-CH"/>
        </w:rPr>
        <w:t xml:space="preserve"> la politique </w:t>
      </w:r>
      <w:r w:rsidR="00D26056" w:rsidRPr="00731644">
        <w:rPr>
          <w:iCs/>
          <w:lang w:val="fr-CH"/>
        </w:rPr>
        <w:t>à l</w:t>
      </w:r>
      <w:r w:rsidR="00425386" w:rsidRPr="00731644">
        <w:rPr>
          <w:iCs/>
          <w:lang w:val="fr-CH"/>
        </w:rPr>
        <w:t>’</w:t>
      </w:r>
      <w:r w:rsidR="00D26056" w:rsidRPr="00731644">
        <w:rPr>
          <w:iCs/>
          <w:lang w:val="fr-CH"/>
        </w:rPr>
        <w:t xml:space="preserve">égard </w:t>
      </w:r>
      <w:r w:rsidR="00E701EE" w:rsidRPr="00731644">
        <w:rPr>
          <w:iCs/>
          <w:lang w:val="fr-CH"/>
        </w:rPr>
        <w:t xml:space="preserve">des minorités, </w:t>
      </w:r>
      <w:r w:rsidR="00BF29B8" w:rsidRPr="00731644">
        <w:rPr>
          <w:iCs/>
          <w:lang w:val="fr-CH"/>
        </w:rPr>
        <w:t>dont la concep</w:t>
      </w:r>
      <w:r w:rsidR="00D26056" w:rsidRPr="00731644">
        <w:rPr>
          <w:iCs/>
          <w:lang w:val="fr-CH"/>
        </w:rPr>
        <w:t xml:space="preserve">tion </w:t>
      </w:r>
      <w:r w:rsidR="00BF29B8" w:rsidRPr="00731644">
        <w:rPr>
          <w:iCs/>
          <w:lang w:val="fr-CH"/>
        </w:rPr>
        <w:t>doit beaucoup à la contribution et à l</w:t>
      </w:r>
      <w:r w:rsidR="00425386" w:rsidRPr="00731644">
        <w:rPr>
          <w:iCs/>
          <w:lang w:val="fr-CH"/>
        </w:rPr>
        <w:t>’</w:t>
      </w:r>
      <w:r w:rsidR="00BF29B8" w:rsidRPr="00731644">
        <w:rPr>
          <w:iCs/>
          <w:lang w:val="fr-CH"/>
        </w:rPr>
        <w:t xml:space="preserve">expérience </w:t>
      </w:r>
      <w:r w:rsidR="00D26056" w:rsidRPr="00731644">
        <w:rPr>
          <w:iCs/>
          <w:lang w:val="fr-CH"/>
        </w:rPr>
        <w:t xml:space="preserve">de </w:t>
      </w:r>
      <w:r w:rsidR="00FE1874" w:rsidRPr="00731644">
        <w:rPr>
          <w:iCs/>
          <w:lang w:val="fr-CH"/>
        </w:rPr>
        <w:t>la Coalition</w:t>
      </w:r>
      <w:r w:rsidR="00BF29B8" w:rsidRPr="00731644">
        <w:rPr>
          <w:iCs/>
          <w:lang w:val="fr-CH"/>
        </w:rPr>
        <w:t xml:space="preserve"> </w:t>
      </w:r>
      <w:r w:rsidR="00E701EE" w:rsidRPr="00731644">
        <w:rPr>
          <w:iCs/>
          <w:lang w:val="fr-CH"/>
        </w:rPr>
        <w:t>d</w:t>
      </w:r>
      <w:r w:rsidR="00425386" w:rsidRPr="00731644">
        <w:rPr>
          <w:iCs/>
          <w:lang w:val="fr-CH"/>
        </w:rPr>
        <w:t>’</w:t>
      </w:r>
      <w:r w:rsidR="00E701EE" w:rsidRPr="00731644">
        <w:rPr>
          <w:iCs/>
          <w:lang w:val="fr-CH"/>
        </w:rPr>
        <w:t>organisations non</w:t>
      </w:r>
      <w:r w:rsidR="00D26056" w:rsidRPr="00731644">
        <w:rPr>
          <w:iCs/>
          <w:lang w:val="fr-CH"/>
        </w:rPr>
        <w:t xml:space="preserve"> </w:t>
      </w:r>
      <w:r w:rsidR="00E701EE" w:rsidRPr="00731644">
        <w:rPr>
          <w:iCs/>
          <w:lang w:val="fr-CH"/>
        </w:rPr>
        <w:t>gouvernementales</w:t>
      </w:r>
      <w:r w:rsidR="00BF29B8" w:rsidRPr="00731644">
        <w:rPr>
          <w:iCs/>
          <w:lang w:val="fr-CH"/>
        </w:rPr>
        <w:t xml:space="preserve"> </w:t>
      </w:r>
      <w:r w:rsidR="00E701EE" w:rsidRPr="00731644">
        <w:rPr>
          <w:iCs/>
          <w:lang w:val="fr-CH"/>
        </w:rPr>
        <w:t>du Monténégro</w:t>
      </w:r>
      <w:r w:rsidR="00E707D7" w:rsidRPr="00731644">
        <w:rPr>
          <w:iCs/>
          <w:lang w:val="fr-CH"/>
        </w:rPr>
        <w:t xml:space="preserve">). </w:t>
      </w:r>
      <w:r w:rsidR="00E701EE" w:rsidRPr="00731644">
        <w:rPr>
          <w:iCs/>
          <w:lang w:val="fr-CH"/>
        </w:rPr>
        <w:t xml:space="preserve">Presque tous les organes </w:t>
      </w:r>
      <w:r w:rsidR="00BF29B8" w:rsidRPr="00731644">
        <w:rPr>
          <w:iCs/>
          <w:lang w:val="fr-CH"/>
        </w:rPr>
        <w:t>chargé</w:t>
      </w:r>
      <w:r w:rsidR="005E39BA" w:rsidRPr="00731644">
        <w:rPr>
          <w:iCs/>
          <w:lang w:val="fr-CH"/>
        </w:rPr>
        <w:t>s</w:t>
      </w:r>
      <w:r w:rsidR="00BF29B8" w:rsidRPr="00731644">
        <w:rPr>
          <w:iCs/>
          <w:lang w:val="fr-CH"/>
        </w:rPr>
        <w:t xml:space="preserve"> d</w:t>
      </w:r>
      <w:r w:rsidR="00425386" w:rsidRPr="00731644">
        <w:rPr>
          <w:iCs/>
          <w:lang w:val="fr-CH"/>
        </w:rPr>
        <w:t>’</w:t>
      </w:r>
      <w:r w:rsidR="00BF29B8" w:rsidRPr="00731644">
        <w:rPr>
          <w:iCs/>
          <w:lang w:val="fr-CH"/>
        </w:rPr>
        <w:t>appliquer</w:t>
      </w:r>
      <w:r w:rsidR="00E701EE" w:rsidRPr="00731644">
        <w:rPr>
          <w:iCs/>
          <w:lang w:val="fr-CH"/>
        </w:rPr>
        <w:t xml:space="preserve"> ces documents comprennent des représentants de la société civile, qui </w:t>
      </w:r>
      <w:r w:rsidR="00BF29B8" w:rsidRPr="00731644">
        <w:rPr>
          <w:iCs/>
          <w:lang w:val="fr-CH"/>
        </w:rPr>
        <w:t xml:space="preserve">prennent une </w:t>
      </w:r>
      <w:r w:rsidR="00E701EE" w:rsidRPr="00731644">
        <w:rPr>
          <w:iCs/>
          <w:lang w:val="fr-CH"/>
        </w:rPr>
        <w:t xml:space="preserve">part active </w:t>
      </w:r>
      <w:r w:rsidR="00BF29B8" w:rsidRPr="00731644">
        <w:rPr>
          <w:iCs/>
          <w:lang w:val="fr-CH"/>
        </w:rPr>
        <w:t>à l</w:t>
      </w:r>
      <w:r w:rsidR="00425386" w:rsidRPr="00731644">
        <w:rPr>
          <w:iCs/>
          <w:lang w:val="fr-CH"/>
        </w:rPr>
        <w:t>’</w:t>
      </w:r>
      <w:r w:rsidR="00BF29B8" w:rsidRPr="00731644">
        <w:rPr>
          <w:iCs/>
          <w:lang w:val="fr-CH"/>
        </w:rPr>
        <w:t>action éducative liée à</w:t>
      </w:r>
      <w:r w:rsidR="00E701EE" w:rsidRPr="00731644">
        <w:rPr>
          <w:iCs/>
          <w:lang w:val="fr-CH"/>
        </w:rPr>
        <w:t xml:space="preserve"> la mise en </w:t>
      </w:r>
      <w:r w:rsidR="00A66512" w:rsidRPr="00731644">
        <w:rPr>
          <w:iCs/>
          <w:lang w:val="fr-CH"/>
        </w:rPr>
        <w:t>œuvre</w:t>
      </w:r>
      <w:r w:rsidR="00E701EE" w:rsidRPr="00731644">
        <w:rPr>
          <w:iCs/>
          <w:lang w:val="fr-CH"/>
        </w:rPr>
        <w:t xml:space="preserve"> de ces stratégies</w:t>
      </w:r>
      <w:r w:rsidR="00F31DD5" w:rsidRPr="00731644">
        <w:rPr>
          <w:iCs/>
          <w:lang w:val="fr-CH"/>
        </w:rPr>
        <w:t xml:space="preserve"> </w:t>
      </w:r>
      <w:r w:rsidR="00E707D7" w:rsidRPr="00731644">
        <w:rPr>
          <w:iCs/>
          <w:lang w:val="fr-CH"/>
        </w:rPr>
        <w:t>(</w:t>
      </w:r>
      <w:r w:rsidR="00E701EE" w:rsidRPr="00731644">
        <w:rPr>
          <w:iCs/>
          <w:lang w:val="fr-CH"/>
        </w:rPr>
        <w:t xml:space="preserve">la </w:t>
      </w:r>
      <w:r w:rsidR="00BF29B8" w:rsidRPr="00731644">
        <w:rPr>
          <w:iCs/>
          <w:lang w:val="fr-CH"/>
        </w:rPr>
        <w:t>S</w:t>
      </w:r>
      <w:r w:rsidR="00E701EE" w:rsidRPr="00731644">
        <w:rPr>
          <w:iCs/>
          <w:lang w:val="fr-CH"/>
        </w:rPr>
        <w:t>tratégie de réforme de l</w:t>
      </w:r>
      <w:r w:rsidR="00425386" w:rsidRPr="00731644">
        <w:rPr>
          <w:iCs/>
          <w:lang w:val="fr-CH"/>
        </w:rPr>
        <w:t>’</w:t>
      </w:r>
      <w:r w:rsidR="00E701EE" w:rsidRPr="00731644">
        <w:rPr>
          <w:iCs/>
          <w:lang w:val="fr-CH"/>
        </w:rPr>
        <w:t xml:space="preserve">administration publique, la Stratégie de réforme </w:t>
      </w:r>
      <w:r w:rsidR="00BF29B8" w:rsidRPr="00731644">
        <w:rPr>
          <w:iCs/>
          <w:lang w:val="fr-CH"/>
        </w:rPr>
        <w:t>judiciaire</w:t>
      </w:r>
      <w:r w:rsidR="005E39BA" w:rsidRPr="00731644">
        <w:rPr>
          <w:iCs/>
          <w:lang w:val="fr-CH"/>
        </w:rPr>
        <w:t xml:space="preserve">, </w:t>
      </w:r>
      <w:r w:rsidR="00D02C79" w:rsidRPr="00731644">
        <w:rPr>
          <w:iCs/>
          <w:lang w:val="fr-CH"/>
        </w:rPr>
        <w:t xml:space="preserve">la </w:t>
      </w:r>
      <w:r w:rsidR="00BF29B8" w:rsidRPr="00731644">
        <w:rPr>
          <w:iCs/>
          <w:lang w:val="fr-CH"/>
        </w:rPr>
        <w:t>R</w:t>
      </w:r>
      <w:r w:rsidR="00D02C79" w:rsidRPr="00731644">
        <w:rPr>
          <w:iCs/>
          <w:lang w:val="fr-CH"/>
        </w:rPr>
        <w:t xml:space="preserve">éforme de la formation des fonctionnaires de police, </w:t>
      </w:r>
      <w:r w:rsidR="00E707D7" w:rsidRPr="00731644">
        <w:rPr>
          <w:iCs/>
          <w:lang w:val="fr-CH"/>
        </w:rPr>
        <w:t>etc.).</w:t>
      </w:r>
    </w:p>
    <w:p w:rsidR="00E707D7" w:rsidRPr="00731644" w:rsidRDefault="007A774E" w:rsidP="00134258">
      <w:pPr>
        <w:pStyle w:val="SingleTxtG"/>
        <w:rPr>
          <w:iCs/>
          <w:lang w:val="fr-CH"/>
        </w:rPr>
      </w:pPr>
      <w:r w:rsidRPr="00731644">
        <w:rPr>
          <w:bCs/>
          <w:iCs/>
          <w:lang w:val="fr-CH"/>
        </w:rPr>
        <w:t>17.</w:t>
      </w:r>
      <w:r w:rsidRPr="00731644">
        <w:rPr>
          <w:b/>
          <w:iCs/>
          <w:lang w:val="fr-CH"/>
        </w:rPr>
        <w:tab/>
      </w:r>
      <w:r w:rsidR="00D02C79" w:rsidRPr="00731644">
        <w:rPr>
          <w:iCs/>
          <w:lang w:val="fr-CH"/>
        </w:rPr>
        <w:t xml:space="preserve">Au </w:t>
      </w:r>
      <w:r w:rsidR="00CB7658" w:rsidRPr="00731644">
        <w:rPr>
          <w:iCs/>
          <w:lang w:val="fr-CH"/>
        </w:rPr>
        <w:t>paragraphe </w:t>
      </w:r>
      <w:r w:rsidR="00D02C79" w:rsidRPr="00731644">
        <w:rPr>
          <w:iCs/>
          <w:lang w:val="fr-CH"/>
        </w:rPr>
        <w:t>8 de ses observations finales, le Comité</w:t>
      </w:r>
      <w:r w:rsidR="00D02C79" w:rsidRPr="00731644">
        <w:rPr>
          <w:b/>
          <w:iCs/>
          <w:lang w:val="fr-CH"/>
        </w:rPr>
        <w:t xml:space="preserve"> </w:t>
      </w:r>
      <w:r w:rsidR="00D02C79" w:rsidRPr="00731644">
        <w:rPr>
          <w:iCs/>
          <w:lang w:val="fr-CH"/>
        </w:rPr>
        <w:t xml:space="preserve">a </w:t>
      </w:r>
      <w:r w:rsidR="00BD242C" w:rsidRPr="00731644">
        <w:rPr>
          <w:iCs/>
          <w:lang w:val="fr-CH"/>
        </w:rPr>
        <w:t>r</w:t>
      </w:r>
      <w:r w:rsidR="00E707D7" w:rsidRPr="00731644">
        <w:rPr>
          <w:iCs/>
          <w:lang w:val="fr-CH"/>
        </w:rPr>
        <w:t>ecomm</w:t>
      </w:r>
      <w:r w:rsidR="00E15BBB" w:rsidRPr="00731644">
        <w:rPr>
          <w:iCs/>
          <w:lang w:val="fr-CH"/>
        </w:rPr>
        <w:t>andé</w:t>
      </w:r>
      <w:r w:rsidR="00F31DD5" w:rsidRPr="00731644">
        <w:rPr>
          <w:iCs/>
          <w:lang w:val="fr-CH"/>
        </w:rPr>
        <w:t xml:space="preserve"> </w:t>
      </w:r>
      <w:r w:rsidR="00E15BBB" w:rsidRPr="00731644">
        <w:rPr>
          <w:iCs/>
          <w:lang w:val="fr-CH"/>
        </w:rPr>
        <w:t>l</w:t>
      </w:r>
      <w:r w:rsidR="00425386" w:rsidRPr="00731644">
        <w:rPr>
          <w:iCs/>
          <w:lang w:val="fr-CH"/>
        </w:rPr>
        <w:t>’</w:t>
      </w:r>
      <w:r w:rsidR="00E15BBB" w:rsidRPr="00731644">
        <w:rPr>
          <w:iCs/>
          <w:lang w:val="fr-CH"/>
        </w:rPr>
        <w:t>établissement de</w:t>
      </w:r>
      <w:r w:rsidR="00D02C79" w:rsidRPr="00731644">
        <w:rPr>
          <w:iCs/>
          <w:lang w:val="fr-CH"/>
        </w:rPr>
        <w:t xml:space="preserve"> statistiques, </w:t>
      </w:r>
      <w:r w:rsidR="00E15BBB" w:rsidRPr="00731644">
        <w:rPr>
          <w:iCs/>
          <w:lang w:val="fr-CH"/>
        </w:rPr>
        <w:t>d</w:t>
      </w:r>
      <w:r w:rsidR="00425386" w:rsidRPr="00731644">
        <w:rPr>
          <w:iCs/>
          <w:lang w:val="fr-CH"/>
        </w:rPr>
        <w:t>’</w:t>
      </w:r>
      <w:r w:rsidR="003126C2" w:rsidRPr="00731644">
        <w:rPr>
          <w:iCs/>
          <w:lang w:val="fr-CH"/>
        </w:rPr>
        <w:t>archives</w:t>
      </w:r>
      <w:r w:rsidR="00D02C79" w:rsidRPr="00731644">
        <w:rPr>
          <w:iCs/>
          <w:lang w:val="fr-CH"/>
        </w:rPr>
        <w:t xml:space="preserve"> et de données qui permettent de suivre, pendant la période considéré</w:t>
      </w:r>
      <w:r w:rsidR="00E15BBB" w:rsidRPr="00731644">
        <w:rPr>
          <w:iCs/>
          <w:lang w:val="fr-CH"/>
        </w:rPr>
        <w:t>e</w:t>
      </w:r>
      <w:r w:rsidR="00D02C79" w:rsidRPr="00731644">
        <w:rPr>
          <w:iCs/>
          <w:lang w:val="fr-CH"/>
        </w:rPr>
        <w:t xml:space="preserve"> </w:t>
      </w:r>
      <w:r w:rsidR="003126C2" w:rsidRPr="00731644">
        <w:rPr>
          <w:iCs/>
          <w:lang w:val="fr-CH"/>
        </w:rPr>
        <w:t>dans le présent rapport</w:t>
      </w:r>
      <w:r w:rsidR="00D02C79" w:rsidRPr="00731644">
        <w:rPr>
          <w:iCs/>
          <w:lang w:val="fr-CH"/>
        </w:rPr>
        <w:t xml:space="preserve">, </w:t>
      </w:r>
      <w:r w:rsidR="003126C2" w:rsidRPr="00731644">
        <w:rPr>
          <w:iCs/>
          <w:lang w:val="fr-CH"/>
        </w:rPr>
        <w:t>l</w:t>
      </w:r>
      <w:r w:rsidR="00425386" w:rsidRPr="00731644">
        <w:rPr>
          <w:iCs/>
          <w:lang w:val="fr-CH"/>
        </w:rPr>
        <w:t>’</w:t>
      </w:r>
      <w:r w:rsidR="003126C2" w:rsidRPr="00731644">
        <w:rPr>
          <w:iCs/>
          <w:lang w:val="fr-CH"/>
        </w:rPr>
        <w:t xml:space="preserve">évolution de </w:t>
      </w:r>
      <w:r w:rsidR="00D02C79" w:rsidRPr="00731644">
        <w:rPr>
          <w:iCs/>
          <w:lang w:val="fr-CH"/>
        </w:rPr>
        <w:t xml:space="preserve">la situation </w:t>
      </w:r>
      <w:r w:rsidR="003126C2" w:rsidRPr="00731644">
        <w:rPr>
          <w:iCs/>
          <w:lang w:val="fr-CH"/>
        </w:rPr>
        <w:t xml:space="preserve">concernant </w:t>
      </w:r>
      <w:r w:rsidR="00D02C79" w:rsidRPr="00731644">
        <w:rPr>
          <w:iCs/>
          <w:lang w:val="fr-CH"/>
        </w:rPr>
        <w:t xml:space="preserve">divers </w:t>
      </w:r>
      <w:r w:rsidR="005E39BA" w:rsidRPr="00731644">
        <w:rPr>
          <w:iCs/>
          <w:lang w:val="fr-CH"/>
        </w:rPr>
        <w:t>paramètres</w:t>
      </w:r>
      <w:r w:rsidR="00D02C79" w:rsidRPr="00731644">
        <w:rPr>
          <w:iCs/>
          <w:lang w:val="fr-CH"/>
        </w:rPr>
        <w:t xml:space="preserve"> d</w:t>
      </w:r>
      <w:r w:rsidR="00425386" w:rsidRPr="00731644">
        <w:rPr>
          <w:iCs/>
          <w:lang w:val="fr-CH"/>
        </w:rPr>
        <w:t>’</w:t>
      </w:r>
      <w:r w:rsidR="00D02C79" w:rsidRPr="00731644">
        <w:rPr>
          <w:iCs/>
          <w:lang w:val="fr-CH"/>
        </w:rPr>
        <w:t>importance pour l</w:t>
      </w:r>
      <w:r w:rsidR="00425386" w:rsidRPr="00731644">
        <w:rPr>
          <w:iCs/>
          <w:lang w:val="fr-CH"/>
        </w:rPr>
        <w:t>’</w:t>
      </w:r>
      <w:r w:rsidR="00D02C79" w:rsidRPr="00731644">
        <w:rPr>
          <w:iCs/>
          <w:lang w:val="fr-CH"/>
        </w:rPr>
        <w:t xml:space="preserve">élimination de la discrimination raciale, </w:t>
      </w:r>
      <w:r w:rsidR="003126C2" w:rsidRPr="00731644">
        <w:rPr>
          <w:iCs/>
          <w:lang w:val="fr-CH"/>
        </w:rPr>
        <w:t xml:space="preserve">et notamment le </w:t>
      </w:r>
      <w:r w:rsidR="00D4349A" w:rsidRPr="00731644">
        <w:rPr>
          <w:iCs/>
          <w:lang w:val="fr-CH"/>
        </w:rPr>
        <w:t>niveau d</w:t>
      </w:r>
      <w:r w:rsidR="00425386" w:rsidRPr="00731644">
        <w:rPr>
          <w:iCs/>
          <w:lang w:val="fr-CH"/>
        </w:rPr>
        <w:t>’</w:t>
      </w:r>
      <w:r w:rsidR="00E15BBB" w:rsidRPr="00731644">
        <w:rPr>
          <w:iCs/>
          <w:lang w:val="fr-CH"/>
        </w:rPr>
        <w:t xml:space="preserve">instruction, </w:t>
      </w:r>
      <w:r w:rsidR="00D4349A" w:rsidRPr="00731644">
        <w:rPr>
          <w:iCs/>
          <w:lang w:val="fr-CH"/>
        </w:rPr>
        <w:t>l</w:t>
      </w:r>
      <w:r w:rsidR="00E15BBB" w:rsidRPr="00731644">
        <w:rPr>
          <w:iCs/>
          <w:lang w:val="fr-CH"/>
        </w:rPr>
        <w:t>es</w:t>
      </w:r>
      <w:r w:rsidR="00F31DD5" w:rsidRPr="00731644">
        <w:rPr>
          <w:iCs/>
          <w:lang w:val="fr-CH"/>
        </w:rPr>
        <w:t xml:space="preserve"> </w:t>
      </w:r>
      <w:r w:rsidR="00D02C79" w:rsidRPr="00731644">
        <w:rPr>
          <w:iCs/>
          <w:lang w:val="fr-CH"/>
        </w:rPr>
        <w:t xml:space="preserve">caractéristiques </w:t>
      </w:r>
      <w:r w:rsidR="00E15BBB" w:rsidRPr="00731644">
        <w:rPr>
          <w:iCs/>
          <w:lang w:val="fr-CH"/>
        </w:rPr>
        <w:t>socio-</w:t>
      </w:r>
      <w:r w:rsidR="00D02C79" w:rsidRPr="00731644">
        <w:rPr>
          <w:iCs/>
          <w:lang w:val="fr-CH"/>
        </w:rPr>
        <w:t>économiques et l</w:t>
      </w:r>
      <w:r w:rsidR="00425386" w:rsidRPr="00731644">
        <w:rPr>
          <w:iCs/>
          <w:lang w:val="fr-CH"/>
        </w:rPr>
        <w:t>’</w:t>
      </w:r>
      <w:r w:rsidR="00D02C79" w:rsidRPr="00731644">
        <w:rPr>
          <w:iCs/>
          <w:lang w:val="fr-CH"/>
        </w:rPr>
        <w:t xml:space="preserve">emploi. </w:t>
      </w:r>
    </w:p>
    <w:p w:rsidR="00961987" w:rsidRPr="00731644" w:rsidRDefault="007A774E" w:rsidP="00BD242C">
      <w:pPr>
        <w:pStyle w:val="SingleTxtG"/>
        <w:rPr>
          <w:lang w:val="fr-CH"/>
        </w:rPr>
      </w:pPr>
      <w:r w:rsidRPr="00731644">
        <w:rPr>
          <w:lang w:val="fr-CH"/>
        </w:rPr>
        <w:t>18.</w:t>
      </w:r>
      <w:r w:rsidRPr="00731644">
        <w:rPr>
          <w:lang w:val="fr-CH"/>
        </w:rPr>
        <w:tab/>
      </w:r>
      <w:r w:rsidR="003126C2" w:rsidRPr="00731644">
        <w:rPr>
          <w:lang w:val="fr-CH"/>
        </w:rPr>
        <w:t>L</w:t>
      </w:r>
      <w:r w:rsidR="00D02C79" w:rsidRPr="00731644">
        <w:rPr>
          <w:lang w:val="fr-CH"/>
        </w:rPr>
        <w:t xml:space="preserve">es statistiques </w:t>
      </w:r>
      <w:r w:rsidR="005E39BA" w:rsidRPr="00731644">
        <w:rPr>
          <w:lang w:val="fr-CH"/>
        </w:rPr>
        <w:t>révélatrices de</w:t>
      </w:r>
      <w:r w:rsidR="00D02C79" w:rsidRPr="00731644">
        <w:rPr>
          <w:lang w:val="fr-CH"/>
        </w:rPr>
        <w:t xml:space="preserve"> la situation de</w:t>
      </w:r>
      <w:r w:rsidR="003126C2" w:rsidRPr="00731644">
        <w:rPr>
          <w:lang w:val="fr-CH"/>
        </w:rPr>
        <w:t>s</w:t>
      </w:r>
      <w:r w:rsidR="00D02C79" w:rsidRPr="00731644">
        <w:rPr>
          <w:lang w:val="fr-CH"/>
        </w:rPr>
        <w:t xml:space="preserve"> différents groupes </w:t>
      </w:r>
      <w:r w:rsidR="00A66512" w:rsidRPr="00731644">
        <w:rPr>
          <w:lang w:val="fr-CH"/>
        </w:rPr>
        <w:t>ethniques</w:t>
      </w:r>
      <w:r w:rsidR="00D02C79" w:rsidRPr="00731644">
        <w:rPr>
          <w:lang w:val="fr-CH"/>
        </w:rPr>
        <w:t xml:space="preserve"> au Monténégro </w:t>
      </w:r>
      <w:r w:rsidR="003126C2" w:rsidRPr="00731644">
        <w:rPr>
          <w:lang w:val="fr-CH"/>
        </w:rPr>
        <w:t>reposent sur</w:t>
      </w:r>
      <w:r w:rsidR="00D02C79" w:rsidRPr="00731644">
        <w:rPr>
          <w:lang w:val="fr-CH"/>
        </w:rPr>
        <w:t xml:space="preserve"> le recensement de </w:t>
      </w:r>
      <w:r w:rsidR="00E707D7" w:rsidRPr="00731644">
        <w:rPr>
          <w:lang w:val="fr-CH"/>
        </w:rPr>
        <w:t xml:space="preserve">2011. </w:t>
      </w:r>
      <w:r w:rsidR="003126C2" w:rsidRPr="00731644">
        <w:rPr>
          <w:lang w:val="fr-CH"/>
        </w:rPr>
        <w:t>L</w:t>
      </w:r>
      <w:r w:rsidR="00D02C79" w:rsidRPr="00731644">
        <w:rPr>
          <w:lang w:val="fr-CH"/>
        </w:rPr>
        <w:t xml:space="preserve">es agents recenseurs </w:t>
      </w:r>
      <w:r w:rsidR="006F1C91" w:rsidRPr="00731644">
        <w:rPr>
          <w:lang w:val="fr-CH"/>
        </w:rPr>
        <w:t>étaient tenus d</w:t>
      </w:r>
      <w:r w:rsidR="00425386" w:rsidRPr="00731644">
        <w:rPr>
          <w:lang w:val="fr-CH"/>
        </w:rPr>
        <w:t>’</w:t>
      </w:r>
      <w:r w:rsidR="006F1C91" w:rsidRPr="00731644">
        <w:rPr>
          <w:lang w:val="fr-CH"/>
        </w:rPr>
        <w:t>informer tous le</w:t>
      </w:r>
      <w:r w:rsidR="003126C2" w:rsidRPr="00731644">
        <w:rPr>
          <w:lang w:val="fr-CH"/>
        </w:rPr>
        <w:t>urs</w:t>
      </w:r>
      <w:r w:rsidR="006F1C91" w:rsidRPr="00731644">
        <w:rPr>
          <w:lang w:val="fr-CH"/>
        </w:rPr>
        <w:t xml:space="preserve"> </w:t>
      </w:r>
      <w:r w:rsidR="003126C2" w:rsidRPr="00731644">
        <w:rPr>
          <w:lang w:val="fr-CH"/>
        </w:rPr>
        <w:t>interlocuteurs</w:t>
      </w:r>
      <w:r w:rsidR="006F1C91" w:rsidRPr="00731644">
        <w:rPr>
          <w:lang w:val="fr-CH"/>
        </w:rPr>
        <w:t xml:space="preserve"> de leur droit d</w:t>
      </w:r>
      <w:r w:rsidR="00425386" w:rsidRPr="00731644">
        <w:rPr>
          <w:lang w:val="fr-CH"/>
        </w:rPr>
        <w:t>’</w:t>
      </w:r>
      <w:r w:rsidR="006F1C91" w:rsidRPr="00731644">
        <w:rPr>
          <w:lang w:val="fr-CH"/>
        </w:rPr>
        <w:t xml:space="preserve">indiquer leur nationalité librement et conformément à leurs convictions personnelles, ainsi que de ne pas répondre à la question </w:t>
      </w:r>
      <w:r w:rsidR="003126C2" w:rsidRPr="00731644">
        <w:rPr>
          <w:lang w:val="fr-CH"/>
        </w:rPr>
        <w:t xml:space="preserve">posée à ce </w:t>
      </w:r>
      <w:r w:rsidR="005E39BA" w:rsidRPr="00731644">
        <w:rPr>
          <w:lang w:val="fr-CH"/>
        </w:rPr>
        <w:t>sujet</w:t>
      </w:r>
      <w:r w:rsidR="003126C2" w:rsidRPr="00731644">
        <w:rPr>
          <w:lang w:val="fr-CH"/>
        </w:rPr>
        <w:t xml:space="preserve"> </w:t>
      </w:r>
      <w:r w:rsidR="006F1C91" w:rsidRPr="00731644">
        <w:rPr>
          <w:lang w:val="fr-CH"/>
        </w:rPr>
        <w:t>s</w:t>
      </w:r>
      <w:r w:rsidR="00425386" w:rsidRPr="00731644">
        <w:rPr>
          <w:lang w:val="fr-CH"/>
        </w:rPr>
        <w:t>’</w:t>
      </w:r>
      <w:r w:rsidR="005E39BA" w:rsidRPr="00731644">
        <w:rPr>
          <w:lang w:val="fr-CH"/>
        </w:rPr>
        <w:t>ils</w:t>
      </w:r>
      <w:r w:rsidR="006F1C91" w:rsidRPr="00731644">
        <w:rPr>
          <w:lang w:val="fr-CH"/>
        </w:rPr>
        <w:t xml:space="preserve"> le souhaitaient. Sur la base des </w:t>
      </w:r>
      <w:r w:rsidR="003126C2" w:rsidRPr="00731644">
        <w:rPr>
          <w:lang w:val="fr-CH"/>
        </w:rPr>
        <w:t>choix</w:t>
      </w:r>
      <w:r w:rsidR="006F1C91" w:rsidRPr="00731644">
        <w:rPr>
          <w:lang w:val="fr-CH"/>
        </w:rPr>
        <w:t xml:space="preserve"> proposés </w:t>
      </w:r>
      <w:r w:rsidR="003126C2" w:rsidRPr="00731644">
        <w:rPr>
          <w:lang w:val="fr-CH"/>
        </w:rPr>
        <w:t xml:space="preserve">en réponse à </w:t>
      </w:r>
      <w:r w:rsidR="006F1C91" w:rsidRPr="00731644">
        <w:rPr>
          <w:lang w:val="fr-CH"/>
        </w:rPr>
        <w:t>d</w:t>
      </w:r>
      <w:r w:rsidR="00425386" w:rsidRPr="00731644">
        <w:rPr>
          <w:lang w:val="fr-CH"/>
        </w:rPr>
        <w:t>’</w:t>
      </w:r>
      <w:r w:rsidR="006F1C91" w:rsidRPr="00731644">
        <w:rPr>
          <w:lang w:val="fr-CH"/>
        </w:rPr>
        <w:t xml:space="preserve">autres questions, </w:t>
      </w:r>
      <w:r w:rsidR="00CB7658" w:rsidRPr="00731644">
        <w:rPr>
          <w:lang w:val="fr-CH"/>
        </w:rPr>
        <w:t>les personnes</w:t>
      </w:r>
      <w:r w:rsidR="006F1C91" w:rsidRPr="00731644">
        <w:rPr>
          <w:lang w:val="fr-CH"/>
        </w:rPr>
        <w:t xml:space="preserve"> </w:t>
      </w:r>
      <w:r w:rsidR="003126C2" w:rsidRPr="00731644">
        <w:rPr>
          <w:lang w:val="fr-CH"/>
        </w:rPr>
        <w:t xml:space="preserve">recensées </w:t>
      </w:r>
      <w:r w:rsidR="0033380E" w:rsidRPr="00731644">
        <w:rPr>
          <w:lang w:val="fr-CH"/>
        </w:rPr>
        <w:t>ont donné des renseignements sur leur langue maternelle,</w:t>
      </w:r>
      <w:r w:rsidR="003126C2" w:rsidRPr="00731644">
        <w:rPr>
          <w:lang w:val="fr-CH"/>
        </w:rPr>
        <w:t xml:space="preserve"> </w:t>
      </w:r>
      <w:r w:rsidR="00AF1EF2" w:rsidRPr="00731644">
        <w:rPr>
          <w:lang w:val="fr-CH"/>
        </w:rPr>
        <w:t>leur situation en matière de logement, leur instruction, leur profession et d</w:t>
      </w:r>
      <w:r w:rsidR="00425386" w:rsidRPr="00731644">
        <w:rPr>
          <w:lang w:val="fr-CH"/>
        </w:rPr>
        <w:t>’</w:t>
      </w:r>
      <w:r w:rsidR="00AF1EF2" w:rsidRPr="00731644">
        <w:rPr>
          <w:lang w:val="fr-CH"/>
        </w:rPr>
        <w:t xml:space="preserve">autres </w:t>
      </w:r>
      <w:r w:rsidR="005E39BA" w:rsidRPr="00731644">
        <w:rPr>
          <w:lang w:val="fr-CH"/>
        </w:rPr>
        <w:t>aspect</w:t>
      </w:r>
      <w:r w:rsidR="007D26E5" w:rsidRPr="00731644">
        <w:rPr>
          <w:lang w:val="fr-CH"/>
        </w:rPr>
        <w:t>s détermin</w:t>
      </w:r>
      <w:r w:rsidR="00AF1EF2" w:rsidRPr="00731644">
        <w:rPr>
          <w:lang w:val="fr-CH"/>
        </w:rPr>
        <w:t>an</w:t>
      </w:r>
      <w:r w:rsidR="003126C2" w:rsidRPr="00731644">
        <w:rPr>
          <w:lang w:val="fr-CH"/>
        </w:rPr>
        <w:t xml:space="preserve">ts </w:t>
      </w:r>
      <w:r w:rsidR="007D26E5" w:rsidRPr="00731644">
        <w:rPr>
          <w:lang w:val="fr-CH"/>
        </w:rPr>
        <w:t>de</w:t>
      </w:r>
      <w:r w:rsidR="00AF1EF2" w:rsidRPr="00731644">
        <w:rPr>
          <w:lang w:val="fr-CH"/>
        </w:rPr>
        <w:t xml:space="preserve"> leur condition et de leur vie au sein de la société monténégrine. Les renseignement</w:t>
      </w:r>
      <w:r w:rsidR="007D26E5" w:rsidRPr="00731644">
        <w:rPr>
          <w:lang w:val="fr-CH"/>
        </w:rPr>
        <w:t>s</w:t>
      </w:r>
      <w:r w:rsidR="00AF1EF2" w:rsidRPr="00731644">
        <w:rPr>
          <w:lang w:val="fr-CH"/>
        </w:rPr>
        <w:t xml:space="preserve"> collectés sont encore en cours de traitement, et il est à prévoir</w:t>
      </w:r>
      <w:r w:rsidR="007D26E5" w:rsidRPr="00731644">
        <w:rPr>
          <w:lang w:val="fr-CH"/>
        </w:rPr>
        <w:t xml:space="preserve"> </w:t>
      </w:r>
      <w:r w:rsidR="00AF1EF2" w:rsidRPr="00731644">
        <w:rPr>
          <w:lang w:val="fr-CH"/>
        </w:rPr>
        <w:t>qu</w:t>
      </w:r>
      <w:r w:rsidR="00425386" w:rsidRPr="00731644">
        <w:rPr>
          <w:lang w:val="fr-CH"/>
        </w:rPr>
        <w:t>’</w:t>
      </w:r>
      <w:r w:rsidR="00AF1EF2" w:rsidRPr="00731644">
        <w:rPr>
          <w:lang w:val="fr-CH"/>
        </w:rPr>
        <w:t xml:space="preserve">ils apporteront dans les </w:t>
      </w:r>
      <w:r w:rsidR="00A66512" w:rsidRPr="00731644">
        <w:rPr>
          <w:lang w:val="fr-CH"/>
        </w:rPr>
        <w:t>quelques</w:t>
      </w:r>
      <w:r w:rsidR="00AF1EF2" w:rsidRPr="00731644">
        <w:rPr>
          <w:lang w:val="fr-CH"/>
        </w:rPr>
        <w:t xml:space="preserve"> mois qui viennent des réponses à bon nombre des questions </w:t>
      </w:r>
      <w:r w:rsidR="007D26E5" w:rsidRPr="00731644">
        <w:rPr>
          <w:lang w:val="fr-CH"/>
        </w:rPr>
        <w:t>pos</w:t>
      </w:r>
      <w:r w:rsidR="00AF1EF2" w:rsidRPr="00731644">
        <w:rPr>
          <w:lang w:val="fr-CH"/>
        </w:rPr>
        <w:t xml:space="preserve">ées dans la </w:t>
      </w:r>
      <w:r w:rsidR="00A66512" w:rsidRPr="00731644">
        <w:rPr>
          <w:lang w:val="fr-CH"/>
        </w:rPr>
        <w:t>recommandation</w:t>
      </w:r>
      <w:r w:rsidR="00AF1EF2" w:rsidRPr="00731644">
        <w:rPr>
          <w:lang w:val="fr-CH"/>
        </w:rPr>
        <w:t xml:space="preserve"> </w:t>
      </w:r>
      <w:r w:rsidR="00A66512" w:rsidRPr="00731644">
        <w:rPr>
          <w:lang w:val="fr-CH"/>
        </w:rPr>
        <w:t>susmentionnée</w:t>
      </w:r>
      <w:r w:rsidR="00AF1EF2" w:rsidRPr="00731644">
        <w:rPr>
          <w:lang w:val="fr-CH"/>
        </w:rPr>
        <w:t>.</w:t>
      </w:r>
      <w:r w:rsidR="00F31DD5" w:rsidRPr="00731644">
        <w:rPr>
          <w:lang w:val="fr-CH"/>
        </w:rPr>
        <w:t xml:space="preserve"> </w:t>
      </w:r>
    </w:p>
    <w:p w:rsidR="00E707D7" w:rsidRPr="00731644" w:rsidRDefault="00D02C79" w:rsidP="007A774E">
      <w:pPr>
        <w:pStyle w:val="H1G"/>
        <w:rPr>
          <w:lang w:val="fr-CH"/>
        </w:rPr>
      </w:pPr>
      <w:r w:rsidRPr="00731644">
        <w:rPr>
          <w:lang w:val="fr-CH"/>
        </w:rPr>
        <w:tab/>
      </w:r>
      <w:r w:rsidR="00774887" w:rsidRPr="00731644">
        <w:rPr>
          <w:lang w:val="fr-CH"/>
        </w:rPr>
        <w:t>B.</w:t>
      </w:r>
      <w:r w:rsidR="007A774E" w:rsidRPr="00731644">
        <w:rPr>
          <w:lang w:val="fr-CH"/>
        </w:rPr>
        <w:tab/>
      </w:r>
      <w:r w:rsidR="00E707D7" w:rsidRPr="00731644">
        <w:rPr>
          <w:lang w:val="fr-CH"/>
        </w:rPr>
        <w:t>As</w:t>
      </w:r>
      <w:r w:rsidR="00AF1EF2" w:rsidRPr="00731644">
        <w:rPr>
          <w:lang w:val="fr-CH"/>
        </w:rPr>
        <w:t>ile</w:t>
      </w:r>
    </w:p>
    <w:p w:rsidR="00E707D7" w:rsidRPr="00731644" w:rsidRDefault="007A774E" w:rsidP="00E707D7">
      <w:pPr>
        <w:pStyle w:val="SingleTxtG"/>
        <w:rPr>
          <w:lang w:val="fr-CH"/>
        </w:rPr>
      </w:pPr>
      <w:r w:rsidRPr="00731644">
        <w:rPr>
          <w:bCs/>
          <w:lang w:val="fr-CH"/>
        </w:rPr>
        <w:t>19.</w:t>
      </w:r>
      <w:r w:rsidRPr="00731644">
        <w:rPr>
          <w:bCs/>
          <w:lang w:val="fr-CH"/>
        </w:rPr>
        <w:tab/>
      </w:r>
      <w:r w:rsidR="00AF1EF2" w:rsidRPr="00731644">
        <w:rPr>
          <w:bCs/>
          <w:lang w:val="fr-CH"/>
        </w:rPr>
        <w:t>E</w:t>
      </w:r>
      <w:r w:rsidR="00E707D7" w:rsidRPr="00731644">
        <w:rPr>
          <w:bCs/>
          <w:lang w:val="fr-CH"/>
        </w:rPr>
        <w:t xml:space="preserve">n 2010, </w:t>
      </w:r>
      <w:r w:rsidR="00AF1EF2" w:rsidRPr="00731644">
        <w:rPr>
          <w:bCs/>
          <w:lang w:val="fr-CH"/>
        </w:rPr>
        <w:t>neuf</w:t>
      </w:r>
      <w:r w:rsidR="00CB7658" w:rsidRPr="00731644">
        <w:rPr>
          <w:bCs/>
          <w:lang w:val="fr-CH"/>
        </w:rPr>
        <w:t> personnes</w:t>
      </w:r>
      <w:r w:rsidR="00F31DD5" w:rsidRPr="00731644">
        <w:rPr>
          <w:bCs/>
          <w:lang w:val="fr-CH"/>
        </w:rPr>
        <w:t xml:space="preserve"> – </w:t>
      </w:r>
      <w:r w:rsidR="00AF1EF2" w:rsidRPr="00731644">
        <w:rPr>
          <w:bCs/>
          <w:lang w:val="fr-CH"/>
        </w:rPr>
        <w:t>huit adultes et un mineur accompagné</w:t>
      </w:r>
      <w:r w:rsidR="0077022D">
        <w:rPr>
          <w:bCs/>
          <w:lang w:val="fr-CH"/>
        </w:rPr>
        <w:t xml:space="preserve"> –</w:t>
      </w:r>
      <w:r w:rsidR="00AF1EF2" w:rsidRPr="00731644">
        <w:rPr>
          <w:bCs/>
          <w:lang w:val="fr-CH"/>
        </w:rPr>
        <w:t xml:space="preserve">, </w:t>
      </w:r>
      <w:r w:rsidR="009576A8" w:rsidRPr="00731644">
        <w:rPr>
          <w:bCs/>
          <w:lang w:val="fr-CH"/>
        </w:rPr>
        <w:t xml:space="preserve">dont </w:t>
      </w:r>
      <w:r w:rsidR="00AF1EF2" w:rsidRPr="00731644">
        <w:rPr>
          <w:bCs/>
          <w:lang w:val="fr-CH"/>
        </w:rPr>
        <w:t>sept de sexe masculin et deux de sexe féminin</w:t>
      </w:r>
      <w:r w:rsidR="0077022D">
        <w:rPr>
          <w:bCs/>
          <w:lang w:val="fr-CH"/>
        </w:rPr>
        <w:t xml:space="preserve">, </w:t>
      </w:r>
      <w:r w:rsidR="00AF1EF2" w:rsidRPr="00731644">
        <w:rPr>
          <w:bCs/>
          <w:lang w:val="fr-CH"/>
        </w:rPr>
        <w:t>ont demandé l</w:t>
      </w:r>
      <w:r w:rsidR="00425386" w:rsidRPr="00731644">
        <w:rPr>
          <w:bCs/>
          <w:lang w:val="fr-CH"/>
        </w:rPr>
        <w:t>’</w:t>
      </w:r>
      <w:r w:rsidR="00AF1EF2" w:rsidRPr="00731644">
        <w:rPr>
          <w:bCs/>
          <w:lang w:val="fr-CH"/>
        </w:rPr>
        <w:t>asile au Monténégro. Quatre demandes ont été rejetées et cinq sont à l</w:t>
      </w:r>
      <w:r w:rsidR="00425386" w:rsidRPr="00731644">
        <w:rPr>
          <w:bCs/>
          <w:lang w:val="fr-CH"/>
        </w:rPr>
        <w:t>’</w:t>
      </w:r>
      <w:r w:rsidR="00AF1EF2" w:rsidRPr="00731644">
        <w:rPr>
          <w:bCs/>
          <w:lang w:val="fr-CH"/>
        </w:rPr>
        <w:t xml:space="preserve">étude. La Commission </w:t>
      </w:r>
      <w:r w:rsidR="009576A8" w:rsidRPr="00731644">
        <w:rPr>
          <w:bCs/>
          <w:lang w:val="fr-CH"/>
        </w:rPr>
        <w:t xml:space="preserve">nationale </w:t>
      </w:r>
      <w:r w:rsidR="00AF1EF2" w:rsidRPr="00731644">
        <w:rPr>
          <w:bCs/>
          <w:lang w:val="fr-CH"/>
        </w:rPr>
        <w:t xml:space="preserve">de recours contre </w:t>
      </w:r>
      <w:r w:rsidR="009576A8" w:rsidRPr="00731644">
        <w:rPr>
          <w:bCs/>
          <w:lang w:val="fr-CH"/>
        </w:rPr>
        <w:t xml:space="preserve">le </w:t>
      </w:r>
      <w:r w:rsidR="007C172A" w:rsidRPr="00731644">
        <w:rPr>
          <w:bCs/>
          <w:lang w:val="fr-CH"/>
        </w:rPr>
        <w:t>re</w:t>
      </w:r>
      <w:r w:rsidR="00931C14" w:rsidRPr="00731644">
        <w:rPr>
          <w:bCs/>
          <w:lang w:val="fr-CH"/>
        </w:rPr>
        <w:t>fus</w:t>
      </w:r>
      <w:r w:rsidR="007C172A" w:rsidRPr="00731644">
        <w:rPr>
          <w:bCs/>
          <w:lang w:val="fr-CH"/>
        </w:rPr>
        <w:t xml:space="preserve"> des demandes d</w:t>
      </w:r>
      <w:r w:rsidR="00425386" w:rsidRPr="00731644">
        <w:rPr>
          <w:bCs/>
          <w:lang w:val="fr-CH"/>
        </w:rPr>
        <w:t>’</w:t>
      </w:r>
      <w:r w:rsidR="009576A8" w:rsidRPr="00731644">
        <w:rPr>
          <w:bCs/>
          <w:lang w:val="fr-CH"/>
        </w:rPr>
        <w:t xml:space="preserve">asile </w:t>
      </w:r>
      <w:r w:rsidR="00AF1EF2" w:rsidRPr="00731644">
        <w:rPr>
          <w:bCs/>
          <w:lang w:val="fr-CH"/>
        </w:rPr>
        <w:t xml:space="preserve">a été saisie </w:t>
      </w:r>
      <w:r w:rsidR="009576A8" w:rsidRPr="00731644">
        <w:rPr>
          <w:bCs/>
          <w:lang w:val="fr-CH"/>
        </w:rPr>
        <w:t>par un</w:t>
      </w:r>
      <w:r w:rsidR="007C172A" w:rsidRPr="00731644">
        <w:rPr>
          <w:bCs/>
          <w:lang w:val="fr-CH"/>
        </w:rPr>
        <w:t>e personne,</w:t>
      </w:r>
      <w:r w:rsidR="00F31DD5" w:rsidRPr="00731644">
        <w:rPr>
          <w:bCs/>
          <w:lang w:val="fr-CH"/>
        </w:rPr>
        <w:t xml:space="preserve"> </w:t>
      </w:r>
      <w:r w:rsidR="007C172A" w:rsidRPr="00731644">
        <w:rPr>
          <w:bCs/>
          <w:lang w:val="fr-CH"/>
        </w:rPr>
        <w:t>dont</w:t>
      </w:r>
      <w:r w:rsidR="009576A8" w:rsidRPr="00731644">
        <w:rPr>
          <w:bCs/>
          <w:lang w:val="fr-CH"/>
        </w:rPr>
        <w:t xml:space="preserve"> elle a rejeté la requête comme dénuée de fondement</w:t>
      </w:r>
      <w:r w:rsidR="00E707D7" w:rsidRPr="00731644">
        <w:rPr>
          <w:bCs/>
          <w:lang w:val="fr-CH"/>
        </w:rPr>
        <w:t xml:space="preserve">. </w:t>
      </w:r>
      <w:r w:rsidR="009576A8" w:rsidRPr="00731644">
        <w:rPr>
          <w:bCs/>
          <w:lang w:val="fr-CH"/>
        </w:rPr>
        <w:t>Cinq affai</w:t>
      </w:r>
      <w:r w:rsidR="007C172A" w:rsidRPr="00731644">
        <w:rPr>
          <w:bCs/>
          <w:lang w:val="fr-CH"/>
        </w:rPr>
        <w:t>res avaient été engagé</w:t>
      </w:r>
      <w:r w:rsidR="009576A8" w:rsidRPr="00731644">
        <w:rPr>
          <w:bCs/>
          <w:lang w:val="fr-CH"/>
        </w:rPr>
        <w:t>es au cours de la période examinée dans le précédent rapport</w:t>
      </w:r>
      <w:r w:rsidR="00F31DD5" w:rsidRPr="00731644">
        <w:rPr>
          <w:bCs/>
          <w:lang w:val="fr-CH"/>
        </w:rPr>
        <w:t>;</w:t>
      </w:r>
      <w:r w:rsidR="009576A8" w:rsidRPr="00731644">
        <w:rPr>
          <w:bCs/>
          <w:lang w:val="fr-CH"/>
        </w:rPr>
        <w:t xml:space="preserve"> dans </w:t>
      </w:r>
      <w:r w:rsidR="007C172A" w:rsidRPr="00731644">
        <w:rPr>
          <w:bCs/>
          <w:lang w:val="fr-CH"/>
        </w:rPr>
        <w:t>les cinq cas</w:t>
      </w:r>
      <w:r w:rsidR="009576A8" w:rsidRPr="00731644">
        <w:rPr>
          <w:bCs/>
          <w:lang w:val="fr-CH"/>
        </w:rPr>
        <w:t>, la Commission a conclu à la suspension de la procédure</w:t>
      </w:r>
      <w:r w:rsidR="00E707D7" w:rsidRPr="00731644">
        <w:rPr>
          <w:bCs/>
          <w:lang w:val="fr-CH"/>
        </w:rPr>
        <w:t xml:space="preserve">. </w:t>
      </w:r>
      <w:r w:rsidR="0004404C" w:rsidRPr="00731644">
        <w:rPr>
          <w:bCs/>
          <w:lang w:val="fr-CH"/>
        </w:rPr>
        <w:t>Dans le cadre de l</w:t>
      </w:r>
      <w:r w:rsidR="00425386" w:rsidRPr="00731644">
        <w:rPr>
          <w:bCs/>
          <w:lang w:val="fr-CH"/>
        </w:rPr>
        <w:t>’</w:t>
      </w:r>
      <w:r w:rsidR="0004404C" w:rsidRPr="00731644">
        <w:rPr>
          <w:bCs/>
          <w:lang w:val="fr-CH"/>
        </w:rPr>
        <w:t>application de la</w:t>
      </w:r>
      <w:r w:rsidR="0004404C" w:rsidRPr="005E7B4F">
        <w:rPr>
          <w:bCs/>
          <w:lang w:val="fr-CH"/>
        </w:rPr>
        <w:t xml:space="preserve"> loi relative à l</w:t>
      </w:r>
      <w:r w:rsidR="00425386" w:rsidRPr="005E7B4F">
        <w:rPr>
          <w:bCs/>
          <w:lang w:val="fr-CH"/>
        </w:rPr>
        <w:t>’</w:t>
      </w:r>
      <w:r w:rsidR="0004404C" w:rsidRPr="005E7B4F">
        <w:rPr>
          <w:bCs/>
          <w:lang w:val="fr-CH"/>
        </w:rPr>
        <w:t>asile,</w:t>
      </w:r>
      <w:r w:rsidR="0004404C" w:rsidRPr="00731644">
        <w:rPr>
          <w:bCs/>
          <w:lang w:val="fr-CH"/>
        </w:rPr>
        <w:t xml:space="preserve"> l</w:t>
      </w:r>
      <w:r w:rsidR="00425386" w:rsidRPr="00731644">
        <w:rPr>
          <w:bCs/>
          <w:lang w:val="fr-CH"/>
        </w:rPr>
        <w:t>’</w:t>
      </w:r>
      <w:r w:rsidR="0004404C" w:rsidRPr="00731644">
        <w:rPr>
          <w:bCs/>
          <w:lang w:val="fr-CH"/>
        </w:rPr>
        <w:t>Office national de l</w:t>
      </w:r>
      <w:r w:rsidR="00425386" w:rsidRPr="00731644">
        <w:rPr>
          <w:bCs/>
          <w:lang w:val="fr-CH"/>
        </w:rPr>
        <w:t>’</w:t>
      </w:r>
      <w:r w:rsidR="0004404C" w:rsidRPr="00731644">
        <w:rPr>
          <w:bCs/>
          <w:lang w:val="fr-CH"/>
        </w:rPr>
        <w:t>asile</w:t>
      </w:r>
      <w:r w:rsidR="009576A8" w:rsidRPr="00731644">
        <w:rPr>
          <w:bCs/>
          <w:lang w:val="fr-CH"/>
        </w:rPr>
        <w:t xml:space="preserve"> est tenu de réexaminer constamme</w:t>
      </w:r>
      <w:r w:rsidR="0004404C" w:rsidRPr="00731644">
        <w:rPr>
          <w:bCs/>
          <w:lang w:val="fr-CH"/>
        </w:rPr>
        <w:t>n</w:t>
      </w:r>
      <w:r w:rsidR="009576A8" w:rsidRPr="00731644">
        <w:rPr>
          <w:bCs/>
          <w:lang w:val="fr-CH"/>
        </w:rPr>
        <w:t xml:space="preserve">t </w:t>
      </w:r>
      <w:r w:rsidR="0004404C" w:rsidRPr="00731644">
        <w:rPr>
          <w:bCs/>
          <w:lang w:val="fr-CH"/>
        </w:rPr>
        <w:t xml:space="preserve">la nécessité de prolonger la protection </w:t>
      </w:r>
      <w:r w:rsidR="00B569C5" w:rsidRPr="00731644">
        <w:rPr>
          <w:bCs/>
          <w:lang w:val="fr-CH"/>
        </w:rPr>
        <w:t>des personnes</w:t>
      </w:r>
      <w:r w:rsidR="0004404C" w:rsidRPr="00731644">
        <w:rPr>
          <w:bCs/>
          <w:lang w:val="fr-CH"/>
        </w:rPr>
        <w:t xml:space="preserve"> à qui </w:t>
      </w:r>
      <w:r w:rsidR="00931C14" w:rsidRPr="00731644">
        <w:rPr>
          <w:bCs/>
          <w:lang w:val="fr-CH"/>
        </w:rPr>
        <w:t>c</w:t>
      </w:r>
      <w:r w:rsidR="007C172A" w:rsidRPr="00731644">
        <w:rPr>
          <w:bCs/>
          <w:lang w:val="fr-CH"/>
        </w:rPr>
        <w:t>elle</w:t>
      </w:r>
      <w:r w:rsidR="00931C14" w:rsidRPr="00731644">
        <w:rPr>
          <w:bCs/>
          <w:lang w:val="fr-CH"/>
        </w:rPr>
        <w:t>-ci</w:t>
      </w:r>
      <w:r w:rsidR="0004404C" w:rsidRPr="00731644">
        <w:rPr>
          <w:bCs/>
          <w:lang w:val="fr-CH"/>
        </w:rPr>
        <w:t xml:space="preserve"> a été </w:t>
      </w:r>
      <w:r w:rsidR="00A66512" w:rsidRPr="00731644">
        <w:rPr>
          <w:bCs/>
          <w:lang w:val="fr-CH"/>
        </w:rPr>
        <w:t>accordée</w:t>
      </w:r>
      <w:r w:rsidR="0004404C" w:rsidRPr="00731644">
        <w:rPr>
          <w:bCs/>
          <w:lang w:val="fr-CH"/>
        </w:rPr>
        <w:t xml:space="preserve"> par le Monténégro.</w:t>
      </w:r>
      <w:r w:rsidR="00F31DD5" w:rsidRPr="00731644">
        <w:rPr>
          <w:bCs/>
          <w:lang w:val="fr-CH"/>
        </w:rPr>
        <w:t xml:space="preserve"> </w:t>
      </w:r>
      <w:r w:rsidR="00CC35AA" w:rsidRPr="00731644">
        <w:rPr>
          <w:bCs/>
          <w:lang w:val="fr-CH"/>
        </w:rPr>
        <w:t>Comme u</w:t>
      </w:r>
      <w:r w:rsidR="0004404C" w:rsidRPr="00731644">
        <w:rPr>
          <w:bCs/>
          <w:lang w:val="fr-CH"/>
        </w:rPr>
        <w:t xml:space="preserve">ne personne </w:t>
      </w:r>
      <w:r w:rsidR="00CC35AA" w:rsidRPr="00731644">
        <w:rPr>
          <w:bCs/>
          <w:lang w:val="fr-CH"/>
        </w:rPr>
        <w:t xml:space="preserve">avait obtenu </w:t>
      </w:r>
      <w:r w:rsidR="00931C14" w:rsidRPr="00731644">
        <w:rPr>
          <w:bCs/>
          <w:lang w:val="fr-CH"/>
        </w:rPr>
        <w:t xml:space="preserve">des autorités monténégrines </w:t>
      </w:r>
      <w:r w:rsidR="00CC35AA" w:rsidRPr="00731644">
        <w:rPr>
          <w:bCs/>
          <w:lang w:val="fr-CH"/>
        </w:rPr>
        <w:t>le</w:t>
      </w:r>
      <w:r w:rsidR="0004404C" w:rsidRPr="00731644">
        <w:rPr>
          <w:bCs/>
          <w:lang w:val="fr-CH"/>
        </w:rPr>
        <w:t xml:space="preserve"> statut de réfugié,</w:t>
      </w:r>
      <w:r w:rsidR="00F31DD5" w:rsidRPr="00731644">
        <w:rPr>
          <w:bCs/>
          <w:lang w:val="fr-CH"/>
        </w:rPr>
        <w:t xml:space="preserve"> </w:t>
      </w:r>
      <w:r w:rsidR="0004404C" w:rsidRPr="00731644">
        <w:rPr>
          <w:bCs/>
          <w:lang w:val="fr-CH"/>
        </w:rPr>
        <w:t>l</w:t>
      </w:r>
      <w:r w:rsidR="00425386" w:rsidRPr="00731644">
        <w:rPr>
          <w:bCs/>
          <w:lang w:val="fr-CH"/>
        </w:rPr>
        <w:t>’</w:t>
      </w:r>
      <w:r w:rsidR="0004404C" w:rsidRPr="00731644">
        <w:rPr>
          <w:bCs/>
          <w:lang w:val="fr-CH"/>
        </w:rPr>
        <w:t xml:space="preserve">Office a </w:t>
      </w:r>
      <w:r w:rsidR="00CC35AA" w:rsidRPr="00731644">
        <w:rPr>
          <w:bCs/>
          <w:lang w:val="fr-CH"/>
        </w:rPr>
        <w:t>décidé</w:t>
      </w:r>
      <w:r w:rsidR="0004404C" w:rsidRPr="00731644">
        <w:rPr>
          <w:bCs/>
          <w:lang w:val="fr-CH"/>
        </w:rPr>
        <w:t xml:space="preserve"> de mettre fin à la protection </w:t>
      </w:r>
      <w:r w:rsidR="00CC35AA" w:rsidRPr="00731644">
        <w:rPr>
          <w:bCs/>
          <w:lang w:val="fr-CH"/>
        </w:rPr>
        <w:t xml:space="preserve">qui lui était </w:t>
      </w:r>
      <w:r w:rsidR="0004404C" w:rsidRPr="00731644">
        <w:rPr>
          <w:bCs/>
          <w:lang w:val="fr-CH"/>
        </w:rPr>
        <w:t xml:space="preserve">accordée. </w:t>
      </w:r>
      <w:r w:rsidR="00CC35AA" w:rsidRPr="00731644">
        <w:rPr>
          <w:bCs/>
          <w:lang w:val="fr-CH"/>
        </w:rPr>
        <w:t>Le réfugié</w:t>
      </w:r>
      <w:r w:rsidR="0004404C" w:rsidRPr="00731644">
        <w:rPr>
          <w:bCs/>
          <w:lang w:val="fr-CH"/>
        </w:rPr>
        <w:t xml:space="preserve"> a saisi </w:t>
      </w:r>
      <w:r w:rsidR="00CC35AA" w:rsidRPr="00731644">
        <w:rPr>
          <w:bCs/>
          <w:lang w:val="fr-CH"/>
        </w:rPr>
        <w:t>l</w:t>
      </w:r>
      <w:r w:rsidR="00425386" w:rsidRPr="00731644">
        <w:rPr>
          <w:bCs/>
          <w:lang w:val="fr-CH"/>
        </w:rPr>
        <w:t>’</w:t>
      </w:r>
      <w:r w:rsidR="00CC35AA" w:rsidRPr="00731644">
        <w:rPr>
          <w:bCs/>
          <w:lang w:val="fr-CH"/>
        </w:rPr>
        <w:t xml:space="preserve">instance du deuxième degré, </w:t>
      </w:r>
      <w:r w:rsidR="0004404C" w:rsidRPr="00731644">
        <w:rPr>
          <w:bCs/>
          <w:lang w:val="fr-CH"/>
        </w:rPr>
        <w:t xml:space="preserve">la Commission nationale de recours contre le </w:t>
      </w:r>
      <w:r w:rsidR="00CC35AA" w:rsidRPr="00731644">
        <w:rPr>
          <w:bCs/>
          <w:lang w:val="fr-CH"/>
        </w:rPr>
        <w:t>re</w:t>
      </w:r>
      <w:r w:rsidR="00931C14" w:rsidRPr="00731644">
        <w:rPr>
          <w:bCs/>
          <w:lang w:val="fr-CH"/>
        </w:rPr>
        <w:t>fus</w:t>
      </w:r>
      <w:r w:rsidR="00CC35AA" w:rsidRPr="00731644">
        <w:rPr>
          <w:bCs/>
          <w:lang w:val="fr-CH"/>
        </w:rPr>
        <w:t xml:space="preserve"> des demandes d</w:t>
      </w:r>
      <w:r w:rsidR="00425386" w:rsidRPr="00731644">
        <w:rPr>
          <w:bCs/>
          <w:lang w:val="fr-CH"/>
        </w:rPr>
        <w:t>’</w:t>
      </w:r>
      <w:r w:rsidR="0004404C" w:rsidRPr="00731644">
        <w:rPr>
          <w:bCs/>
          <w:lang w:val="fr-CH"/>
        </w:rPr>
        <w:t xml:space="preserve">asile, qui a rejeté </w:t>
      </w:r>
      <w:r w:rsidR="00CC35AA" w:rsidRPr="00731644">
        <w:rPr>
          <w:bCs/>
          <w:lang w:val="fr-CH"/>
        </w:rPr>
        <w:t>son</w:t>
      </w:r>
      <w:r w:rsidR="0004404C" w:rsidRPr="00731644">
        <w:rPr>
          <w:bCs/>
          <w:lang w:val="fr-CH"/>
        </w:rPr>
        <w:t xml:space="preserve"> recours comme </w:t>
      </w:r>
      <w:r w:rsidR="00931C14" w:rsidRPr="00731644">
        <w:rPr>
          <w:bCs/>
          <w:lang w:val="fr-CH"/>
        </w:rPr>
        <w:t>in</w:t>
      </w:r>
      <w:r w:rsidR="0004404C" w:rsidRPr="00731644">
        <w:rPr>
          <w:bCs/>
          <w:lang w:val="fr-CH"/>
        </w:rPr>
        <w:t>fond</w:t>
      </w:r>
      <w:r w:rsidR="00931C14" w:rsidRPr="00731644">
        <w:rPr>
          <w:bCs/>
          <w:lang w:val="fr-CH"/>
        </w:rPr>
        <w:t>é</w:t>
      </w:r>
      <w:r w:rsidR="0004404C" w:rsidRPr="00731644">
        <w:rPr>
          <w:bCs/>
          <w:lang w:val="fr-CH"/>
        </w:rPr>
        <w:t xml:space="preserve"> et a confirmé la décision rendue en première insta</w:t>
      </w:r>
      <w:r w:rsidR="007D00FC" w:rsidRPr="00731644">
        <w:rPr>
          <w:bCs/>
          <w:lang w:val="fr-CH"/>
        </w:rPr>
        <w:t>n</w:t>
      </w:r>
      <w:r w:rsidR="0004404C" w:rsidRPr="00731644">
        <w:rPr>
          <w:bCs/>
          <w:lang w:val="fr-CH"/>
        </w:rPr>
        <w:t xml:space="preserve">ce. </w:t>
      </w:r>
    </w:p>
    <w:p w:rsidR="00E707D7" w:rsidRPr="00731644" w:rsidRDefault="007A774E" w:rsidP="00E2255B">
      <w:pPr>
        <w:pStyle w:val="SingleTxtG"/>
        <w:rPr>
          <w:lang w:val="fr-CH"/>
        </w:rPr>
      </w:pPr>
      <w:r w:rsidRPr="00731644">
        <w:rPr>
          <w:lang w:val="fr-CH"/>
        </w:rPr>
        <w:t>20.</w:t>
      </w:r>
      <w:r w:rsidRPr="00731644">
        <w:rPr>
          <w:lang w:val="fr-CH"/>
        </w:rPr>
        <w:tab/>
      </w:r>
      <w:r w:rsidR="00CC35AA" w:rsidRPr="00731644">
        <w:rPr>
          <w:lang w:val="fr-CH"/>
        </w:rPr>
        <w:t>L</w:t>
      </w:r>
      <w:r w:rsidR="00425386" w:rsidRPr="00731644">
        <w:rPr>
          <w:lang w:val="fr-CH"/>
        </w:rPr>
        <w:t>’</w:t>
      </w:r>
      <w:r w:rsidR="001B526F" w:rsidRPr="00731644">
        <w:rPr>
          <w:lang w:val="fr-CH"/>
        </w:rPr>
        <w:t xml:space="preserve">examen </w:t>
      </w:r>
      <w:r w:rsidR="00CC35AA" w:rsidRPr="00731644">
        <w:rPr>
          <w:lang w:val="fr-CH"/>
        </w:rPr>
        <w:t>continu</w:t>
      </w:r>
      <w:r w:rsidR="001B526F" w:rsidRPr="00731644">
        <w:rPr>
          <w:lang w:val="fr-CH"/>
        </w:rPr>
        <w:t xml:space="preserve"> de la nécessité de </w:t>
      </w:r>
      <w:r w:rsidR="00CC35AA" w:rsidRPr="00731644">
        <w:rPr>
          <w:lang w:val="fr-CH"/>
        </w:rPr>
        <w:t>proroge</w:t>
      </w:r>
      <w:r w:rsidR="001B526F" w:rsidRPr="00731644">
        <w:rPr>
          <w:lang w:val="fr-CH"/>
        </w:rPr>
        <w:t xml:space="preserve">r la protection des </w:t>
      </w:r>
      <w:r w:rsidR="00A66512" w:rsidRPr="00731644">
        <w:rPr>
          <w:lang w:val="fr-CH"/>
        </w:rPr>
        <w:t>bénéficiaires</w:t>
      </w:r>
      <w:r w:rsidR="00CC35AA" w:rsidRPr="00731644">
        <w:rPr>
          <w:lang w:val="fr-CH"/>
        </w:rPr>
        <w:t xml:space="preserve"> de celle-ci</w:t>
      </w:r>
      <w:r w:rsidR="001B526F" w:rsidRPr="00731644">
        <w:rPr>
          <w:lang w:val="fr-CH"/>
        </w:rPr>
        <w:t xml:space="preserve"> </w:t>
      </w:r>
      <w:r w:rsidR="00CC35AA" w:rsidRPr="00731644">
        <w:rPr>
          <w:lang w:val="fr-CH"/>
        </w:rPr>
        <w:t>a révélé</w:t>
      </w:r>
      <w:r w:rsidR="001B526F" w:rsidRPr="00731644">
        <w:rPr>
          <w:lang w:val="fr-CH"/>
        </w:rPr>
        <w:t xml:space="preserve"> que, dans le cas d</w:t>
      </w:r>
      <w:r w:rsidR="00425386" w:rsidRPr="00731644">
        <w:rPr>
          <w:lang w:val="fr-CH"/>
        </w:rPr>
        <w:t>’</w:t>
      </w:r>
      <w:r w:rsidR="001B526F" w:rsidRPr="00731644">
        <w:rPr>
          <w:lang w:val="fr-CH"/>
        </w:rPr>
        <w:t>une personne, les conditions à l</w:t>
      </w:r>
      <w:r w:rsidR="00425386" w:rsidRPr="00731644">
        <w:rPr>
          <w:lang w:val="fr-CH"/>
        </w:rPr>
        <w:t>’</w:t>
      </w:r>
      <w:r w:rsidR="001B526F" w:rsidRPr="00731644">
        <w:rPr>
          <w:lang w:val="fr-CH"/>
        </w:rPr>
        <w:t>origine de l</w:t>
      </w:r>
      <w:r w:rsidR="00425386" w:rsidRPr="00731644">
        <w:rPr>
          <w:lang w:val="fr-CH"/>
        </w:rPr>
        <w:t>’</w:t>
      </w:r>
      <w:r w:rsidR="001B526F" w:rsidRPr="00731644">
        <w:rPr>
          <w:lang w:val="fr-CH"/>
        </w:rPr>
        <w:t>octroi de cette protection n</w:t>
      </w:r>
      <w:r w:rsidR="00425386" w:rsidRPr="00731644">
        <w:rPr>
          <w:lang w:val="fr-CH"/>
        </w:rPr>
        <w:t>’</w:t>
      </w:r>
      <w:r w:rsidR="001B526F" w:rsidRPr="00731644">
        <w:rPr>
          <w:lang w:val="fr-CH"/>
        </w:rPr>
        <w:t>avaient pas changé</w:t>
      </w:r>
      <w:r w:rsidR="00F31DD5" w:rsidRPr="00731644">
        <w:rPr>
          <w:lang w:val="fr-CH"/>
        </w:rPr>
        <w:t>;</w:t>
      </w:r>
      <w:r w:rsidR="001B526F" w:rsidRPr="00731644">
        <w:rPr>
          <w:lang w:val="fr-CH"/>
        </w:rPr>
        <w:t xml:space="preserve"> </w:t>
      </w:r>
      <w:r w:rsidR="00CC35AA" w:rsidRPr="00731644">
        <w:rPr>
          <w:lang w:val="fr-CH"/>
        </w:rPr>
        <w:t xml:space="preserve">elle </w:t>
      </w:r>
      <w:r w:rsidR="001B526F" w:rsidRPr="00731644">
        <w:rPr>
          <w:lang w:val="fr-CH"/>
        </w:rPr>
        <w:t>a donc continué à en bénéficier</w:t>
      </w:r>
      <w:r w:rsidR="00E707D7" w:rsidRPr="00731644">
        <w:rPr>
          <w:lang w:val="fr-CH"/>
        </w:rPr>
        <w:t xml:space="preserve">. </w:t>
      </w:r>
      <w:r w:rsidR="001B526F" w:rsidRPr="00731644">
        <w:rPr>
          <w:lang w:val="fr-CH"/>
        </w:rPr>
        <w:t xml:space="preserve">Pour protéger les droits et les intérêts </w:t>
      </w:r>
      <w:r w:rsidR="00B569C5" w:rsidRPr="00731644">
        <w:rPr>
          <w:lang w:val="fr-CH"/>
        </w:rPr>
        <w:t>des personnes</w:t>
      </w:r>
      <w:r w:rsidR="001B526F" w:rsidRPr="00731644">
        <w:rPr>
          <w:lang w:val="fr-CH"/>
        </w:rPr>
        <w:t xml:space="preserve"> déplacées, le personnel de l</w:t>
      </w:r>
      <w:r w:rsidR="00425386" w:rsidRPr="00731644">
        <w:rPr>
          <w:lang w:val="fr-CH"/>
        </w:rPr>
        <w:t>’</w:t>
      </w:r>
      <w:r w:rsidR="00E707D7" w:rsidRPr="00731644">
        <w:rPr>
          <w:lang w:val="fr-CH"/>
        </w:rPr>
        <w:t xml:space="preserve">Office </w:t>
      </w:r>
      <w:r w:rsidR="00A66512" w:rsidRPr="00731644">
        <w:rPr>
          <w:lang w:val="fr-CH"/>
        </w:rPr>
        <w:t>national</w:t>
      </w:r>
      <w:r w:rsidR="00E2255B" w:rsidRPr="00731644">
        <w:rPr>
          <w:lang w:val="fr-CH"/>
        </w:rPr>
        <w:t xml:space="preserve"> de l</w:t>
      </w:r>
      <w:r w:rsidR="00425386" w:rsidRPr="00731644">
        <w:rPr>
          <w:lang w:val="fr-CH"/>
        </w:rPr>
        <w:t>’</w:t>
      </w:r>
      <w:r w:rsidR="00E2255B" w:rsidRPr="00731644">
        <w:rPr>
          <w:lang w:val="fr-CH"/>
        </w:rPr>
        <w:t xml:space="preserve">asile </w:t>
      </w:r>
      <w:r w:rsidR="001B526F" w:rsidRPr="00731644">
        <w:rPr>
          <w:lang w:val="fr-CH"/>
        </w:rPr>
        <w:t xml:space="preserve">examine la situation de </w:t>
      </w:r>
      <w:r w:rsidR="00B569C5" w:rsidRPr="00731644">
        <w:rPr>
          <w:lang w:val="fr-CH"/>
        </w:rPr>
        <w:t>ces personnes</w:t>
      </w:r>
      <w:r w:rsidR="001B526F" w:rsidRPr="00731644">
        <w:rPr>
          <w:lang w:val="fr-CH"/>
        </w:rPr>
        <w:t xml:space="preserve"> et les méthodes de prise des décisions les concernant. C</w:t>
      </w:r>
      <w:r w:rsidR="00425386" w:rsidRPr="00731644">
        <w:rPr>
          <w:lang w:val="fr-CH"/>
        </w:rPr>
        <w:t>’</w:t>
      </w:r>
      <w:r w:rsidR="001B526F" w:rsidRPr="00731644">
        <w:rPr>
          <w:lang w:val="fr-CH"/>
        </w:rPr>
        <w:t>est ainsi qu</w:t>
      </w:r>
      <w:r w:rsidR="00425386" w:rsidRPr="00731644">
        <w:rPr>
          <w:lang w:val="fr-CH"/>
        </w:rPr>
        <w:t>’</w:t>
      </w:r>
      <w:r w:rsidR="001B526F" w:rsidRPr="00731644">
        <w:rPr>
          <w:lang w:val="fr-CH"/>
        </w:rPr>
        <w:t>au cours de la période étudiée</w:t>
      </w:r>
      <w:r w:rsidR="00E2255B" w:rsidRPr="00731644">
        <w:rPr>
          <w:lang w:val="fr-CH"/>
        </w:rPr>
        <w:t xml:space="preserve"> ici</w:t>
      </w:r>
      <w:r w:rsidR="001B526F" w:rsidRPr="00731644">
        <w:rPr>
          <w:lang w:val="fr-CH"/>
        </w:rPr>
        <w:t>, il a été mis fin à la situation de 245</w:t>
      </w:r>
      <w:r w:rsidR="00CB7658" w:rsidRPr="00731644">
        <w:rPr>
          <w:lang w:val="fr-CH"/>
        </w:rPr>
        <w:t> personnes</w:t>
      </w:r>
      <w:r w:rsidR="001B526F" w:rsidRPr="00731644">
        <w:rPr>
          <w:lang w:val="fr-CH"/>
        </w:rPr>
        <w:t xml:space="preserve"> déplacées</w:t>
      </w:r>
      <w:r w:rsidR="00F31DD5" w:rsidRPr="00731644">
        <w:rPr>
          <w:lang w:val="fr-CH"/>
        </w:rPr>
        <w:t>:</w:t>
      </w:r>
      <w:r w:rsidR="001B526F" w:rsidRPr="00731644">
        <w:rPr>
          <w:lang w:val="fr-CH"/>
        </w:rPr>
        <w:t xml:space="preserve"> dans 224 cas, la décision était liée à la réglement</w:t>
      </w:r>
      <w:r w:rsidR="004448A2" w:rsidRPr="00731644">
        <w:rPr>
          <w:lang w:val="fr-CH"/>
        </w:rPr>
        <w:t>a</w:t>
      </w:r>
      <w:r w:rsidR="001B526F" w:rsidRPr="00731644">
        <w:rPr>
          <w:lang w:val="fr-CH"/>
        </w:rPr>
        <w:t xml:space="preserve">tion relative à la </w:t>
      </w:r>
      <w:r w:rsidR="00E2255B" w:rsidRPr="00731644">
        <w:rPr>
          <w:lang w:val="fr-CH"/>
        </w:rPr>
        <w:t>citoyenne</w:t>
      </w:r>
      <w:r w:rsidR="001B526F" w:rsidRPr="00731644">
        <w:rPr>
          <w:lang w:val="fr-CH"/>
        </w:rPr>
        <w:t xml:space="preserve">té monténégrine, dans 6 cas, </w:t>
      </w:r>
      <w:r w:rsidR="00CB7658" w:rsidRPr="00731644">
        <w:rPr>
          <w:lang w:val="fr-CH"/>
        </w:rPr>
        <w:t>les personnes</w:t>
      </w:r>
      <w:r w:rsidR="00E2255B" w:rsidRPr="00731644">
        <w:rPr>
          <w:lang w:val="fr-CH"/>
        </w:rPr>
        <w:t xml:space="preserve"> avaient choisi de migrer </w:t>
      </w:r>
      <w:r w:rsidR="001B526F" w:rsidRPr="00731644">
        <w:rPr>
          <w:lang w:val="fr-CH"/>
        </w:rPr>
        <w:t xml:space="preserve">vers des pays tiers, </w:t>
      </w:r>
      <w:r w:rsidR="004448A2" w:rsidRPr="00731644">
        <w:rPr>
          <w:lang w:val="fr-CH"/>
        </w:rPr>
        <w:t xml:space="preserve">et dans 15 autres cas, </w:t>
      </w:r>
      <w:r w:rsidR="00A66512" w:rsidRPr="00731644">
        <w:rPr>
          <w:lang w:val="fr-CH"/>
        </w:rPr>
        <w:t>elles avaient</w:t>
      </w:r>
      <w:r w:rsidR="00E2255B" w:rsidRPr="00731644">
        <w:rPr>
          <w:lang w:val="fr-CH"/>
        </w:rPr>
        <w:t xml:space="preserve"> décidé de retourner dans leur</w:t>
      </w:r>
      <w:r w:rsidR="004448A2" w:rsidRPr="00731644">
        <w:rPr>
          <w:lang w:val="fr-CH"/>
        </w:rPr>
        <w:t xml:space="preserve"> pays </w:t>
      </w:r>
      <w:r w:rsidR="00A66512" w:rsidRPr="00731644">
        <w:rPr>
          <w:lang w:val="fr-CH"/>
        </w:rPr>
        <w:t>d</w:t>
      </w:r>
      <w:r w:rsidR="00425386" w:rsidRPr="00731644">
        <w:rPr>
          <w:lang w:val="fr-CH"/>
        </w:rPr>
        <w:t>’</w:t>
      </w:r>
      <w:r w:rsidR="00A66512" w:rsidRPr="00731644">
        <w:rPr>
          <w:lang w:val="fr-CH"/>
        </w:rPr>
        <w:t xml:space="preserve">origine. </w:t>
      </w:r>
    </w:p>
    <w:p w:rsidR="007D76A5" w:rsidRPr="00731644" w:rsidRDefault="007A774E" w:rsidP="00E707D7">
      <w:pPr>
        <w:pStyle w:val="SingleTxtG"/>
        <w:rPr>
          <w:lang w:val="fr-CH"/>
        </w:rPr>
      </w:pPr>
      <w:r w:rsidRPr="00731644">
        <w:rPr>
          <w:lang w:val="fr-CH"/>
        </w:rPr>
        <w:t>21.</w:t>
      </w:r>
      <w:r w:rsidRPr="00731644">
        <w:rPr>
          <w:lang w:val="fr-CH"/>
        </w:rPr>
        <w:tab/>
      </w:r>
      <w:r w:rsidR="004448A2" w:rsidRPr="00731644">
        <w:rPr>
          <w:lang w:val="fr-CH"/>
        </w:rPr>
        <w:t xml:space="preserve">Pendant cette </w:t>
      </w:r>
      <w:r w:rsidR="00E2255B" w:rsidRPr="00731644">
        <w:rPr>
          <w:lang w:val="fr-CH"/>
        </w:rPr>
        <w:t xml:space="preserve">même </w:t>
      </w:r>
      <w:r w:rsidR="004448A2" w:rsidRPr="00731644">
        <w:rPr>
          <w:lang w:val="fr-CH"/>
        </w:rPr>
        <w:t>période, l</w:t>
      </w:r>
      <w:r w:rsidR="00425386" w:rsidRPr="00731644">
        <w:rPr>
          <w:lang w:val="fr-CH"/>
        </w:rPr>
        <w:t>’</w:t>
      </w:r>
      <w:r w:rsidR="004448A2" w:rsidRPr="00731644">
        <w:rPr>
          <w:lang w:val="fr-CH"/>
        </w:rPr>
        <w:t xml:space="preserve">Office </w:t>
      </w:r>
      <w:r w:rsidR="00E2255B" w:rsidRPr="00731644">
        <w:rPr>
          <w:lang w:val="fr-CH"/>
        </w:rPr>
        <w:t xml:space="preserve">national </w:t>
      </w:r>
      <w:r w:rsidR="004448A2" w:rsidRPr="00731644">
        <w:rPr>
          <w:lang w:val="fr-CH"/>
        </w:rPr>
        <w:t>de l</w:t>
      </w:r>
      <w:r w:rsidR="00425386" w:rsidRPr="00731644">
        <w:rPr>
          <w:lang w:val="fr-CH"/>
        </w:rPr>
        <w:t>’</w:t>
      </w:r>
      <w:r w:rsidR="004448A2" w:rsidRPr="00731644">
        <w:rPr>
          <w:lang w:val="fr-CH"/>
        </w:rPr>
        <w:t>asile, à l</w:t>
      </w:r>
      <w:r w:rsidR="00425386" w:rsidRPr="00731644">
        <w:rPr>
          <w:lang w:val="fr-CH"/>
        </w:rPr>
        <w:t>’</w:t>
      </w:r>
      <w:r w:rsidR="004448A2" w:rsidRPr="00731644">
        <w:rPr>
          <w:lang w:val="fr-CH"/>
        </w:rPr>
        <w:t xml:space="preserve">issue des </w:t>
      </w:r>
      <w:r w:rsidR="007D76A5" w:rsidRPr="00731644">
        <w:rPr>
          <w:lang w:val="fr-CH"/>
        </w:rPr>
        <w:t>instructions</w:t>
      </w:r>
      <w:r w:rsidR="004448A2" w:rsidRPr="00731644">
        <w:rPr>
          <w:lang w:val="fr-CH"/>
        </w:rPr>
        <w:t xml:space="preserve"> </w:t>
      </w:r>
      <w:r w:rsidR="00E2255B" w:rsidRPr="00731644">
        <w:rPr>
          <w:lang w:val="fr-CH"/>
        </w:rPr>
        <w:t>men</w:t>
      </w:r>
      <w:r w:rsidR="004448A2" w:rsidRPr="00731644">
        <w:rPr>
          <w:lang w:val="fr-CH"/>
        </w:rPr>
        <w:t>ées (</w:t>
      </w:r>
      <w:r w:rsidR="007D76A5" w:rsidRPr="00731644">
        <w:rPr>
          <w:lang w:val="fr-CH"/>
        </w:rPr>
        <w:t>en procédant à</w:t>
      </w:r>
      <w:r w:rsidR="004448A2" w:rsidRPr="00731644">
        <w:rPr>
          <w:lang w:val="fr-CH"/>
        </w:rPr>
        <w:t xml:space="preserve"> l</w:t>
      </w:r>
      <w:r w:rsidR="00425386" w:rsidRPr="00731644">
        <w:rPr>
          <w:lang w:val="fr-CH"/>
        </w:rPr>
        <w:t>’</w:t>
      </w:r>
      <w:r w:rsidR="004448A2" w:rsidRPr="00731644">
        <w:rPr>
          <w:lang w:val="fr-CH"/>
        </w:rPr>
        <w:t xml:space="preserve">examen des affaires et des </w:t>
      </w:r>
      <w:r w:rsidR="007D76A5" w:rsidRPr="00731644">
        <w:rPr>
          <w:lang w:val="fr-CH"/>
        </w:rPr>
        <w:t>document</w:t>
      </w:r>
      <w:r w:rsidR="004448A2" w:rsidRPr="00731644">
        <w:rPr>
          <w:lang w:val="fr-CH"/>
        </w:rPr>
        <w:t xml:space="preserve">s, </w:t>
      </w:r>
      <w:r w:rsidR="007D76A5" w:rsidRPr="00731644">
        <w:rPr>
          <w:lang w:val="fr-CH"/>
        </w:rPr>
        <w:t xml:space="preserve">à </w:t>
      </w:r>
      <w:r w:rsidR="004448A2" w:rsidRPr="00731644">
        <w:rPr>
          <w:lang w:val="fr-CH"/>
        </w:rPr>
        <w:t>l</w:t>
      </w:r>
      <w:r w:rsidR="00425386" w:rsidRPr="00731644">
        <w:rPr>
          <w:lang w:val="fr-CH"/>
        </w:rPr>
        <w:t>’</w:t>
      </w:r>
      <w:r w:rsidR="004448A2" w:rsidRPr="00731644">
        <w:rPr>
          <w:lang w:val="fr-CH"/>
        </w:rPr>
        <w:t xml:space="preserve">audition des parties et </w:t>
      </w:r>
      <w:r w:rsidR="007D76A5" w:rsidRPr="00731644">
        <w:rPr>
          <w:lang w:val="fr-CH"/>
        </w:rPr>
        <w:t xml:space="preserve">à </w:t>
      </w:r>
      <w:r w:rsidR="004448A2" w:rsidRPr="00731644">
        <w:rPr>
          <w:lang w:val="fr-CH"/>
        </w:rPr>
        <w:t>la collecte d</w:t>
      </w:r>
      <w:r w:rsidR="00425386" w:rsidRPr="00731644">
        <w:rPr>
          <w:lang w:val="fr-CH"/>
        </w:rPr>
        <w:t>’</w:t>
      </w:r>
      <w:r w:rsidR="007D76A5" w:rsidRPr="00731644">
        <w:rPr>
          <w:lang w:val="fr-CH"/>
        </w:rPr>
        <w:t>éléments de preuve</w:t>
      </w:r>
      <w:r w:rsidR="004448A2" w:rsidRPr="00731644">
        <w:rPr>
          <w:lang w:val="fr-CH"/>
        </w:rPr>
        <w:t xml:space="preserve">), a délivré </w:t>
      </w:r>
      <w:r w:rsidR="00E707D7" w:rsidRPr="00731644">
        <w:rPr>
          <w:lang w:val="fr-CH"/>
        </w:rPr>
        <w:t>1</w:t>
      </w:r>
      <w:r w:rsidR="00B569C5" w:rsidRPr="00731644">
        <w:rPr>
          <w:lang w:val="fr-CH"/>
        </w:rPr>
        <w:t> </w:t>
      </w:r>
      <w:r w:rsidR="00E707D7" w:rsidRPr="00731644">
        <w:rPr>
          <w:lang w:val="fr-CH"/>
        </w:rPr>
        <w:t xml:space="preserve">998 certificats </w:t>
      </w:r>
      <w:r w:rsidR="007D76A5" w:rsidRPr="00731644">
        <w:rPr>
          <w:lang w:val="fr-CH"/>
        </w:rPr>
        <w:t>de personne</w:t>
      </w:r>
      <w:r w:rsidR="004448A2" w:rsidRPr="00731644">
        <w:rPr>
          <w:lang w:val="fr-CH"/>
        </w:rPr>
        <w:t xml:space="preserve"> déplacée, </w:t>
      </w:r>
      <w:r w:rsidR="007D76A5" w:rsidRPr="00731644">
        <w:rPr>
          <w:lang w:val="fr-CH"/>
        </w:rPr>
        <w:t>dont</w:t>
      </w:r>
      <w:r w:rsidR="004448A2" w:rsidRPr="00731644">
        <w:rPr>
          <w:lang w:val="fr-CH"/>
        </w:rPr>
        <w:t xml:space="preserve"> </w:t>
      </w:r>
      <w:r w:rsidR="00E707D7" w:rsidRPr="00731644">
        <w:rPr>
          <w:lang w:val="fr-CH"/>
        </w:rPr>
        <w:t>1</w:t>
      </w:r>
      <w:r w:rsidR="00CB7658" w:rsidRPr="00731644">
        <w:rPr>
          <w:lang w:val="fr-CH"/>
        </w:rPr>
        <w:t> </w:t>
      </w:r>
      <w:r w:rsidR="00E707D7" w:rsidRPr="00731644">
        <w:rPr>
          <w:lang w:val="fr-CH"/>
        </w:rPr>
        <w:t xml:space="preserve">415 </w:t>
      </w:r>
      <w:r w:rsidR="004448A2" w:rsidRPr="00731644">
        <w:rPr>
          <w:lang w:val="fr-CH"/>
        </w:rPr>
        <w:t xml:space="preserve">ont servi à conférer à des étrangers la qualité de résidents permanents, </w:t>
      </w:r>
      <w:r w:rsidR="00E707D7" w:rsidRPr="00731644">
        <w:rPr>
          <w:lang w:val="fr-CH"/>
        </w:rPr>
        <w:t xml:space="preserve">195 </w:t>
      </w:r>
      <w:r w:rsidR="004448A2" w:rsidRPr="00731644">
        <w:rPr>
          <w:lang w:val="fr-CH"/>
        </w:rPr>
        <w:t xml:space="preserve">à attribuer la citoyenneté monténégrine et 388 à </w:t>
      </w:r>
      <w:r w:rsidR="007D76A5" w:rsidRPr="00731644">
        <w:rPr>
          <w:lang w:val="fr-CH"/>
        </w:rPr>
        <w:t xml:space="preserve">donner effet à </w:t>
      </w:r>
      <w:r w:rsidR="004448A2" w:rsidRPr="00731644">
        <w:rPr>
          <w:lang w:val="fr-CH"/>
        </w:rPr>
        <w:t>d</w:t>
      </w:r>
      <w:r w:rsidR="00425386" w:rsidRPr="00731644">
        <w:rPr>
          <w:lang w:val="fr-CH"/>
        </w:rPr>
        <w:t>’</w:t>
      </w:r>
      <w:r w:rsidR="004448A2" w:rsidRPr="00731644">
        <w:rPr>
          <w:lang w:val="fr-CH"/>
        </w:rPr>
        <w:t>autres droits</w:t>
      </w:r>
      <w:r w:rsidR="00E707D7" w:rsidRPr="00731644">
        <w:rPr>
          <w:lang w:val="fr-CH"/>
        </w:rPr>
        <w:t>.</w:t>
      </w:r>
      <w:r w:rsidR="00F31DD5" w:rsidRPr="00731644">
        <w:rPr>
          <w:lang w:val="fr-CH"/>
        </w:rPr>
        <w:t xml:space="preserve"> </w:t>
      </w:r>
    </w:p>
    <w:p w:rsidR="00E707D7" w:rsidRPr="00731644" w:rsidRDefault="007A774E" w:rsidP="00E707D7">
      <w:pPr>
        <w:pStyle w:val="SingleTxtG"/>
        <w:rPr>
          <w:lang w:val="fr-CH"/>
        </w:rPr>
      </w:pPr>
      <w:r w:rsidRPr="00731644">
        <w:rPr>
          <w:lang w:val="fr-CH"/>
        </w:rPr>
        <w:t>22.</w:t>
      </w:r>
      <w:r w:rsidRPr="00731644">
        <w:rPr>
          <w:lang w:val="fr-CH"/>
        </w:rPr>
        <w:tab/>
      </w:r>
      <w:r w:rsidR="004448A2" w:rsidRPr="00731644">
        <w:rPr>
          <w:lang w:val="fr-CH"/>
        </w:rPr>
        <w:t>À l</w:t>
      </w:r>
      <w:r w:rsidR="00425386" w:rsidRPr="00731644">
        <w:rPr>
          <w:lang w:val="fr-CH"/>
        </w:rPr>
        <w:t>’</w:t>
      </w:r>
      <w:r w:rsidR="004448A2" w:rsidRPr="00731644">
        <w:rPr>
          <w:lang w:val="fr-CH"/>
        </w:rPr>
        <w:t>avenir, l</w:t>
      </w:r>
      <w:r w:rsidR="00425386" w:rsidRPr="00731644">
        <w:rPr>
          <w:lang w:val="fr-CH"/>
        </w:rPr>
        <w:t>’</w:t>
      </w:r>
      <w:r w:rsidR="004448A2" w:rsidRPr="00731644">
        <w:rPr>
          <w:lang w:val="fr-CH"/>
        </w:rPr>
        <w:t xml:space="preserve">Institut </w:t>
      </w:r>
      <w:r w:rsidR="007D76A5" w:rsidRPr="00731644">
        <w:rPr>
          <w:lang w:val="fr-CH"/>
        </w:rPr>
        <w:t>d</w:t>
      </w:r>
      <w:r w:rsidR="00425386" w:rsidRPr="00731644">
        <w:rPr>
          <w:lang w:val="fr-CH"/>
        </w:rPr>
        <w:t>’</w:t>
      </w:r>
      <w:r w:rsidR="007D76A5" w:rsidRPr="00731644">
        <w:rPr>
          <w:lang w:val="fr-CH"/>
        </w:rPr>
        <w:t>aide aux</w:t>
      </w:r>
      <w:r w:rsidR="00617A47" w:rsidRPr="00731644">
        <w:rPr>
          <w:lang w:val="fr-CH"/>
        </w:rPr>
        <w:t xml:space="preserve"> réfugiés hébergera les demandeurs d</w:t>
      </w:r>
      <w:r w:rsidR="00425386" w:rsidRPr="00731644">
        <w:rPr>
          <w:lang w:val="fr-CH"/>
        </w:rPr>
        <w:t>’</w:t>
      </w:r>
      <w:r w:rsidR="00617A47" w:rsidRPr="00731644">
        <w:rPr>
          <w:lang w:val="fr-CH"/>
        </w:rPr>
        <w:t>asile dans le centre d</w:t>
      </w:r>
      <w:r w:rsidR="00425386" w:rsidRPr="00731644">
        <w:rPr>
          <w:lang w:val="fr-CH"/>
        </w:rPr>
        <w:t>’</w:t>
      </w:r>
      <w:r w:rsidR="00617A47" w:rsidRPr="00731644">
        <w:rPr>
          <w:lang w:val="fr-CH"/>
        </w:rPr>
        <w:t>accueil qui est en cours de construction.</w:t>
      </w:r>
      <w:r w:rsidR="00F31DD5" w:rsidRPr="00731644">
        <w:rPr>
          <w:lang w:val="fr-CH"/>
        </w:rPr>
        <w:t xml:space="preserve"> </w:t>
      </w:r>
      <w:r w:rsidR="00617A47" w:rsidRPr="00731644">
        <w:rPr>
          <w:lang w:val="fr-CH"/>
        </w:rPr>
        <w:t>Il s</w:t>
      </w:r>
      <w:r w:rsidR="00425386" w:rsidRPr="00731644">
        <w:rPr>
          <w:lang w:val="fr-CH"/>
        </w:rPr>
        <w:t>’</w:t>
      </w:r>
      <w:r w:rsidR="00617A47" w:rsidRPr="00731644">
        <w:rPr>
          <w:lang w:val="fr-CH"/>
        </w:rPr>
        <w:t>agit d</w:t>
      </w:r>
      <w:r w:rsidR="00425386" w:rsidRPr="00731644">
        <w:rPr>
          <w:lang w:val="fr-CH"/>
        </w:rPr>
        <w:t>’</w:t>
      </w:r>
      <w:r w:rsidR="00617A47" w:rsidRPr="00731644">
        <w:rPr>
          <w:lang w:val="fr-CH"/>
        </w:rPr>
        <w:t xml:space="preserve">un ensemble de trois bâtiments édifiés sur un terrain de </w:t>
      </w:r>
      <w:r w:rsidR="00E707D7" w:rsidRPr="00731644">
        <w:rPr>
          <w:lang w:val="fr-CH"/>
        </w:rPr>
        <w:t>3</w:t>
      </w:r>
      <w:r w:rsidR="00B569C5" w:rsidRPr="00731644">
        <w:rPr>
          <w:lang w:val="fr-CH"/>
        </w:rPr>
        <w:t> </w:t>
      </w:r>
      <w:r w:rsidR="00E707D7" w:rsidRPr="00731644">
        <w:rPr>
          <w:lang w:val="fr-CH"/>
        </w:rPr>
        <w:t>275</w:t>
      </w:r>
      <w:r w:rsidR="00B569C5" w:rsidRPr="00731644">
        <w:rPr>
          <w:lang w:val="fr-CH"/>
        </w:rPr>
        <w:t> </w:t>
      </w:r>
      <w:r w:rsidR="00E707D7" w:rsidRPr="00731644">
        <w:rPr>
          <w:lang w:val="fr-CH"/>
        </w:rPr>
        <w:t>m</w:t>
      </w:r>
      <w:r w:rsidR="00E707D7" w:rsidRPr="00731644">
        <w:rPr>
          <w:vertAlign w:val="superscript"/>
          <w:lang w:val="fr-CH"/>
        </w:rPr>
        <w:t>2</w:t>
      </w:r>
      <w:r w:rsidR="00E707D7" w:rsidRPr="00731644">
        <w:rPr>
          <w:lang w:val="fr-CH"/>
        </w:rPr>
        <w:t xml:space="preserve"> </w:t>
      </w:r>
      <w:r w:rsidR="00617A47" w:rsidRPr="00731644">
        <w:rPr>
          <w:lang w:val="fr-CH"/>
        </w:rPr>
        <w:t xml:space="preserve">où peuvent loger </w:t>
      </w:r>
      <w:r w:rsidR="00E707D7" w:rsidRPr="00731644">
        <w:rPr>
          <w:lang w:val="fr-CH"/>
        </w:rPr>
        <w:t>65</w:t>
      </w:r>
      <w:r w:rsidR="00CB7658" w:rsidRPr="00731644">
        <w:rPr>
          <w:lang w:val="fr-CH"/>
        </w:rPr>
        <w:t> personnes</w:t>
      </w:r>
      <w:r w:rsidR="00E707D7" w:rsidRPr="00731644">
        <w:rPr>
          <w:lang w:val="fr-CH"/>
        </w:rPr>
        <w:t xml:space="preserve">. </w:t>
      </w:r>
      <w:r w:rsidR="00617A47" w:rsidRPr="00731644">
        <w:rPr>
          <w:lang w:val="fr-CH"/>
        </w:rPr>
        <w:t>Le centre d</w:t>
      </w:r>
      <w:r w:rsidR="00425386" w:rsidRPr="00731644">
        <w:rPr>
          <w:lang w:val="fr-CH"/>
        </w:rPr>
        <w:t>’</w:t>
      </w:r>
      <w:r w:rsidR="00617A47" w:rsidRPr="00731644">
        <w:rPr>
          <w:lang w:val="fr-CH"/>
        </w:rPr>
        <w:t>accueil dev</w:t>
      </w:r>
      <w:r w:rsidR="00931C14" w:rsidRPr="00731644">
        <w:rPr>
          <w:lang w:val="fr-CH"/>
        </w:rPr>
        <w:t>r</w:t>
      </w:r>
      <w:r w:rsidR="00617A47" w:rsidRPr="00731644">
        <w:rPr>
          <w:lang w:val="fr-CH"/>
        </w:rPr>
        <w:t>ait ouvrir ses portes à la fin de l</w:t>
      </w:r>
      <w:r w:rsidR="00425386" w:rsidRPr="00731644">
        <w:rPr>
          <w:lang w:val="fr-CH"/>
        </w:rPr>
        <w:t>’</w:t>
      </w:r>
      <w:r w:rsidR="00617A47" w:rsidRPr="00731644">
        <w:rPr>
          <w:lang w:val="fr-CH"/>
        </w:rPr>
        <w:t xml:space="preserve">année </w:t>
      </w:r>
      <w:r w:rsidR="00E707D7" w:rsidRPr="00731644">
        <w:rPr>
          <w:lang w:val="fr-CH"/>
        </w:rPr>
        <w:t xml:space="preserve">2011. </w:t>
      </w:r>
      <w:r w:rsidR="00617A47" w:rsidRPr="00731644">
        <w:rPr>
          <w:lang w:val="fr-CH"/>
        </w:rPr>
        <w:t>Pour le moment, les demandeurs d</w:t>
      </w:r>
      <w:r w:rsidR="00425386" w:rsidRPr="00731644">
        <w:rPr>
          <w:lang w:val="fr-CH"/>
        </w:rPr>
        <w:t>’</w:t>
      </w:r>
      <w:r w:rsidR="00617A47" w:rsidRPr="00731644">
        <w:rPr>
          <w:lang w:val="fr-CH"/>
        </w:rPr>
        <w:t xml:space="preserve">asile sont placés dans des </w:t>
      </w:r>
      <w:r w:rsidR="00315D0D" w:rsidRPr="00731644">
        <w:rPr>
          <w:lang w:val="fr-CH"/>
        </w:rPr>
        <w:t>bâtiments</w:t>
      </w:r>
      <w:r w:rsidR="00617A47" w:rsidRPr="00731644">
        <w:rPr>
          <w:lang w:val="fr-CH"/>
        </w:rPr>
        <w:t xml:space="preserve"> loués par l</w:t>
      </w:r>
      <w:r w:rsidR="00425386" w:rsidRPr="00731644">
        <w:rPr>
          <w:lang w:val="fr-CH"/>
        </w:rPr>
        <w:t>’</w:t>
      </w:r>
      <w:r w:rsidR="00E707D7" w:rsidRPr="00731644">
        <w:rPr>
          <w:lang w:val="fr-CH"/>
        </w:rPr>
        <w:t>Institut.</w:t>
      </w:r>
    </w:p>
    <w:p w:rsidR="00E707D7" w:rsidRPr="00731644" w:rsidRDefault="007A774E" w:rsidP="007A429C">
      <w:pPr>
        <w:pStyle w:val="SingleTxtG"/>
        <w:rPr>
          <w:lang w:val="fr-CH"/>
        </w:rPr>
      </w:pPr>
      <w:r w:rsidRPr="00731644">
        <w:rPr>
          <w:lang w:val="fr-CH"/>
        </w:rPr>
        <w:t>23.</w:t>
      </w:r>
      <w:r w:rsidRPr="00731644">
        <w:rPr>
          <w:lang w:val="fr-CH"/>
        </w:rPr>
        <w:tab/>
      </w:r>
      <w:r w:rsidR="00617A47" w:rsidRPr="00731644">
        <w:rPr>
          <w:lang w:val="fr-CH"/>
        </w:rPr>
        <w:t>À noter enfin que l</w:t>
      </w:r>
      <w:r w:rsidR="00425386" w:rsidRPr="00731644">
        <w:rPr>
          <w:lang w:val="fr-CH"/>
        </w:rPr>
        <w:t>’</w:t>
      </w:r>
      <w:r w:rsidR="00617A47" w:rsidRPr="00731644">
        <w:rPr>
          <w:lang w:val="fr-CH"/>
        </w:rPr>
        <w:t xml:space="preserve">État du Monténégro a </w:t>
      </w:r>
      <w:r w:rsidR="006421FE" w:rsidRPr="00731644">
        <w:rPr>
          <w:lang w:val="fr-CH"/>
        </w:rPr>
        <w:t xml:space="preserve">manifesté </w:t>
      </w:r>
      <w:r w:rsidR="00315D0D" w:rsidRPr="00731644">
        <w:rPr>
          <w:lang w:val="fr-CH"/>
        </w:rPr>
        <w:t xml:space="preserve">sans équivoque </w:t>
      </w:r>
      <w:r w:rsidR="006421FE" w:rsidRPr="00731644">
        <w:rPr>
          <w:lang w:val="fr-CH"/>
        </w:rPr>
        <w:t xml:space="preserve">sa volonté </w:t>
      </w:r>
      <w:r w:rsidR="00315D0D" w:rsidRPr="00731644">
        <w:rPr>
          <w:lang w:val="fr-CH"/>
        </w:rPr>
        <w:t>d</w:t>
      </w:r>
      <w:r w:rsidR="00425386" w:rsidRPr="00731644">
        <w:rPr>
          <w:lang w:val="fr-CH"/>
        </w:rPr>
        <w:t>’</w:t>
      </w:r>
      <w:r w:rsidR="00315D0D" w:rsidRPr="00731644">
        <w:rPr>
          <w:lang w:val="fr-CH"/>
        </w:rPr>
        <w:t>apaiser</w:t>
      </w:r>
      <w:r w:rsidR="00617A47" w:rsidRPr="00731644">
        <w:rPr>
          <w:lang w:val="fr-CH"/>
        </w:rPr>
        <w:t xml:space="preserve"> les tensions dans la région aux moments les plus difficiles en faisant passer sa propre sécurité après les risques </w:t>
      </w:r>
      <w:r w:rsidR="00315D0D" w:rsidRPr="00731644">
        <w:rPr>
          <w:lang w:val="fr-CH"/>
        </w:rPr>
        <w:t>assoc</w:t>
      </w:r>
      <w:r w:rsidR="006421FE" w:rsidRPr="00731644">
        <w:rPr>
          <w:lang w:val="fr-CH"/>
        </w:rPr>
        <w:t>iés à l</w:t>
      </w:r>
      <w:r w:rsidR="00425386" w:rsidRPr="00731644">
        <w:rPr>
          <w:lang w:val="fr-CH"/>
        </w:rPr>
        <w:t>’</w:t>
      </w:r>
      <w:r w:rsidR="006421FE" w:rsidRPr="00731644">
        <w:rPr>
          <w:lang w:val="fr-CH"/>
        </w:rPr>
        <w:t>accueil et à l</w:t>
      </w:r>
      <w:r w:rsidR="00425386" w:rsidRPr="00731644">
        <w:rPr>
          <w:lang w:val="fr-CH"/>
        </w:rPr>
        <w:t>’</w:t>
      </w:r>
      <w:r w:rsidR="006421FE" w:rsidRPr="00731644">
        <w:rPr>
          <w:lang w:val="fr-CH"/>
        </w:rPr>
        <w:t>hébergement de réfu</w:t>
      </w:r>
      <w:r w:rsidR="00315D0D" w:rsidRPr="00731644">
        <w:rPr>
          <w:lang w:val="fr-CH"/>
        </w:rPr>
        <w:t>gié</w:t>
      </w:r>
      <w:r w:rsidR="006421FE" w:rsidRPr="00731644">
        <w:rPr>
          <w:lang w:val="fr-CH"/>
        </w:rPr>
        <w:t>s</w:t>
      </w:r>
      <w:r w:rsidR="00E707D7" w:rsidRPr="00731644">
        <w:rPr>
          <w:lang w:val="fr-CH"/>
        </w:rPr>
        <w:t xml:space="preserve">, </w:t>
      </w:r>
      <w:r w:rsidR="006421FE" w:rsidRPr="00731644">
        <w:rPr>
          <w:lang w:val="fr-CH"/>
        </w:rPr>
        <w:t xml:space="preserve">en </w:t>
      </w:r>
      <w:r w:rsidR="00E707D7" w:rsidRPr="00731644">
        <w:rPr>
          <w:lang w:val="fr-CH"/>
        </w:rPr>
        <w:t>insist</w:t>
      </w:r>
      <w:r w:rsidR="006421FE" w:rsidRPr="00731644">
        <w:rPr>
          <w:lang w:val="fr-CH"/>
        </w:rPr>
        <w:t>ant sur la ré</w:t>
      </w:r>
      <w:r w:rsidR="00E707D7" w:rsidRPr="00731644">
        <w:rPr>
          <w:lang w:val="fr-CH"/>
        </w:rPr>
        <w:t xml:space="preserve">conciliation </w:t>
      </w:r>
      <w:r w:rsidR="006421FE" w:rsidRPr="00731644">
        <w:rPr>
          <w:lang w:val="fr-CH"/>
        </w:rPr>
        <w:t>dans la ré</w:t>
      </w:r>
      <w:r w:rsidR="00E707D7" w:rsidRPr="00731644">
        <w:rPr>
          <w:lang w:val="fr-CH"/>
        </w:rPr>
        <w:t xml:space="preserve">gion, </w:t>
      </w:r>
      <w:r w:rsidR="006421FE" w:rsidRPr="00731644">
        <w:rPr>
          <w:lang w:val="fr-CH"/>
        </w:rPr>
        <w:t xml:space="preserve">en </w:t>
      </w:r>
      <w:r w:rsidR="00E707D7" w:rsidRPr="00731644">
        <w:rPr>
          <w:lang w:val="fr-CH"/>
        </w:rPr>
        <w:t>maint</w:t>
      </w:r>
      <w:r w:rsidR="006421FE" w:rsidRPr="00731644">
        <w:rPr>
          <w:lang w:val="fr-CH"/>
        </w:rPr>
        <w:t>enant l</w:t>
      </w:r>
      <w:r w:rsidR="00425386" w:rsidRPr="00731644">
        <w:rPr>
          <w:lang w:val="fr-CH"/>
        </w:rPr>
        <w:t>’</w:t>
      </w:r>
      <w:r w:rsidR="006421FE" w:rsidRPr="00731644">
        <w:rPr>
          <w:lang w:val="fr-CH"/>
        </w:rPr>
        <w:t xml:space="preserve">harmonie et la stabilité </w:t>
      </w:r>
      <w:r w:rsidR="00315D0D" w:rsidRPr="00731644">
        <w:rPr>
          <w:lang w:val="fr-CH"/>
        </w:rPr>
        <w:t>de</w:t>
      </w:r>
      <w:r w:rsidR="006421FE" w:rsidRPr="00731644">
        <w:rPr>
          <w:lang w:val="fr-CH"/>
        </w:rPr>
        <w:t xml:space="preserve"> la société </w:t>
      </w:r>
      <w:r w:rsidR="00A66512" w:rsidRPr="00731644">
        <w:rPr>
          <w:lang w:val="fr-CH"/>
        </w:rPr>
        <w:t>multiethnique</w:t>
      </w:r>
      <w:r w:rsidR="006421FE" w:rsidRPr="00731644">
        <w:rPr>
          <w:lang w:val="fr-CH"/>
        </w:rPr>
        <w:t xml:space="preserve"> qui est la sienne, dans une situation de post-conflit et de conflit en Europe du </w:t>
      </w:r>
      <w:r w:rsidR="00315D0D" w:rsidRPr="00731644">
        <w:rPr>
          <w:lang w:val="fr-CH"/>
        </w:rPr>
        <w:t>S</w:t>
      </w:r>
      <w:r w:rsidR="006421FE" w:rsidRPr="00731644">
        <w:rPr>
          <w:lang w:val="fr-CH"/>
        </w:rPr>
        <w:t>ud-</w:t>
      </w:r>
      <w:r w:rsidR="00315D0D" w:rsidRPr="00731644">
        <w:rPr>
          <w:lang w:val="fr-CH"/>
        </w:rPr>
        <w:t>E</w:t>
      </w:r>
      <w:r w:rsidR="006421FE" w:rsidRPr="00731644">
        <w:rPr>
          <w:lang w:val="fr-CH"/>
        </w:rPr>
        <w:t xml:space="preserve">st et dans les </w:t>
      </w:r>
      <w:r w:rsidR="00E707D7" w:rsidRPr="00731644">
        <w:rPr>
          <w:lang w:val="fr-CH"/>
        </w:rPr>
        <w:t>Balkans</w:t>
      </w:r>
      <w:r w:rsidR="006421FE" w:rsidRPr="00731644">
        <w:rPr>
          <w:lang w:val="fr-CH"/>
        </w:rPr>
        <w:t xml:space="preserve"> occidentaux</w:t>
      </w:r>
      <w:r w:rsidR="00E707D7" w:rsidRPr="00731644">
        <w:rPr>
          <w:lang w:val="fr-CH"/>
        </w:rPr>
        <w:t xml:space="preserve">. </w:t>
      </w:r>
      <w:r w:rsidR="00315D0D" w:rsidRPr="00731644">
        <w:rPr>
          <w:lang w:val="fr-CH"/>
        </w:rPr>
        <w:t xml:space="preserve">Il </w:t>
      </w:r>
      <w:r w:rsidR="00CA251D" w:rsidRPr="00731644">
        <w:rPr>
          <w:lang w:val="fr-CH"/>
        </w:rPr>
        <w:t>a fait tout ce qui était en son pouvoir afin d</w:t>
      </w:r>
      <w:r w:rsidR="00425386" w:rsidRPr="00731644">
        <w:rPr>
          <w:lang w:val="fr-CH"/>
        </w:rPr>
        <w:t>’</w:t>
      </w:r>
      <w:r w:rsidR="006421FE" w:rsidRPr="00731644">
        <w:rPr>
          <w:lang w:val="fr-CH"/>
        </w:rPr>
        <w:t xml:space="preserve">éviter tous les conflits en </w:t>
      </w:r>
      <w:r w:rsidR="00D458A9" w:rsidRPr="00731644">
        <w:rPr>
          <w:lang w:val="fr-CH"/>
        </w:rPr>
        <w:t>suiv</w:t>
      </w:r>
      <w:r w:rsidR="006421FE" w:rsidRPr="00731644">
        <w:rPr>
          <w:lang w:val="fr-CH"/>
        </w:rPr>
        <w:t>ant une politique de tolérance, même lorsque ces conflits visaient à l</w:t>
      </w:r>
      <w:r w:rsidR="00425386" w:rsidRPr="00731644">
        <w:rPr>
          <w:lang w:val="fr-CH"/>
        </w:rPr>
        <w:t>’</w:t>
      </w:r>
      <w:r w:rsidR="006421FE" w:rsidRPr="00731644">
        <w:rPr>
          <w:lang w:val="fr-CH"/>
        </w:rPr>
        <w:t xml:space="preserve">évidence à sa déstabilisation interne. Malheureusement, la politique étrangère du Monténégro, comme parfois, celle de la communauté internationale tout entière, ne suffit </w:t>
      </w:r>
      <w:r w:rsidR="00201E5D" w:rsidRPr="00731644">
        <w:rPr>
          <w:lang w:val="fr-CH"/>
        </w:rPr>
        <w:t>à prévenir les événements qui se déroulent dans la région ni leur</w:t>
      </w:r>
      <w:r w:rsidR="00D458A9" w:rsidRPr="00731644">
        <w:rPr>
          <w:lang w:val="fr-CH"/>
        </w:rPr>
        <w:t>s prolongements dans</w:t>
      </w:r>
      <w:r w:rsidR="00201E5D" w:rsidRPr="00731644">
        <w:rPr>
          <w:lang w:val="fr-CH"/>
        </w:rPr>
        <w:t xml:space="preserve"> la réalité politique monténégrine.</w:t>
      </w:r>
      <w:r w:rsidR="00F31DD5" w:rsidRPr="00731644">
        <w:rPr>
          <w:lang w:val="fr-CH"/>
        </w:rPr>
        <w:t xml:space="preserve"> </w:t>
      </w:r>
      <w:r w:rsidR="00201E5D" w:rsidRPr="00731644">
        <w:rPr>
          <w:lang w:val="fr-CH"/>
        </w:rPr>
        <w:t>Le Monténégro n</w:t>
      </w:r>
      <w:r w:rsidR="00425386" w:rsidRPr="00731644">
        <w:rPr>
          <w:lang w:val="fr-CH"/>
        </w:rPr>
        <w:t>’</w:t>
      </w:r>
      <w:r w:rsidR="00201E5D" w:rsidRPr="00731644">
        <w:rPr>
          <w:lang w:val="fr-CH"/>
        </w:rPr>
        <w:t>a ni revendications territoriales</w:t>
      </w:r>
      <w:r w:rsidR="000335D2" w:rsidRPr="00731644">
        <w:rPr>
          <w:lang w:val="fr-CH"/>
        </w:rPr>
        <w:t xml:space="preserve"> ou</w:t>
      </w:r>
      <w:r w:rsidR="00201E5D" w:rsidRPr="00731644">
        <w:rPr>
          <w:lang w:val="fr-CH"/>
        </w:rPr>
        <w:t xml:space="preserve"> politiques ni questions </w:t>
      </w:r>
      <w:r w:rsidR="00D458A9" w:rsidRPr="00731644">
        <w:rPr>
          <w:lang w:val="fr-CH"/>
        </w:rPr>
        <w:t xml:space="preserve">à régler </w:t>
      </w:r>
      <w:r w:rsidR="00201E5D" w:rsidRPr="00731644">
        <w:rPr>
          <w:lang w:val="fr-CH"/>
        </w:rPr>
        <w:t>avec ses voisins</w:t>
      </w:r>
      <w:r w:rsidR="00D458A9" w:rsidRPr="00731644">
        <w:rPr>
          <w:lang w:val="fr-CH"/>
        </w:rPr>
        <w:t>, et ne peut donc pas être un facteur de déstabilisation</w:t>
      </w:r>
      <w:r w:rsidR="00E707D7" w:rsidRPr="00731644">
        <w:rPr>
          <w:lang w:val="fr-CH"/>
        </w:rPr>
        <w:t xml:space="preserve">. </w:t>
      </w:r>
      <w:r w:rsidR="00201E5D" w:rsidRPr="00731644">
        <w:rPr>
          <w:lang w:val="fr-CH"/>
        </w:rPr>
        <w:t>En revanche, des milieux</w:t>
      </w:r>
      <w:r w:rsidR="00F31DD5" w:rsidRPr="00731644">
        <w:rPr>
          <w:lang w:val="fr-CH"/>
        </w:rPr>
        <w:t xml:space="preserve"> – </w:t>
      </w:r>
      <w:r w:rsidR="00D458A9" w:rsidRPr="00731644">
        <w:rPr>
          <w:lang w:val="fr-CH"/>
        </w:rPr>
        <w:t>organisés ou non</w:t>
      </w:r>
      <w:r w:rsidR="00F31DD5" w:rsidRPr="00731644">
        <w:rPr>
          <w:lang w:val="fr-CH"/>
        </w:rPr>
        <w:t xml:space="preserve"> – </w:t>
      </w:r>
      <w:r w:rsidR="00201E5D" w:rsidRPr="00731644">
        <w:rPr>
          <w:lang w:val="fr-CH"/>
        </w:rPr>
        <w:t>tenten</w:t>
      </w:r>
      <w:r w:rsidR="00D458A9" w:rsidRPr="00731644">
        <w:rPr>
          <w:lang w:val="fr-CH"/>
        </w:rPr>
        <w:t>t</w:t>
      </w:r>
      <w:r w:rsidR="00201E5D" w:rsidRPr="00731644">
        <w:rPr>
          <w:lang w:val="fr-CH"/>
        </w:rPr>
        <w:t xml:space="preserve"> souvent de dénigrer et de nier les valeurs fondamentales de la société et de l</w:t>
      </w:r>
      <w:r w:rsidR="00425386" w:rsidRPr="00731644">
        <w:rPr>
          <w:lang w:val="fr-CH"/>
        </w:rPr>
        <w:t>’</w:t>
      </w:r>
      <w:r w:rsidR="00201E5D" w:rsidRPr="00731644">
        <w:rPr>
          <w:lang w:val="fr-CH"/>
        </w:rPr>
        <w:t>État du Monténégro. Ce</w:t>
      </w:r>
      <w:r w:rsidR="000335D2" w:rsidRPr="00731644">
        <w:rPr>
          <w:lang w:val="fr-CH"/>
        </w:rPr>
        <w:t>lui-ci n</w:t>
      </w:r>
      <w:r w:rsidR="00425386" w:rsidRPr="00731644">
        <w:rPr>
          <w:lang w:val="fr-CH"/>
        </w:rPr>
        <w:t>’</w:t>
      </w:r>
      <w:r w:rsidR="000335D2" w:rsidRPr="00731644">
        <w:rPr>
          <w:lang w:val="fr-CH"/>
        </w:rPr>
        <w:t xml:space="preserve">entend pas réagir autrement que par sa </w:t>
      </w:r>
      <w:r w:rsidR="00201E5D" w:rsidRPr="00731644">
        <w:rPr>
          <w:lang w:val="fr-CH"/>
        </w:rPr>
        <w:t>politique actuelle de tolérance, de règlement pacifique des conflits et de maintien de</w:t>
      </w:r>
      <w:r w:rsidR="00D458A9" w:rsidRPr="00731644">
        <w:rPr>
          <w:lang w:val="fr-CH"/>
        </w:rPr>
        <w:t>s</w:t>
      </w:r>
      <w:r w:rsidR="00201E5D" w:rsidRPr="00731644">
        <w:rPr>
          <w:lang w:val="fr-CH"/>
        </w:rPr>
        <w:t xml:space="preserve"> relations de bon voisinage, conformément à la recommandation contenue au</w:t>
      </w:r>
      <w:r w:rsidR="00F31DD5" w:rsidRPr="00731644">
        <w:rPr>
          <w:lang w:val="fr-CH"/>
        </w:rPr>
        <w:t xml:space="preserve"> </w:t>
      </w:r>
      <w:r w:rsidR="00CB7658" w:rsidRPr="00731644">
        <w:rPr>
          <w:lang w:val="fr-CH"/>
        </w:rPr>
        <w:t>paragraphe </w:t>
      </w:r>
      <w:r w:rsidR="00E707D7" w:rsidRPr="00731644">
        <w:rPr>
          <w:lang w:val="fr-CH"/>
        </w:rPr>
        <w:t xml:space="preserve">20 </w:t>
      </w:r>
      <w:r w:rsidR="00201E5D" w:rsidRPr="00731644">
        <w:rPr>
          <w:lang w:val="fr-CH"/>
        </w:rPr>
        <w:t>de</w:t>
      </w:r>
      <w:r w:rsidR="00A66512" w:rsidRPr="00731644">
        <w:rPr>
          <w:lang w:val="fr-CH"/>
        </w:rPr>
        <w:t>s</w:t>
      </w:r>
      <w:r w:rsidR="00201E5D" w:rsidRPr="00731644">
        <w:rPr>
          <w:lang w:val="fr-CH"/>
        </w:rPr>
        <w:t xml:space="preserve"> observations finales du Comité</w:t>
      </w:r>
      <w:r w:rsidR="00E63693" w:rsidRPr="00731644">
        <w:rPr>
          <w:lang w:val="fr-CH"/>
        </w:rPr>
        <w:t>.</w:t>
      </w:r>
    </w:p>
    <w:p w:rsidR="00E707D7" w:rsidRPr="00731644" w:rsidRDefault="008C6CBF" w:rsidP="00B55B12">
      <w:pPr>
        <w:pStyle w:val="H1G"/>
        <w:rPr>
          <w:lang w:val="fr-CH"/>
        </w:rPr>
      </w:pPr>
      <w:r w:rsidRPr="00731644">
        <w:rPr>
          <w:lang w:val="fr-CH"/>
        </w:rPr>
        <w:tab/>
      </w:r>
      <w:r w:rsidR="00774887" w:rsidRPr="00731644">
        <w:rPr>
          <w:lang w:val="fr-CH"/>
        </w:rPr>
        <w:t>C.</w:t>
      </w:r>
      <w:r w:rsidR="007A774E" w:rsidRPr="00731644">
        <w:rPr>
          <w:lang w:val="fr-CH"/>
        </w:rPr>
        <w:tab/>
      </w:r>
      <w:r w:rsidRPr="00731644">
        <w:rPr>
          <w:lang w:val="fr-CH"/>
        </w:rPr>
        <w:t>Égalité des sexes</w:t>
      </w:r>
    </w:p>
    <w:p w:rsidR="00E707D7" w:rsidRPr="00731644" w:rsidRDefault="007A774E" w:rsidP="00286F92">
      <w:pPr>
        <w:pStyle w:val="SingleTxtG"/>
        <w:rPr>
          <w:lang w:val="fr-CH"/>
        </w:rPr>
      </w:pPr>
      <w:r w:rsidRPr="00731644">
        <w:rPr>
          <w:lang w:val="fr-CH"/>
        </w:rPr>
        <w:t>24.</w:t>
      </w:r>
      <w:r w:rsidRPr="00731644">
        <w:rPr>
          <w:lang w:val="fr-CH"/>
        </w:rPr>
        <w:tab/>
      </w:r>
      <w:r w:rsidR="008C6CBF" w:rsidRPr="00731644">
        <w:rPr>
          <w:lang w:val="fr-CH"/>
        </w:rPr>
        <w:t>La</w:t>
      </w:r>
      <w:r w:rsidR="00E707D7" w:rsidRPr="00731644">
        <w:rPr>
          <w:lang w:val="fr-CH"/>
        </w:rPr>
        <w:t xml:space="preserve"> Constitution </w:t>
      </w:r>
      <w:r w:rsidR="008C6CBF" w:rsidRPr="00731644">
        <w:rPr>
          <w:lang w:val="fr-CH"/>
        </w:rPr>
        <w:t>dispose que l</w:t>
      </w:r>
      <w:r w:rsidR="00425386" w:rsidRPr="00731644">
        <w:rPr>
          <w:lang w:val="fr-CH"/>
        </w:rPr>
        <w:t>’</w:t>
      </w:r>
      <w:r w:rsidR="008C6CBF" w:rsidRPr="00731644">
        <w:rPr>
          <w:lang w:val="fr-CH"/>
        </w:rPr>
        <w:t>État garantit l</w:t>
      </w:r>
      <w:r w:rsidR="00425386" w:rsidRPr="00731644">
        <w:rPr>
          <w:lang w:val="fr-CH"/>
        </w:rPr>
        <w:t>’</w:t>
      </w:r>
      <w:r w:rsidR="008C6CBF" w:rsidRPr="00731644">
        <w:rPr>
          <w:lang w:val="fr-CH"/>
        </w:rPr>
        <w:t xml:space="preserve">égalité des hommes et des femmes et </w:t>
      </w:r>
      <w:r w:rsidR="00C74B0B" w:rsidRPr="00731644">
        <w:rPr>
          <w:lang w:val="fr-CH"/>
        </w:rPr>
        <w:t>applique</w:t>
      </w:r>
      <w:r w:rsidR="008C6CBF" w:rsidRPr="00731644">
        <w:rPr>
          <w:lang w:val="fr-CH"/>
        </w:rPr>
        <w:t xml:space="preserve"> une politique d</w:t>
      </w:r>
      <w:r w:rsidR="00425386" w:rsidRPr="00731644">
        <w:rPr>
          <w:lang w:val="fr-CH"/>
        </w:rPr>
        <w:t>’</w:t>
      </w:r>
      <w:r w:rsidR="008C6CBF" w:rsidRPr="00731644">
        <w:rPr>
          <w:lang w:val="fr-CH"/>
        </w:rPr>
        <w:t xml:space="preserve">égalité des chances </w:t>
      </w:r>
      <w:r w:rsidR="00E707D7" w:rsidRPr="00731644">
        <w:rPr>
          <w:lang w:val="fr-CH"/>
        </w:rPr>
        <w:t>(</w:t>
      </w:r>
      <w:r w:rsidR="00F31DD5" w:rsidRPr="00731644">
        <w:rPr>
          <w:lang w:val="fr-CH"/>
        </w:rPr>
        <w:t>art. </w:t>
      </w:r>
      <w:r w:rsidR="00E707D7" w:rsidRPr="00731644">
        <w:rPr>
          <w:lang w:val="fr-CH"/>
        </w:rPr>
        <w:t xml:space="preserve">18). </w:t>
      </w:r>
      <w:r w:rsidR="008C6CBF" w:rsidRPr="00731644">
        <w:rPr>
          <w:lang w:val="fr-CH"/>
        </w:rPr>
        <w:t>À ces dispositions est lié le principe constitutionnel de l</w:t>
      </w:r>
      <w:r w:rsidR="00425386" w:rsidRPr="00731644">
        <w:rPr>
          <w:lang w:val="fr-CH"/>
        </w:rPr>
        <w:t>’</w:t>
      </w:r>
      <w:r w:rsidR="008C6CBF" w:rsidRPr="00731644">
        <w:rPr>
          <w:lang w:val="fr-CH"/>
        </w:rPr>
        <w:t>interdiction de toute discrimination directe ou indirecte, pour quelque mo</w:t>
      </w:r>
      <w:r w:rsidR="00C74B0B" w:rsidRPr="00731644">
        <w:rPr>
          <w:lang w:val="fr-CH"/>
        </w:rPr>
        <w:t>t</w:t>
      </w:r>
      <w:r w:rsidR="008C6CBF" w:rsidRPr="00731644">
        <w:rPr>
          <w:lang w:val="fr-CH"/>
        </w:rPr>
        <w:t>if que ce soit</w:t>
      </w:r>
      <w:r w:rsidR="00E707D7" w:rsidRPr="00731644">
        <w:rPr>
          <w:lang w:val="fr-CH"/>
        </w:rPr>
        <w:t>.</w:t>
      </w:r>
    </w:p>
    <w:p w:rsidR="00E707D7" w:rsidRPr="00731644" w:rsidRDefault="007A774E" w:rsidP="00E707D7">
      <w:pPr>
        <w:pStyle w:val="SingleTxtG"/>
        <w:rPr>
          <w:lang w:val="fr-CH"/>
        </w:rPr>
      </w:pPr>
      <w:r w:rsidRPr="00731644">
        <w:rPr>
          <w:lang w:val="fr-CH"/>
        </w:rPr>
        <w:t>25.</w:t>
      </w:r>
      <w:r w:rsidRPr="00731644">
        <w:rPr>
          <w:lang w:val="fr-CH"/>
        </w:rPr>
        <w:tab/>
      </w:r>
      <w:r w:rsidR="008C6CBF" w:rsidRPr="00731644">
        <w:rPr>
          <w:lang w:val="fr-CH"/>
        </w:rPr>
        <w:t xml:space="preserve">La </w:t>
      </w:r>
      <w:r w:rsidR="008C6CBF" w:rsidRPr="005E7B4F">
        <w:rPr>
          <w:iCs/>
          <w:lang w:val="fr-CH"/>
        </w:rPr>
        <w:t>loi relative à l</w:t>
      </w:r>
      <w:r w:rsidR="00425386" w:rsidRPr="005E7B4F">
        <w:rPr>
          <w:iCs/>
          <w:lang w:val="fr-CH"/>
        </w:rPr>
        <w:t>’</w:t>
      </w:r>
      <w:r w:rsidR="008C6CBF" w:rsidRPr="005E7B4F">
        <w:rPr>
          <w:iCs/>
          <w:lang w:val="fr-CH"/>
        </w:rPr>
        <w:t xml:space="preserve">égalité des sexes a </w:t>
      </w:r>
      <w:r w:rsidR="008C6CBF" w:rsidRPr="00731644">
        <w:rPr>
          <w:lang w:val="fr-CH"/>
        </w:rPr>
        <w:t>été adoptée</w:t>
      </w:r>
      <w:r w:rsidR="00C74B0B" w:rsidRPr="00731644">
        <w:rPr>
          <w:lang w:val="fr-CH"/>
        </w:rPr>
        <w:t xml:space="preserve"> </w:t>
      </w:r>
      <w:r w:rsidR="008C6CBF" w:rsidRPr="00731644">
        <w:rPr>
          <w:lang w:val="fr-CH"/>
        </w:rPr>
        <w:t xml:space="preserve">le </w:t>
      </w:r>
      <w:r w:rsidR="00E707D7" w:rsidRPr="00731644">
        <w:rPr>
          <w:lang w:val="fr-CH"/>
        </w:rPr>
        <w:t xml:space="preserve">27 </w:t>
      </w:r>
      <w:r w:rsidR="008C6CBF" w:rsidRPr="00731644">
        <w:rPr>
          <w:lang w:val="fr-CH"/>
        </w:rPr>
        <w:t>juillet</w:t>
      </w:r>
      <w:r w:rsidR="00E707D7" w:rsidRPr="00731644">
        <w:rPr>
          <w:lang w:val="fr-CH"/>
        </w:rPr>
        <w:t xml:space="preserve"> 2007. </w:t>
      </w:r>
      <w:r w:rsidR="00581B97" w:rsidRPr="00731644">
        <w:rPr>
          <w:lang w:val="fr-CH"/>
        </w:rPr>
        <w:t>Il s</w:t>
      </w:r>
      <w:r w:rsidR="00425386" w:rsidRPr="00731644">
        <w:rPr>
          <w:lang w:val="fr-CH"/>
        </w:rPr>
        <w:t>’</w:t>
      </w:r>
      <w:r w:rsidR="00581B97" w:rsidRPr="00731644">
        <w:rPr>
          <w:lang w:val="fr-CH"/>
        </w:rPr>
        <w:t>agit du premier texte législatif de lutte contre la discrimination au Monténégro, ainsi que du plus important instrument d</w:t>
      </w:r>
      <w:r w:rsidR="00425386" w:rsidRPr="00731644">
        <w:rPr>
          <w:lang w:val="fr-CH"/>
        </w:rPr>
        <w:t>’</w:t>
      </w:r>
      <w:r w:rsidR="00581B97" w:rsidRPr="00731644">
        <w:rPr>
          <w:lang w:val="fr-CH"/>
        </w:rPr>
        <w:t>élimination de la discrimination fondée sur le sexe et d</w:t>
      </w:r>
      <w:r w:rsidR="00425386" w:rsidRPr="00731644">
        <w:rPr>
          <w:lang w:val="fr-CH"/>
        </w:rPr>
        <w:t>’</w:t>
      </w:r>
      <w:r w:rsidR="00581B97" w:rsidRPr="00731644">
        <w:rPr>
          <w:lang w:val="fr-CH"/>
        </w:rPr>
        <w:t>instauration de l</w:t>
      </w:r>
      <w:r w:rsidR="00425386" w:rsidRPr="00731644">
        <w:rPr>
          <w:lang w:val="fr-CH"/>
        </w:rPr>
        <w:t>’</w:t>
      </w:r>
      <w:r w:rsidR="00581B97" w:rsidRPr="00731644">
        <w:rPr>
          <w:lang w:val="fr-CH"/>
        </w:rPr>
        <w:t xml:space="preserve">égalité </w:t>
      </w:r>
      <w:r w:rsidR="00C74B0B" w:rsidRPr="00731644">
        <w:rPr>
          <w:lang w:val="fr-CH"/>
        </w:rPr>
        <w:t>entre</w:t>
      </w:r>
      <w:r w:rsidR="00581B97" w:rsidRPr="00731644">
        <w:rPr>
          <w:lang w:val="fr-CH"/>
        </w:rPr>
        <w:t xml:space="preserve"> </w:t>
      </w:r>
      <w:r w:rsidR="00C74B0B" w:rsidRPr="00731644">
        <w:rPr>
          <w:lang w:val="fr-CH"/>
        </w:rPr>
        <w:t>hommes et femmes</w:t>
      </w:r>
      <w:r w:rsidR="00581B97" w:rsidRPr="00731644">
        <w:rPr>
          <w:lang w:val="fr-CH"/>
        </w:rPr>
        <w:t>. Cette loi porte création de l</w:t>
      </w:r>
      <w:r w:rsidR="00425386" w:rsidRPr="00731644">
        <w:rPr>
          <w:lang w:val="fr-CH"/>
        </w:rPr>
        <w:t>’</w:t>
      </w:r>
      <w:r w:rsidR="00581B97" w:rsidRPr="00731644">
        <w:rPr>
          <w:lang w:val="fr-CH"/>
        </w:rPr>
        <w:t>administration responsable des activités relatives à l</w:t>
      </w:r>
      <w:r w:rsidR="00425386" w:rsidRPr="00731644">
        <w:rPr>
          <w:lang w:val="fr-CH"/>
        </w:rPr>
        <w:t>’</w:t>
      </w:r>
      <w:r w:rsidR="00581B97" w:rsidRPr="00731644">
        <w:rPr>
          <w:lang w:val="fr-CH"/>
        </w:rPr>
        <w:t>égalité des sexes, c</w:t>
      </w:r>
      <w:r w:rsidR="00425386" w:rsidRPr="00731644">
        <w:rPr>
          <w:lang w:val="fr-CH"/>
        </w:rPr>
        <w:t>’</w:t>
      </w:r>
      <w:r w:rsidR="00581B97" w:rsidRPr="00731644">
        <w:rPr>
          <w:lang w:val="fr-CH"/>
        </w:rPr>
        <w:t xml:space="preserve">est-à-dire du dispositif institutionnel le plus important </w:t>
      </w:r>
      <w:r w:rsidR="000335D2" w:rsidRPr="00731644">
        <w:rPr>
          <w:lang w:val="fr-CH"/>
        </w:rPr>
        <w:t>du</w:t>
      </w:r>
      <w:r w:rsidR="00581B97" w:rsidRPr="00731644">
        <w:rPr>
          <w:lang w:val="fr-CH"/>
        </w:rPr>
        <w:t xml:space="preserve"> pays</w:t>
      </w:r>
      <w:r w:rsidR="00A77461" w:rsidRPr="00731644">
        <w:rPr>
          <w:lang w:val="fr-CH"/>
        </w:rPr>
        <w:t xml:space="preserve"> dans ce domaine</w:t>
      </w:r>
      <w:r w:rsidR="00581B97" w:rsidRPr="00731644">
        <w:rPr>
          <w:lang w:val="fr-CH"/>
        </w:rPr>
        <w:t>, qui est le Ministère des droits de l</w:t>
      </w:r>
      <w:r w:rsidR="00425386" w:rsidRPr="00731644">
        <w:rPr>
          <w:lang w:val="fr-CH"/>
        </w:rPr>
        <w:t>’</w:t>
      </w:r>
      <w:r w:rsidR="00581B97" w:rsidRPr="00731644">
        <w:rPr>
          <w:lang w:val="fr-CH"/>
        </w:rPr>
        <w:t>homme et des minorités</w:t>
      </w:r>
      <w:r w:rsidR="00E707D7" w:rsidRPr="00731644">
        <w:rPr>
          <w:lang w:val="fr-CH"/>
        </w:rPr>
        <w:t xml:space="preserve">. </w:t>
      </w:r>
      <w:r w:rsidR="00581B97" w:rsidRPr="00731644">
        <w:rPr>
          <w:lang w:val="fr-CH"/>
        </w:rPr>
        <w:t xml:space="preserve">Elle </w:t>
      </w:r>
      <w:r w:rsidR="00154DB3" w:rsidRPr="00731644">
        <w:rPr>
          <w:lang w:val="fr-CH"/>
        </w:rPr>
        <w:t>instaure également</w:t>
      </w:r>
      <w:r w:rsidR="00581B97" w:rsidRPr="00731644">
        <w:rPr>
          <w:lang w:val="fr-CH"/>
        </w:rPr>
        <w:t xml:space="preserve"> des mécanismes efficaces pour </w:t>
      </w:r>
      <w:r w:rsidR="00154DB3" w:rsidRPr="00731644">
        <w:rPr>
          <w:lang w:val="fr-CH"/>
        </w:rPr>
        <w:t xml:space="preserve">la </w:t>
      </w:r>
      <w:r w:rsidR="00581B97" w:rsidRPr="00731644">
        <w:rPr>
          <w:lang w:val="fr-CH"/>
        </w:rPr>
        <w:t>réalis</w:t>
      </w:r>
      <w:r w:rsidR="00154DB3" w:rsidRPr="00731644">
        <w:rPr>
          <w:lang w:val="fr-CH"/>
        </w:rPr>
        <w:t>ation de</w:t>
      </w:r>
      <w:r w:rsidR="00581B97" w:rsidRPr="00731644">
        <w:rPr>
          <w:lang w:val="fr-CH"/>
        </w:rPr>
        <w:t xml:space="preserve"> l</w:t>
      </w:r>
      <w:r w:rsidR="00425386" w:rsidRPr="00731644">
        <w:rPr>
          <w:lang w:val="fr-CH"/>
        </w:rPr>
        <w:t>’</w:t>
      </w:r>
      <w:r w:rsidR="00581B97" w:rsidRPr="00731644">
        <w:rPr>
          <w:lang w:val="fr-CH"/>
        </w:rPr>
        <w:t xml:space="preserve">égalité des sexes. </w:t>
      </w:r>
      <w:r w:rsidR="00686E39" w:rsidRPr="00731644">
        <w:rPr>
          <w:lang w:val="fr-CH"/>
        </w:rPr>
        <w:t xml:space="preserve">Sa mise en œuvre incombe à toutes les autorités, </w:t>
      </w:r>
      <w:r w:rsidR="00154DB3" w:rsidRPr="00731644">
        <w:rPr>
          <w:lang w:val="fr-CH"/>
        </w:rPr>
        <w:t>nationa</w:t>
      </w:r>
      <w:r w:rsidR="00686E39" w:rsidRPr="00731644">
        <w:rPr>
          <w:lang w:val="fr-CH"/>
        </w:rPr>
        <w:t xml:space="preserve">les et locales, et à tous les acteurs investis de </w:t>
      </w:r>
      <w:r w:rsidR="00154DB3" w:rsidRPr="00731644">
        <w:rPr>
          <w:lang w:val="fr-CH"/>
        </w:rPr>
        <w:t>la puissance</w:t>
      </w:r>
      <w:r w:rsidR="00686E39" w:rsidRPr="00731644">
        <w:rPr>
          <w:lang w:val="fr-CH"/>
        </w:rPr>
        <w:t xml:space="preserve"> publi</w:t>
      </w:r>
      <w:r w:rsidR="00154DB3" w:rsidRPr="00731644">
        <w:rPr>
          <w:lang w:val="fr-CH"/>
        </w:rPr>
        <w:t>que</w:t>
      </w:r>
      <w:r w:rsidR="00686E39" w:rsidRPr="00731644">
        <w:rPr>
          <w:lang w:val="fr-CH"/>
        </w:rPr>
        <w:t xml:space="preserve">, et comporte </w:t>
      </w:r>
      <w:r w:rsidR="00A77461" w:rsidRPr="00731644">
        <w:rPr>
          <w:lang w:val="fr-CH"/>
        </w:rPr>
        <w:t>une action</w:t>
      </w:r>
      <w:r w:rsidR="00686E39" w:rsidRPr="00731644">
        <w:rPr>
          <w:lang w:val="fr-CH"/>
        </w:rPr>
        <w:t xml:space="preserve"> normati</w:t>
      </w:r>
      <w:r w:rsidR="00A77461" w:rsidRPr="00731644">
        <w:rPr>
          <w:lang w:val="fr-CH"/>
        </w:rPr>
        <w:t>ve</w:t>
      </w:r>
      <w:r w:rsidR="00686E39" w:rsidRPr="00731644">
        <w:rPr>
          <w:lang w:val="fr-CH"/>
        </w:rPr>
        <w:t xml:space="preserve">, </w:t>
      </w:r>
      <w:r w:rsidR="00154DB3" w:rsidRPr="00731644">
        <w:rPr>
          <w:lang w:val="fr-CH"/>
        </w:rPr>
        <w:t>un</w:t>
      </w:r>
      <w:r w:rsidR="00686E39" w:rsidRPr="00731644">
        <w:rPr>
          <w:lang w:val="fr-CH"/>
        </w:rPr>
        <w:t xml:space="preserve"> travail de planification ainsi que des mesures et des activités concrètes. </w:t>
      </w:r>
      <w:r w:rsidR="00154DB3" w:rsidRPr="00731644">
        <w:rPr>
          <w:lang w:val="fr-CH"/>
        </w:rPr>
        <w:t>Elle dispose que</w:t>
      </w:r>
      <w:r w:rsidR="00686E39" w:rsidRPr="00731644">
        <w:rPr>
          <w:lang w:val="fr-CH"/>
        </w:rPr>
        <w:t xml:space="preserve"> les organes de l</w:t>
      </w:r>
      <w:r w:rsidR="00425386" w:rsidRPr="00731644">
        <w:rPr>
          <w:lang w:val="fr-CH"/>
        </w:rPr>
        <w:t>’</w:t>
      </w:r>
      <w:r w:rsidR="00686E39" w:rsidRPr="00731644">
        <w:rPr>
          <w:lang w:val="fr-CH"/>
        </w:rPr>
        <w:t xml:space="preserve">administration centrale désignent des agents chargés de coordonner les activités </w:t>
      </w:r>
      <w:r w:rsidR="00154DB3" w:rsidRPr="00731644">
        <w:rPr>
          <w:lang w:val="fr-CH"/>
        </w:rPr>
        <w:t>en faveur de</w:t>
      </w:r>
      <w:r w:rsidR="00686E39" w:rsidRPr="00731644">
        <w:rPr>
          <w:lang w:val="fr-CH"/>
        </w:rPr>
        <w:t xml:space="preserve"> l</w:t>
      </w:r>
      <w:r w:rsidR="00425386" w:rsidRPr="00731644">
        <w:rPr>
          <w:lang w:val="fr-CH"/>
        </w:rPr>
        <w:t>’</w:t>
      </w:r>
      <w:r w:rsidR="00686E39" w:rsidRPr="00731644">
        <w:rPr>
          <w:lang w:val="fr-CH"/>
        </w:rPr>
        <w:t xml:space="preserve">égalité des sexes dans leur domaine de compétence et de participer à la mise en </w:t>
      </w:r>
      <w:r w:rsidR="00A66512" w:rsidRPr="00731644">
        <w:rPr>
          <w:lang w:val="fr-CH"/>
        </w:rPr>
        <w:t>œuvre</w:t>
      </w:r>
      <w:r w:rsidR="00686E39" w:rsidRPr="00731644">
        <w:rPr>
          <w:lang w:val="fr-CH"/>
        </w:rPr>
        <w:t xml:space="preserve"> du Plan d</w:t>
      </w:r>
      <w:r w:rsidR="00425386" w:rsidRPr="00731644">
        <w:rPr>
          <w:lang w:val="fr-CH"/>
        </w:rPr>
        <w:t>’</w:t>
      </w:r>
      <w:r w:rsidR="00686E39" w:rsidRPr="00731644">
        <w:rPr>
          <w:lang w:val="fr-CH"/>
        </w:rPr>
        <w:t>action pour la réalisation de l</w:t>
      </w:r>
      <w:r w:rsidR="00425386" w:rsidRPr="00731644">
        <w:rPr>
          <w:lang w:val="fr-CH"/>
        </w:rPr>
        <w:t>’</w:t>
      </w:r>
      <w:r w:rsidR="00686E39" w:rsidRPr="00731644">
        <w:rPr>
          <w:lang w:val="fr-CH"/>
        </w:rPr>
        <w:t>égalité des sexes.</w:t>
      </w:r>
    </w:p>
    <w:p w:rsidR="00E707D7" w:rsidRPr="00731644" w:rsidRDefault="007A774E" w:rsidP="00E707D7">
      <w:pPr>
        <w:pStyle w:val="SingleTxtG"/>
        <w:rPr>
          <w:lang w:val="fr-CH"/>
        </w:rPr>
      </w:pPr>
      <w:r w:rsidRPr="00731644">
        <w:rPr>
          <w:lang w:val="fr-CH"/>
        </w:rPr>
        <w:t>26.</w:t>
      </w:r>
      <w:r w:rsidRPr="00731644">
        <w:rPr>
          <w:lang w:val="fr-CH"/>
        </w:rPr>
        <w:tab/>
      </w:r>
      <w:r w:rsidR="00686E39" w:rsidRPr="00731644">
        <w:rPr>
          <w:lang w:val="fr-CH"/>
        </w:rPr>
        <w:t>Divers documents stratégiques adoptés par le Gouvernement comportent un volet relatif à l</w:t>
      </w:r>
      <w:r w:rsidR="00425386" w:rsidRPr="00731644">
        <w:rPr>
          <w:lang w:val="fr-CH"/>
        </w:rPr>
        <w:t>’</w:t>
      </w:r>
      <w:r w:rsidR="00686E39" w:rsidRPr="00731644">
        <w:rPr>
          <w:lang w:val="fr-CH"/>
        </w:rPr>
        <w:t>égalité des sexes</w:t>
      </w:r>
      <w:r w:rsidR="00F31DD5" w:rsidRPr="00731644">
        <w:rPr>
          <w:lang w:val="fr-CH"/>
        </w:rPr>
        <w:t>;</w:t>
      </w:r>
      <w:r w:rsidR="00686E39" w:rsidRPr="00731644">
        <w:rPr>
          <w:lang w:val="fr-CH"/>
        </w:rPr>
        <w:t xml:space="preserve"> c</w:t>
      </w:r>
      <w:r w:rsidR="00425386" w:rsidRPr="00731644">
        <w:rPr>
          <w:lang w:val="fr-CH"/>
        </w:rPr>
        <w:t>’</w:t>
      </w:r>
      <w:r w:rsidR="00686E39" w:rsidRPr="00731644">
        <w:rPr>
          <w:lang w:val="fr-CH"/>
        </w:rPr>
        <w:t>est le cas</w:t>
      </w:r>
      <w:r w:rsidR="00F31DD5" w:rsidRPr="00731644">
        <w:rPr>
          <w:lang w:val="fr-CH"/>
        </w:rPr>
        <w:t>:</w:t>
      </w:r>
      <w:r w:rsidR="00190822" w:rsidRPr="00731644">
        <w:rPr>
          <w:lang w:val="fr-CH"/>
        </w:rPr>
        <w:t xml:space="preserve"> du Programme national pour l</w:t>
      </w:r>
      <w:r w:rsidR="00425386" w:rsidRPr="00731644">
        <w:rPr>
          <w:lang w:val="fr-CH"/>
        </w:rPr>
        <w:t>’</w:t>
      </w:r>
      <w:r w:rsidR="00190822" w:rsidRPr="00731644">
        <w:rPr>
          <w:lang w:val="fr-CH"/>
        </w:rPr>
        <w:t>intégration du Monténégro à l</w:t>
      </w:r>
      <w:r w:rsidR="00425386" w:rsidRPr="00731644">
        <w:rPr>
          <w:lang w:val="fr-CH"/>
        </w:rPr>
        <w:t>’</w:t>
      </w:r>
      <w:r w:rsidR="00190822" w:rsidRPr="00731644">
        <w:rPr>
          <w:lang w:val="fr-CH"/>
        </w:rPr>
        <w:t>Union européenne, de la Stratégie nationale de développement durable, de la Stratégie nationale</w:t>
      </w:r>
      <w:r w:rsidR="00F31DD5" w:rsidRPr="00731644">
        <w:rPr>
          <w:lang w:val="fr-CH"/>
        </w:rPr>
        <w:t xml:space="preserve"> </w:t>
      </w:r>
      <w:r w:rsidR="00AC7BC9" w:rsidRPr="00731644">
        <w:rPr>
          <w:lang w:val="fr-CH"/>
        </w:rPr>
        <w:t>de</w:t>
      </w:r>
      <w:r w:rsidR="00190822" w:rsidRPr="00731644">
        <w:rPr>
          <w:lang w:val="fr-CH"/>
        </w:rPr>
        <w:t xml:space="preserve"> l</w:t>
      </w:r>
      <w:r w:rsidR="00425386" w:rsidRPr="00731644">
        <w:rPr>
          <w:lang w:val="fr-CH"/>
        </w:rPr>
        <w:t>’</w:t>
      </w:r>
      <w:r w:rsidR="00190822" w:rsidRPr="00731644">
        <w:rPr>
          <w:lang w:val="fr-CH"/>
        </w:rPr>
        <w:t xml:space="preserve">emploi et </w:t>
      </w:r>
      <w:r w:rsidR="00AC7BC9" w:rsidRPr="00731644">
        <w:rPr>
          <w:lang w:val="fr-CH"/>
        </w:rPr>
        <w:t xml:space="preserve">de </w:t>
      </w:r>
      <w:r w:rsidR="00190822" w:rsidRPr="00731644">
        <w:rPr>
          <w:lang w:val="fr-CH"/>
        </w:rPr>
        <w:t>la mise en valeur de ressources humain</w:t>
      </w:r>
      <w:r w:rsidR="006329AF" w:rsidRPr="00731644">
        <w:rPr>
          <w:lang w:val="fr-CH"/>
        </w:rPr>
        <w:t>es, de la</w:t>
      </w:r>
      <w:r w:rsidR="00190822" w:rsidRPr="00731644">
        <w:rPr>
          <w:lang w:val="fr-CH"/>
        </w:rPr>
        <w:t xml:space="preserve"> Stratégie </w:t>
      </w:r>
      <w:r w:rsidR="006329AF" w:rsidRPr="00731644">
        <w:rPr>
          <w:lang w:val="fr-CH"/>
        </w:rPr>
        <w:t>de</w:t>
      </w:r>
      <w:r w:rsidR="00190822" w:rsidRPr="00731644">
        <w:rPr>
          <w:lang w:val="fr-CH"/>
        </w:rPr>
        <w:t xml:space="preserve"> préservation et </w:t>
      </w:r>
      <w:r w:rsidR="006329AF" w:rsidRPr="00731644">
        <w:rPr>
          <w:lang w:val="fr-CH"/>
        </w:rPr>
        <w:t>d</w:t>
      </w:r>
      <w:r w:rsidR="00425386" w:rsidRPr="00731644">
        <w:rPr>
          <w:lang w:val="fr-CH"/>
        </w:rPr>
        <w:t>’</w:t>
      </w:r>
      <w:r w:rsidR="00190822" w:rsidRPr="00731644">
        <w:rPr>
          <w:lang w:val="fr-CH"/>
        </w:rPr>
        <w:t xml:space="preserve">amélioration de la </w:t>
      </w:r>
      <w:r w:rsidR="006329AF" w:rsidRPr="00731644">
        <w:rPr>
          <w:lang w:val="fr-CH"/>
        </w:rPr>
        <w:t>santé de la procréation</w:t>
      </w:r>
      <w:r w:rsidR="00E707D7" w:rsidRPr="00731644">
        <w:rPr>
          <w:lang w:val="fr-CH"/>
        </w:rPr>
        <w:t>,</w:t>
      </w:r>
      <w:r w:rsidR="00F31DD5" w:rsidRPr="00731644">
        <w:rPr>
          <w:lang w:val="fr-CH"/>
        </w:rPr>
        <w:t xml:space="preserve"> </w:t>
      </w:r>
      <w:r w:rsidR="00190822" w:rsidRPr="00731644">
        <w:rPr>
          <w:lang w:val="fr-CH"/>
        </w:rPr>
        <w:t>de la Stratégie nationale</w:t>
      </w:r>
      <w:r w:rsidR="00F31DD5" w:rsidRPr="00731644">
        <w:rPr>
          <w:lang w:val="fr-CH"/>
        </w:rPr>
        <w:t xml:space="preserve"> </w:t>
      </w:r>
      <w:r w:rsidR="00AF20AC" w:rsidRPr="00731644">
        <w:rPr>
          <w:lang w:val="fr-CH"/>
        </w:rPr>
        <w:t>relative au</w:t>
      </w:r>
      <w:r w:rsidR="00190822" w:rsidRPr="00731644">
        <w:rPr>
          <w:lang w:val="fr-CH"/>
        </w:rPr>
        <w:t xml:space="preserve"> VIH/sida, du Plan</w:t>
      </w:r>
      <w:r w:rsidR="00F31DD5" w:rsidRPr="00731644">
        <w:rPr>
          <w:lang w:val="fr-CH"/>
        </w:rPr>
        <w:t xml:space="preserve"> </w:t>
      </w:r>
      <w:r w:rsidR="00AF20AC" w:rsidRPr="00731644">
        <w:rPr>
          <w:lang w:val="fr-CH"/>
        </w:rPr>
        <w:t>d</w:t>
      </w:r>
      <w:r w:rsidR="00425386" w:rsidRPr="00731644">
        <w:rPr>
          <w:lang w:val="fr-CH"/>
        </w:rPr>
        <w:t>’</w:t>
      </w:r>
      <w:r w:rsidR="00AF20AC" w:rsidRPr="00731644">
        <w:rPr>
          <w:lang w:val="fr-CH"/>
        </w:rPr>
        <w:t xml:space="preserve">action </w:t>
      </w:r>
      <w:r w:rsidR="00902142" w:rsidRPr="00731644">
        <w:rPr>
          <w:lang w:val="fr-CH"/>
        </w:rPr>
        <w:t xml:space="preserve">national </w:t>
      </w:r>
      <w:r w:rsidR="00190822" w:rsidRPr="00731644">
        <w:rPr>
          <w:lang w:val="fr-CH"/>
        </w:rPr>
        <w:t>pour la jeunesse, du Plan d</w:t>
      </w:r>
      <w:r w:rsidR="00425386" w:rsidRPr="00731644">
        <w:rPr>
          <w:lang w:val="fr-CH"/>
        </w:rPr>
        <w:t>’</w:t>
      </w:r>
      <w:r w:rsidR="00190822" w:rsidRPr="00731644">
        <w:rPr>
          <w:lang w:val="fr-CH"/>
        </w:rPr>
        <w:t xml:space="preserve">action </w:t>
      </w:r>
      <w:r w:rsidR="00AF20AC" w:rsidRPr="00731644">
        <w:rPr>
          <w:lang w:val="fr-CH"/>
        </w:rPr>
        <w:t>individuel pour le partenariat avec l</w:t>
      </w:r>
      <w:r w:rsidR="00425386" w:rsidRPr="00731644">
        <w:rPr>
          <w:lang w:val="fr-CH"/>
        </w:rPr>
        <w:t>’</w:t>
      </w:r>
      <w:r w:rsidR="00AF20AC" w:rsidRPr="00731644">
        <w:rPr>
          <w:lang w:val="fr-CH"/>
        </w:rPr>
        <w:t>OTAN</w:t>
      </w:r>
      <w:r w:rsidR="00902142" w:rsidRPr="00731644">
        <w:rPr>
          <w:lang w:val="fr-CH"/>
        </w:rPr>
        <w:t>,</w:t>
      </w:r>
      <w:r w:rsidR="00F31DD5" w:rsidRPr="00731644">
        <w:rPr>
          <w:lang w:val="fr-CH"/>
        </w:rPr>
        <w:t xml:space="preserve"> </w:t>
      </w:r>
      <w:r w:rsidR="00190822" w:rsidRPr="00731644">
        <w:rPr>
          <w:lang w:val="fr-CH"/>
        </w:rPr>
        <w:t xml:space="preserve">du Plan </w:t>
      </w:r>
      <w:r w:rsidR="00902142" w:rsidRPr="00731644">
        <w:rPr>
          <w:lang w:val="fr-CH"/>
        </w:rPr>
        <w:t>de</w:t>
      </w:r>
      <w:r w:rsidR="00190822" w:rsidRPr="00731644">
        <w:rPr>
          <w:lang w:val="fr-CH"/>
        </w:rPr>
        <w:t xml:space="preserve"> réforme de</w:t>
      </w:r>
      <w:r w:rsidR="00902142" w:rsidRPr="00731644">
        <w:rPr>
          <w:lang w:val="fr-CH"/>
        </w:rPr>
        <w:t>s</w:t>
      </w:r>
      <w:r w:rsidR="00190822" w:rsidRPr="00731644">
        <w:rPr>
          <w:lang w:val="fr-CH"/>
        </w:rPr>
        <w:t xml:space="preserve"> </w:t>
      </w:r>
      <w:r w:rsidR="00902142" w:rsidRPr="00731644">
        <w:rPr>
          <w:lang w:val="fr-CH"/>
        </w:rPr>
        <w:t>collectivités</w:t>
      </w:r>
      <w:r w:rsidR="00190822" w:rsidRPr="00731644">
        <w:rPr>
          <w:lang w:val="fr-CH"/>
        </w:rPr>
        <w:t xml:space="preserve"> locale</w:t>
      </w:r>
      <w:r w:rsidR="00902142" w:rsidRPr="00731644">
        <w:rPr>
          <w:lang w:val="fr-CH"/>
        </w:rPr>
        <w:t>s autonomes</w:t>
      </w:r>
      <w:r w:rsidR="00190822" w:rsidRPr="00731644">
        <w:rPr>
          <w:lang w:val="fr-CH"/>
        </w:rPr>
        <w:t>, et du Plan de lutte contre la traite des êtres humains</w:t>
      </w:r>
      <w:r w:rsidR="00E707D7" w:rsidRPr="00731644">
        <w:rPr>
          <w:lang w:val="fr-CH"/>
        </w:rPr>
        <w:t>.</w:t>
      </w:r>
    </w:p>
    <w:p w:rsidR="00E707D7" w:rsidRPr="00731644" w:rsidRDefault="007A774E" w:rsidP="00E707D7">
      <w:pPr>
        <w:pStyle w:val="SingleTxtG"/>
        <w:rPr>
          <w:lang w:val="fr-CH"/>
        </w:rPr>
      </w:pPr>
      <w:r w:rsidRPr="00731644">
        <w:rPr>
          <w:lang w:val="fr-CH"/>
        </w:rPr>
        <w:t>27.</w:t>
      </w:r>
      <w:r w:rsidRPr="00731644">
        <w:rPr>
          <w:lang w:val="fr-CH"/>
        </w:rPr>
        <w:tab/>
      </w:r>
      <w:r w:rsidR="00D17517" w:rsidRPr="00731644">
        <w:rPr>
          <w:lang w:val="fr-CH"/>
        </w:rPr>
        <w:t>L</w:t>
      </w:r>
      <w:r w:rsidR="00425386" w:rsidRPr="00731644">
        <w:rPr>
          <w:lang w:val="fr-CH"/>
        </w:rPr>
        <w:t>’</w:t>
      </w:r>
      <w:r w:rsidR="00D17517" w:rsidRPr="00731644">
        <w:rPr>
          <w:lang w:val="fr-CH"/>
        </w:rPr>
        <w:t xml:space="preserve">un des </w:t>
      </w:r>
      <w:r w:rsidR="00BF7C22" w:rsidRPr="00731644">
        <w:rPr>
          <w:lang w:val="fr-CH"/>
        </w:rPr>
        <w:t>axe</w:t>
      </w:r>
      <w:r w:rsidR="00D17517" w:rsidRPr="00731644">
        <w:rPr>
          <w:lang w:val="fr-CH"/>
        </w:rPr>
        <w:t>s du programme de formation professionnelle des fonctionnaires et des agents de l</w:t>
      </w:r>
      <w:r w:rsidR="00425386" w:rsidRPr="00731644">
        <w:rPr>
          <w:lang w:val="fr-CH"/>
        </w:rPr>
        <w:t>’</w:t>
      </w:r>
      <w:r w:rsidR="00D17517" w:rsidRPr="00731644">
        <w:rPr>
          <w:lang w:val="fr-CH"/>
        </w:rPr>
        <w:t xml:space="preserve">État, </w:t>
      </w:r>
      <w:r w:rsidR="00535EA9" w:rsidRPr="00731644">
        <w:rPr>
          <w:lang w:val="fr-CH"/>
        </w:rPr>
        <w:t>qui dépend de l</w:t>
      </w:r>
      <w:r w:rsidR="00425386" w:rsidRPr="00731644">
        <w:rPr>
          <w:lang w:val="fr-CH"/>
        </w:rPr>
        <w:t>’</w:t>
      </w:r>
      <w:r w:rsidR="00D17517" w:rsidRPr="00731644">
        <w:rPr>
          <w:lang w:val="fr-CH"/>
        </w:rPr>
        <w:t xml:space="preserve">Agence </w:t>
      </w:r>
      <w:r w:rsidR="00A77461" w:rsidRPr="00731644">
        <w:rPr>
          <w:lang w:val="fr-CH"/>
        </w:rPr>
        <w:t xml:space="preserve">nationale </w:t>
      </w:r>
      <w:r w:rsidR="00D17517" w:rsidRPr="00731644">
        <w:rPr>
          <w:lang w:val="fr-CH"/>
        </w:rPr>
        <w:t xml:space="preserve">de gestion des ressources humaines, est </w:t>
      </w:r>
      <w:r w:rsidR="00535EA9" w:rsidRPr="00731644">
        <w:rPr>
          <w:lang w:val="fr-CH"/>
        </w:rPr>
        <w:t xml:space="preserve">la mise en pratique </w:t>
      </w:r>
      <w:r w:rsidR="00D17517" w:rsidRPr="00731644">
        <w:rPr>
          <w:lang w:val="fr-CH"/>
        </w:rPr>
        <w:t>du principe de l</w:t>
      </w:r>
      <w:r w:rsidR="00425386" w:rsidRPr="00731644">
        <w:rPr>
          <w:lang w:val="fr-CH"/>
        </w:rPr>
        <w:t>’</w:t>
      </w:r>
      <w:r w:rsidR="00D17517" w:rsidRPr="00731644">
        <w:rPr>
          <w:lang w:val="fr-CH"/>
        </w:rPr>
        <w:t xml:space="preserve">égalité des sexes </w:t>
      </w:r>
      <w:r w:rsidR="00535EA9" w:rsidRPr="00731644">
        <w:rPr>
          <w:lang w:val="fr-CH"/>
        </w:rPr>
        <w:t>et l</w:t>
      </w:r>
      <w:r w:rsidR="00425386" w:rsidRPr="00731644">
        <w:rPr>
          <w:lang w:val="fr-CH"/>
        </w:rPr>
        <w:t>’</w:t>
      </w:r>
      <w:r w:rsidR="00535EA9" w:rsidRPr="00731644">
        <w:rPr>
          <w:lang w:val="fr-CH"/>
        </w:rPr>
        <w:t xml:space="preserve">application effective de la loi </w:t>
      </w:r>
      <w:r w:rsidR="00DC45C9" w:rsidRPr="00731644">
        <w:rPr>
          <w:lang w:val="fr-CH"/>
        </w:rPr>
        <w:t xml:space="preserve">y </w:t>
      </w:r>
      <w:r w:rsidR="00535EA9" w:rsidRPr="00731644">
        <w:rPr>
          <w:lang w:val="fr-CH"/>
        </w:rPr>
        <w:t>relative</w:t>
      </w:r>
      <w:r w:rsidR="00F31DD5" w:rsidRPr="00731644">
        <w:rPr>
          <w:lang w:val="fr-CH"/>
        </w:rPr>
        <w:t>;</w:t>
      </w:r>
      <w:r w:rsidR="00535EA9" w:rsidRPr="00731644">
        <w:rPr>
          <w:lang w:val="fr-CH"/>
        </w:rPr>
        <w:t xml:space="preserve"> le Ministère et l</w:t>
      </w:r>
      <w:r w:rsidR="00425386" w:rsidRPr="00731644">
        <w:rPr>
          <w:lang w:val="fr-CH"/>
        </w:rPr>
        <w:t>’</w:t>
      </w:r>
      <w:r w:rsidR="00535EA9" w:rsidRPr="00731644">
        <w:rPr>
          <w:lang w:val="fr-CH"/>
        </w:rPr>
        <w:t>Agence ont signé un mémo</w:t>
      </w:r>
      <w:r w:rsidR="00C84E86" w:rsidRPr="00731644">
        <w:rPr>
          <w:lang w:val="fr-CH"/>
        </w:rPr>
        <w:t>randum</w:t>
      </w:r>
      <w:r w:rsidR="00535EA9" w:rsidRPr="00731644">
        <w:rPr>
          <w:lang w:val="fr-CH"/>
        </w:rPr>
        <w:t xml:space="preserve"> spécialement consacré à la formation des fonctionnaires et des agents de l</w:t>
      </w:r>
      <w:r w:rsidR="00425386" w:rsidRPr="00731644">
        <w:rPr>
          <w:lang w:val="fr-CH"/>
        </w:rPr>
        <w:t>’</w:t>
      </w:r>
      <w:r w:rsidR="00535EA9" w:rsidRPr="00731644">
        <w:rPr>
          <w:lang w:val="fr-CH"/>
        </w:rPr>
        <w:t xml:space="preserve">État. Les </w:t>
      </w:r>
      <w:r w:rsidR="00A66512" w:rsidRPr="00731644">
        <w:rPr>
          <w:lang w:val="fr-CH"/>
        </w:rPr>
        <w:t>services</w:t>
      </w:r>
      <w:r w:rsidR="00535EA9" w:rsidRPr="00731644">
        <w:rPr>
          <w:lang w:val="fr-CH"/>
        </w:rPr>
        <w:t xml:space="preserve"> responsables de l</w:t>
      </w:r>
      <w:r w:rsidR="00425386" w:rsidRPr="00731644">
        <w:rPr>
          <w:lang w:val="fr-CH"/>
        </w:rPr>
        <w:t>’</w:t>
      </w:r>
      <w:r w:rsidR="00535EA9" w:rsidRPr="00731644">
        <w:rPr>
          <w:lang w:val="fr-CH"/>
        </w:rPr>
        <w:t>égalité des sexes ont également signé un mémorandum d</w:t>
      </w:r>
      <w:r w:rsidR="00425386" w:rsidRPr="00731644">
        <w:rPr>
          <w:lang w:val="fr-CH"/>
        </w:rPr>
        <w:t>’</w:t>
      </w:r>
      <w:r w:rsidR="00535EA9" w:rsidRPr="00731644">
        <w:rPr>
          <w:lang w:val="fr-CH"/>
        </w:rPr>
        <w:t>accord avec dix municipalités du pays</w:t>
      </w:r>
      <w:r w:rsidR="00F31DD5" w:rsidRPr="00731644">
        <w:rPr>
          <w:lang w:val="fr-CH"/>
        </w:rPr>
        <w:t xml:space="preserve"> </w:t>
      </w:r>
      <w:r w:rsidR="00E707D7" w:rsidRPr="00731644">
        <w:rPr>
          <w:lang w:val="fr-CH"/>
        </w:rPr>
        <w:t xml:space="preserve">(Niksic, Bijelo Polje, Pljevlja, Berane, Cetinje, Kotor, Budva, Bar, Herceg Novi </w:t>
      </w:r>
      <w:r w:rsidR="00F26360" w:rsidRPr="00731644">
        <w:rPr>
          <w:lang w:val="fr-CH"/>
        </w:rPr>
        <w:t>et</w:t>
      </w:r>
      <w:r w:rsidR="00E707D7" w:rsidRPr="00731644">
        <w:rPr>
          <w:lang w:val="fr-CH"/>
        </w:rPr>
        <w:t xml:space="preserve"> Ulcinj)</w:t>
      </w:r>
      <w:r w:rsidR="00535EA9" w:rsidRPr="00731644">
        <w:rPr>
          <w:lang w:val="fr-CH"/>
        </w:rPr>
        <w:t xml:space="preserve"> en vue de la conduite d</w:t>
      </w:r>
      <w:r w:rsidR="00425386" w:rsidRPr="00731644">
        <w:rPr>
          <w:lang w:val="fr-CH"/>
        </w:rPr>
        <w:t>’</w:t>
      </w:r>
      <w:r w:rsidR="00535EA9" w:rsidRPr="00731644">
        <w:rPr>
          <w:lang w:val="fr-CH"/>
        </w:rPr>
        <w:t>activités pertinentes à l</w:t>
      </w:r>
      <w:r w:rsidR="00425386" w:rsidRPr="00731644">
        <w:rPr>
          <w:lang w:val="fr-CH"/>
        </w:rPr>
        <w:t>’</w:t>
      </w:r>
      <w:r w:rsidR="00535EA9" w:rsidRPr="00731644">
        <w:rPr>
          <w:lang w:val="fr-CH"/>
        </w:rPr>
        <w:t>échelon local</w:t>
      </w:r>
      <w:r w:rsidR="00E707D7" w:rsidRPr="00731644">
        <w:rPr>
          <w:lang w:val="fr-CH"/>
        </w:rPr>
        <w:t>.</w:t>
      </w:r>
    </w:p>
    <w:p w:rsidR="00BC0041" w:rsidRPr="00731644" w:rsidRDefault="007A774E" w:rsidP="00E707D7">
      <w:pPr>
        <w:pStyle w:val="SingleTxtG"/>
        <w:rPr>
          <w:lang w:val="fr-CH"/>
        </w:rPr>
      </w:pPr>
      <w:r w:rsidRPr="00731644">
        <w:rPr>
          <w:lang w:val="fr-CH"/>
        </w:rPr>
        <w:t>28.</w:t>
      </w:r>
      <w:r w:rsidRPr="00731644">
        <w:rPr>
          <w:lang w:val="fr-CH"/>
        </w:rPr>
        <w:tab/>
      </w:r>
      <w:r w:rsidR="00535EA9" w:rsidRPr="00731644">
        <w:rPr>
          <w:lang w:val="fr-CH"/>
        </w:rPr>
        <w:t xml:space="preserve">De nombreuses </w:t>
      </w:r>
      <w:r w:rsidR="00C84E86" w:rsidRPr="00731644">
        <w:rPr>
          <w:lang w:val="fr-CH"/>
        </w:rPr>
        <w:t>activités</w:t>
      </w:r>
      <w:r w:rsidR="00535EA9" w:rsidRPr="00731644">
        <w:rPr>
          <w:lang w:val="fr-CH"/>
        </w:rPr>
        <w:t xml:space="preserve"> éducatives ont été organisées à l</w:t>
      </w:r>
      <w:r w:rsidR="00425386" w:rsidRPr="00731644">
        <w:rPr>
          <w:lang w:val="fr-CH"/>
        </w:rPr>
        <w:t>’</w:t>
      </w:r>
      <w:r w:rsidR="00535EA9" w:rsidRPr="00731644">
        <w:rPr>
          <w:lang w:val="fr-CH"/>
        </w:rPr>
        <w:t xml:space="preserve">intention des </w:t>
      </w:r>
      <w:r w:rsidR="00BF7C22" w:rsidRPr="00731644">
        <w:rPr>
          <w:lang w:val="fr-CH"/>
        </w:rPr>
        <w:t xml:space="preserve">adhérentes et des </w:t>
      </w:r>
      <w:r w:rsidR="00C84E86" w:rsidRPr="00731644">
        <w:rPr>
          <w:lang w:val="fr-CH"/>
        </w:rPr>
        <w:t xml:space="preserve">adhérents </w:t>
      </w:r>
      <w:r w:rsidR="00535EA9" w:rsidRPr="00731644">
        <w:rPr>
          <w:lang w:val="fr-CH"/>
        </w:rPr>
        <w:t>de</w:t>
      </w:r>
      <w:r w:rsidR="00C84E86" w:rsidRPr="00731644">
        <w:rPr>
          <w:lang w:val="fr-CH"/>
        </w:rPr>
        <w:t>s</w:t>
      </w:r>
      <w:r w:rsidR="00535EA9" w:rsidRPr="00731644">
        <w:rPr>
          <w:lang w:val="fr-CH"/>
        </w:rPr>
        <w:t xml:space="preserve"> partis politiques</w:t>
      </w:r>
      <w:r w:rsidR="00F31DD5" w:rsidRPr="00731644">
        <w:rPr>
          <w:lang w:val="fr-CH"/>
        </w:rPr>
        <w:t xml:space="preserve"> </w:t>
      </w:r>
      <w:r w:rsidR="00535EA9" w:rsidRPr="00731644">
        <w:rPr>
          <w:lang w:val="fr-CH"/>
        </w:rPr>
        <w:t>afin d</w:t>
      </w:r>
      <w:r w:rsidR="00425386" w:rsidRPr="00731644">
        <w:rPr>
          <w:lang w:val="fr-CH"/>
        </w:rPr>
        <w:t>’</w:t>
      </w:r>
      <w:r w:rsidR="00535EA9" w:rsidRPr="00731644">
        <w:rPr>
          <w:lang w:val="fr-CH"/>
        </w:rPr>
        <w:t xml:space="preserve">accroître la participation des femmes à la vie politique et à </w:t>
      </w:r>
      <w:r w:rsidR="00C84E86" w:rsidRPr="00731644">
        <w:rPr>
          <w:lang w:val="fr-CH"/>
        </w:rPr>
        <w:t>l</w:t>
      </w:r>
      <w:r w:rsidR="00425386" w:rsidRPr="00731644">
        <w:rPr>
          <w:lang w:val="fr-CH"/>
        </w:rPr>
        <w:t>’</w:t>
      </w:r>
      <w:r w:rsidR="00C84E86" w:rsidRPr="00731644">
        <w:rPr>
          <w:lang w:val="fr-CH"/>
        </w:rPr>
        <w:t>exercice</w:t>
      </w:r>
      <w:r w:rsidR="00535EA9" w:rsidRPr="00731644">
        <w:rPr>
          <w:lang w:val="fr-CH"/>
        </w:rPr>
        <w:t xml:space="preserve"> de</w:t>
      </w:r>
      <w:r w:rsidR="00C84E86" w:rsidRPr="00731644">
        <w:rPr>
          <w:lang w:val="fr-CH"/>
        </w:rPr>
        <w:t>s</w:t>
      </w:r>
      <w:r w:rsidR="00535EA9" w:rsidRPr="00731644">
        <w:rPr>
          <w:lang w:val="fr-CH"/>
        </w:rPr>
        <w:t xml:space="preserve"> responsabilités</w:t>
      </w:r>
      <w:r w:rsidR="00C84E86" w:rsidRPr="00731644">
        <w:rPr>
          <w:lang w:val="fr-CH"/>
        </w:rPr>
        <w:t>.</w:t>
      </w:r>
      <w:r w:rsidR="00535EA9" w:rsidRPr="00731644">
        <w:rPr>
          <w:lang w:val="fr-CH"/>
        </w:rPr>
        <w:t xml:space="preserve"> </w:t>
      </w:r>
      <w:r w:rsidR="00C84E86" w:rsidRPr="00731644">
        <w:rPr>
          <w:lang w:val="fr-CH"/>
        </w:rPr>
        <w:t>C</w:t>
      </w:r>
      <w:r w:rsidR="009E7B76" w:rsidRPr="00731644">
        <w:rPr>
          <w:lang w:val="fr-CH"/>
        </w:rPr>
        <w:t xml:space="preserve">es activités ont été menées initialement </w:t>
      </w:r>
      <w:r w:rsidR="00C84E86" w:rsidRPr="00731644">
        <w:rPr>
          <w:lang w:val="fr-CH"/>
        </w:rPr>
        <w:t xml:space="preserve">grâce </w:t>
      </w:r>
      <w:r w:rsidR="009E7B76" w:rsidRPr="00731644">
        <w:rPr>
          <w:lang w:val="fr-CH"/>
        </w:rPr>
        <w:t>à un</w:t>
      </w:r>
      <w:r w:rsidR="00F31DD5" w:rsidRPr="00731644">
        <w:rPr>
          <w:lang w:val="fr-CH"/>
        </w:rPr>
        <w:t xml:space="preserve"> </w:t>
      </w:r>
      <w:r w:rsidR="009E7B76" w:rsidRPr="00731644">
        <w:rPr>
          <w:lang w:val="fr-CH"/>
        </w:rPr>
        <w:t xml:space="preserve">partenariat entre </w:t>
      </w:r>
      <w:r w:rsidR="00F15547" w:rsidRPr="00731644">
        <w:rPr>
          <w:lang w:val="fr-CH"/>
        </w:rPr>
        <w:t xml:space="preserve">le </w:t>
      </w:r>
      <w:r w:rsidR="00D3106C" w:rsidRPr="00731644">
        <w:rPr>
          <w:lang w:val="fr-CH"/>
        </w:rPr>
        <w:t>B</w:t>
      </w:r>
      <w:r w:rsidR="00F15547" w:rsidRPr="00731644">
        <w:rPr>
          <w:lang w:val="fr-CH"/>
        </w:rPr>
        <w:t xml:space="preserve">ureau </w:t>
      </w:r>
      <w:r w:rsidR="009E7B76" w:rsidRPr="00731644">
        <w:rPr>
          <w:lang w:val="fr-CH"/>
        </w:rPr>
        <w:t>de l</w:t>
      </w:r>
      <w:r w:rsidR="00425386" w:rsidRPr="00731644">
        <w:rPr>
          <w:lang w:val="fr-CH"/>
        </w:rPr>
        <w:t>’</w:t>
      </w:r>
      <w:r w:rsidR="009E7B76" w:rsidRPr="00731644">
        <w:rPr>
          <w:lang w:val="fr-CH"/>
        </w:rPr>
        <w:t xml:space="preserve">égalité des sexes et des organisations non gouvernementales féminines, dans le cadre des projets </w:t>
      </w:r>
      <w:r w:rsidR="002061AB">
        <w:rPr>
          <w:lang w:val="fr-CH"/>
        </w:rPr>
        <w:t>«</w:t>
      </w:r>
      <w:r w:rsidR="009E7B76" w:rsidRPr="00731644">
        <w:rPr>
          <w:lang w:val="fr-CH"/>
        </w:rPr>
        <w:t>Les femmes en sont capables</w:t>
      </w:r>
      <w:r w:rsidR="00F31DD5" w:rsidRPr="00731644">
        <w:rPr>
          <w:lang w:val="fr-CH"/>
        </w:rPr>
        <w:t xml:space="preserve"> – </w:t>
      </w:r>
      <w:r w:rsidR="00E707D7" w:rsidRPr="00731644">
        <w:rPr>
          <w:lang w:val="fr-CH"/>
        </w:rPr>
        <w:t xml:space="preserve">I, II </w:t>
      </w:r>
      <w:r w:rsidR="009E7B76" w:rsidRPr="00731644">
        <w:rPr>
          <w:lang w:val="fr-CH"/>
        </w:rPr>
        <w:t>et</w:t>
      </w:r>
      <w:r w:rsidR="00E707D7" w:rsidRPr="00731644">
        <w:rPr>
          <w:lang w:val="fr-CH"/>
        </w:rPr>
        <w:t xml:space="preserve"> III</w:t>
      </w:r>
      <w:r w:rsidR="002061AB">
        <w:rPr>
          <w:lang w:val="fr-CH"/>
        </w:rPr>
        <w:t>»</w:t>
      </w:r>
      <w:r w:rsidR="00E707D7" w:rsidRPr="00731644">
        <w:rPr>
          <w:lang w:val="fr-CH"/>
        </w:rPr>
        <w:t xml:space="preserve"> </w:t>
      </w:r>
      <w:r w:rsidR="009E7B76" w:rsidRPr="00731644">
        <w:rPr>
          <w:lang w:val="fr-CH"/>
        </w:rPr>
        <w:t>et</w:t>
      </w:r>
      <w:r w:rsidR="00E707D7" w:rsidRPr="00731644">
        <w:rPr>
          <w:lang w:val="fr-CH"/>
        </w:rPr>
        <w:t xml:space="preserve"> </w:t>
      </w:r>
      <w:r w:rsidR="002061AB">
        <w:rPr>
          <w:lang w:val="fr-CH"/>
        </w:rPr>
        <w:t>«</w:t>
      </w:r>
      <w:r w:rsidR="00C84E86" w:rsidRPr="00731644">
        <w:rPr>
          <w:lang w:val="fr-CH"/>
        </w:rPr>
        <w:t>L</w:t>
      </w:r>
      <w:r w:rsidR="009E7B76" w:rsidRPr="00731644">
        <w:rPr>
          <w:lang w:val="fr-CH"/>
        </w:rPr>
        <w:t>es femmes roms en sont capables</w:t>
      </w:r>
      <w:r w:rsidR="002061AB">
        <w:rPr>
          <w:lang w:val="fr-CH"/>
        </w:rPr>
        <w:t>»</w:t>
      </w:r>
      <w:r w:rsidR="00E707D7" w:rsidRPr="00731644">
        <w:rPr>
          <w:lang w:val="fr-CH"/>
        </w:rPr>
        <w:t xml:space="preserve">. </w:t>
      </w:r>
      <w:r w:rsidR="00BC0041" w:rsidRPr="00731644">
        <w:rPr>
          <w:lang w:val="fr-CH"/>
        </w:rPr>
        <w:t>L</w:t>
      </w:r>
      <w:r w:rsidR="00F15547" w:rsidRPr="00731644">
        <w:rPr>
          <w:lang w:val="fr-CH"/>
        </w:rPr>
        <w:t xml:space="preserve">e </w:t>
      </w:r>
      <w:r w:rsidR="00D3106C" w:rsidRPr="00731644">
        <w:rPr>
          <w:lang w:val="fr-CH"/>
        </w:rPr>
        <w:t>B</w:t>
      </w:r>
      <w:r w:rsidR="00F15547" w:rsidRPr="00731644">
        <w:rPr>
          <w:lang w:val="fr-CH"/>
        </w:rPr>
        <w:t>ureau</w:t>
      </w:r>
      <w:r w:rsidR="00BC0041" w:rsidRPr="00731644">
        <w:rPr>
          <w:lang w:val="fr-CH"/>
        </w:rPr>
        <w:t xml:space="preserve"> de l</w:t>
      </w:r>
      <w:r w:rsidR="00425386" w:rsidRPr="00731644">
        <w:rPr>
          <w:lang w:val="fr-CH"/>
        </w:rPr>
        <w:t>’</w:t>
      </w:r>
      <w:r w:rsidR="00BC0041" w:rsidRPr="00731644">
        <w:rPr>
          <w:lang w:val="fr-CH"/>
        </w:rPr>
        <w:t>égalité des sexes a commencé à exécuter en 2004, en coopération avec l</w:t>
      </w:r>
      <w:r w:rsidR="00BF7C22" w:rsidRPr="00731644">
        <w:rPr>
          <w:lang w:val="fr-CH"/>
        </w:rPr>
        <w:t>es</w:t>
      </w:r>
      <w:r w:rsidR="00BC0041" w:rsidRPr="00731644">
        <w:rPr>
          <w:lang w:val="fr-CH"/>
        </w:rPr>
        <w:t xml:space="preserve"> </w:t>
      </w:r>
      <w:r w:rsidR="00BF7C22" w:rsidRPr="00731644">
        <w:rPr>
          <w:lang w:val="fr-CH"/>
        </w:rPr>
        <w:t>f</w:t>
      </w:r>
      <w:r w:rsidR="00BC0041" w:rsidRPr="00731644">
        <w:rPr>
          <w:lang w:val="fr-CH"/>
        </w:rPr>
        <w:t>ondation</w:t>
      </w:r>
      <w:r w:rsidR="00BF7C22" w:rsidRPr="00731644">
        <w:rPr>
          <w:lang w:val="fr-CH"/>
        </w:rPr>
        <w:t>s</w:t>
      </w:r>
      <w:r w:rsidR="00E707D7" w:rsidRPr="00731644">
        <w:rPr>
          <w:lang w:val="fr-CH"/>
        </w:rPr>
        <w:t xml:space="preserve"> Konrad Adenauer </w:t>
      </w:r>
      <w:r w:rsidR="00BC0041" w:rsidRPr="00731644">
        <w:rPr>
          <w:lang w:val="fr-CH"/>
        </w:rPr>
        <w:t xml:space="preserve">et </w:t>
      </w:r>
      <w:r w:rsidR="00E707D7" w:rsidRPr="00731644">
        <w:rPr>
          <w:lang w:val="fr-CH"/>
        </w:rPr>
        <w:t xml:space="preserve">Eduardo Frei, </w:t>
      </w:r>
      <w:r w:rsidR="00BC0041" w:rsidRPr="00731644">
        <w:rPr>
          <w:lang w:val="fr-CH"/>
        </w:rPr>
        <w:t xml:space="preserve">un projet qui cible les femmes et les hommes </w:t>
      </w:r>
      <w:r w:rsidR="00566EBF" w:rsidRPr="00731644">
        <w:rPr>
          <w:lang w:val="fr-CH"/>
        </w:rPr>
        <w:t>affiliés à des</w:t>
      </w:r>
      <w:r w:rsidR="00BC0041" w:rsidRPr="00731644">
        <w:rPr>
          <w:lang w:val="fr-CH"/>
        </w:rPr>
        <w:t xml:space="preserve"> partis politiques</w:t>
      </w:r>
      <w:r w:rsidR="00E707D7" w:rsidRPr="00731644">
        <w:rPr>
          <w:lang w:val="fr-CH"/>
        </w:rPr>
        <w:t>.</w:t>
      </w:r>
      <w:r w:rsidR="00BC0041" w:rsidRPr="00731644">
        <w:rPr>
          <w:lang w:val="fr-CH"/>
        </w:rPr>
        <w:t xml:space="preserve"> Ces activités sont maintenant </w:t>
      </w:r>
      <w:r w:rsidR="00BF7C22" w:rsidRPr="00731644">
        <w:rPr>
          <w:lang w:val="fr-CH"/>
        </w:rPr>
        <w:t>piloté</w:t>
      </w:r>
      <w:r w:rsidR="00BC0041" w:rsidRPr="00731644">
        <w:rPr>
          <w:lang w:val="fr-CH"/>
        </w:rPr>
        <w:t>es par le Département de l</w:t>
      </w:r>
      <w:r w:rsidR="00425386" w:rsidRPr="00731644">
        <w:rPr>
          <w:lang w:val="fr-CH"/>
        </w:rPr>
        <w:t>’</w:t>
      </w:r>
      <w:r w:rsidR="00BC0041" w:rsidRPr="00731644">
        <w:rPr>
          <w:lang w:val="fr-CH"/>
        </w:rPr>
        <w:t>égalité des sexes.</w:t>
      </w:r>
      <w:r w:rsidR="00F31DD5" w:rsidRPr="00731644">
        <w:rPr>
          <w:lang w:val="fr-CH"/>
        </w:rPr>
        <w:t xml:space="preserve"> </w:t>
      </w:r>
    </w:p>
    <w:p w:rsidR="00E707D7" w:rsidRPr="00731644" w:rsidRDefault="007A774E" w:rsidP="00E707D7">
      <w:pPr>
        <w:pStyle w:val="SingleTxtG"/>
        <w:rPr>
          <w:lang w:val="fr-CH"/>
        </w:rPr>
      </w:pPr>
      <w:r w:rsidRPr="00731644">
        <w:rPr>
          <w:lang w:val="fr-CH"/>
        </w:rPr>
        <w:t>29.</w:t>
      </w:r>
      <w:r w:rsidR="006443F6" w:rsidRPr="00731644">
        <w:rPr>
          <w:lang w:val="fr-CH"/>
        </w:rPr>
        <w:tab/>
      </w:r>
      <w:r w:rsidR="00156634" w:rsidRPr="00731644">
        <w:rPr>
          <w:lang w:val="fr-CH"/>
        </w:rPr>
        <w:t>Sur les</w:t>
      </w:r>
      <w:r w:rsidR="00BC0041" w:rsidRPr="00731644">
        <w:rPr>
          <w:lang w:val="fr-CH"/>
        </w:rPr>
        <w:t xml:space="preserve"> </w:t>
      </w:r>
      <w:r w:rsidR="00E707D7" w:rsidRPr="00731644">
        <w:rPr>
          <w:lang w:val="fr-CH"/>
        </w:rPr>
        <w:t>498</w:t>
      </w:r>
      <w:r w:rsidR="00B569C5" w:rsidRPr="00731644">
        <w:rPr>
          <w:lang w:val="fr-CH"/>
        </w:rPr>
        <w:t> </w:t>
      </w:r>
      <w:r w:rsidR="00E707D7" w:rsidRPr="00731644">
        <w:rPr>
          <w:lang w:val="fr-CH"/>
        </w:rPr>
        <w:t xml:space="preserve">825 </w:t>
      </w:r>
      <w:r w:rsidR="00BC0041" w:rsidRPr="00731644">
        <w:rPr>
          <w:lang w:val="fr-CH"/>
        </w:rPr>
        <w:t xml:space="preserve">électeurs inscrits </w:t>
      </w:r>
      <w:r w:rsidR="00156634" w:rsidRPr="00731644">
        <w:rPr>
          <w:lang w:val="fr-CH"/>
        </w:rPr>
        <w:t xml:space="preserve">lors du dernier scrutin législatif </w:t>
      </w:r>
      <w:r w:rsidR="00E707D7" w:rsidRPr="00731644">
        <w:rPr>
          <w:lang w:val="fr-CH"/>
        </w:rPr>
        <w:t>(</w:t>
      </w:r>
      <w:r w:rsidR="00156634" w:rsidRPr="00731644">
        <w:rPr>
          <w:lang w:val="fr-CH"/>
        </w:rPr>
        <w:t xml:space="preserve">représentant </w:t>
      </w:r>
      <w:r w:rsidR="00E707D7" w:rsidRPr="00731644">
        <w:rPr>
          <w:lang w:val="fr-CH"/>
        </w:rPr>
        <w:t>80</w:t>
      </w:r>
      <w:r w:rsidR="00BC0041" w:rsidRPr="00731644">
        <w:rPr>
          <w:lang w:val="fr-CH"/>
        </w:rPr>
        <w:t>,</w:t>
      </w:r>
      <w:r w:rsidR="00E707D7" w:rsidRPr="00731644">
        <w:rPr>
          <w:lang w:val="fr-CH"/>
        </w:rPr>
        <w:t>44</w:t>
      </w:r>
      <w:r w:rsidR="006443F6" w:rsidRPr="00731644">
        <w:rPr>
          <w:lang w:val="fr-CH"/>
        </w:rPr>
        <w:t>%</w:t>
      </w:r>
      <w:r w:rsidR="00BC0041" w:rsidRPr="00731644">
        <w:rPr>
          <w:lang w:val="fr-CH"/>
        </w:rPr>
        <w:t xml:space="preserve"> de la</w:t>
      </w:r>
      <w:r w:rsidR="00F31DD5" w:rsidRPr="00731644">
        <w:rPr>
          <w:lang w:val="fr-CH"/>
        </w:rPr>
        <w:t xml:space="preserve"> </w:t>
      </w:r>
      <w:r w:rsidR="00E707D7" w:rsidRPr="00731644">
        <w:rPr>
          <w:lang w:val="fr-CH"/>
        </w:rPr>
        <w:t>population)</w:t>
      </w:r>
      <w:r w:rsidR="00156634" w:rsidRPr="00731644">
        <w:rPr>
          <w:lang w:val="fr-CH"/>
        </w:rPr>
        <w:t>,</w:t>
      </w:r>
      <w:r w:rsidR="00F31DD5" w:rsidRPr="00731644">
        <w:rPr>
          <w:lang w:val="fr-CH"/>
        </w:rPr>
        <w:t xml:space="preserve"> </w:t>
      </w:r>
      <w:r w:rsidR="00156634" w:rsidRPr="00731644">
        <w:rPr>
          <w:lang w:val="fr-CH"/>
        </w:rPr>
        <w:t>250 165, soit</w:t>
      </w:r>
      <w:r w:rsidR="00E707D7" w:rsidRPr="00731644">
        <w:rPr>
          <w:lang w:val="fr-CH"/>
        </w:rPr>
        <w:t xml:space="preserve"> </w:t>
      </w:r>
      <w:r w:rsidR="00156634" w:rsidRPr="00731644">
        <w:rPr>
          <w:lang w:val="fr-CH"/>
        </w:rPr>
        <w:t>50,15</w:t>
      </w:r>
      <w:r w:rsidR="006443F6" w:rsidRPr="00731644">
        <w:rPr>
          <w:lang w:val="fr-CH"/>
        </w:rPr>
        <w:t>%</w:t>
      </w:r>
      <w:r w:rsidR="00156634" w:rsidRPr="00731644">
        <w:rPr>
          <w:lang w:val="fr-CH"/>
        </w:rPr>
        <w:t xml:space="preserve">, </w:t>
      </w:r>
      <w:r w:rsidR="00BC0041" w:rsidRPr="00731644">
        <w:rPr>
          <w:lang w:val="fr-CH"/>
        </w:rPr>
        <w:t>étaient des femmes</w:t>
      </w:r>
      <w:r w:rsidR="00E707D7" w:rsidRPr="00731644">
        <w:rPr>
          <w:lang w:val="fr-CH"/>
        </w:rPr>
        <w:t xml:space="preserve">. </w:t>
      </w:r>
      <w:r w:rsidR="00BC0041" w:rsidRPr="00731644">
        <w:rPr>
          <w:lang w:val="fr-CH"/>
        </w:rPr>
        <w:t>Le nombre des femmes élues au Parlement est resté inchangé</w:t>
      </w:r>
      <w:r w:rsidR="00F31DD5" w:rsidRPr="00731644">
        <w:rPr>
          <w:lang w:val="fr-CH"/>
        </w:rPr>
        <w:t>:</w:t>
      </w:r>
      <w:r w:rsidR="00BC0041" w:rsidRPr="00731644">
        <w:rPr>
          <w:lang w:val="fr-CH"/>
        </w:rPr>
        <w:t xml:space="preserve"> elles occupent neuf sièges sur un total de </w:t>
      </w:r>
      <w:r w:rsidR="00E707D7" w:rsidRPr="00731644">
        <w:rPr>
          <w:lang w:val="fr-CH"/>
        </w:rPr>
        <w:t>81</w:t>
      </w:r>
      <w:r w:rsidR="00BC0041" w:rsidRPr="00731644">
        <w:rPr>
          <w:lang w:val="fr-CH"/>
        </w:rPr>
        <w:t xml:space="preserve">, soit </w:t>
      </w:r>
      <w:r w:rsidR="00E707D7" w:rsidRPr="00731644">
        <w:rPr>
          <w:lang w:val="fr-CH"/>
        </w:rPr>
        <w:t>11</w:t>
      </w:r>
      <w:r w:rsidR="006443F6" w:rsidRPr="00731644">
        <w:rPr>
          <w:lang w:val="fr-CH"/>
        </w:rPr>
        <w:t>%</w:t>
      </w:r>
      <w:r w:rsidR="00BC0041" w:rsidRPr="00731644">
        <w:rPr>
          <w:lang w:val="fr-CH"/>
        </w:rPr>
        <w:t>.</w:t>
      </w:r>
      <w:r w:rsidR="00E707D7" w:rsidRPr="00731644">
        <w:rPr>
          <w:lang w:val="fr-CH"/>
        </w:rPr>
        <w:t xml:space="preserve"> </w:t>
      </w:r>
      <w:r w:rsidR="00BC0041" w:rsidRPr="00731644">
        <w:rPr>
          <w:lang w:val="fr-CH"/>
        </w:rPr>
        <w:t xml:space="preserve">Les femmes sont peu représentées </w:t>
      </w:r>
      <w:r w:rsidR="00BF7C22" w:rsidRPr="00731644">
        <w:rPr>
          <w:lang w:val="fr-CH"/>
        </w:rPr>
        <w:t xml:space="preserve">aussi </w:t>
      </w:r>
      <w:r w:rsidR="0069614E" w:rsidRPr="00731644">
        <w:rPr>
          <w:lang w:val="fr-CH"/>
        </w:rPr>
        <w:t>dans les postes de décision à l</w:t>
      </w:r>
      <w:r w:rsidR="00425386" w:rsidRPr="00731644">
        <w:rPr>
          <w:lang w:val="fr-CH"/>
        </w:rPr>
        <w:t>’</w:t>
      </w:r>
      <w:r w:rsidR="0069614E" w:rsidRPr="00731644">
        <w:rPr>
          <w:lang w:val="fr-CH"/>
        </w:rPr>
        <w:t xml:space="preserve">échelon local. </w:t>
      </w:r>
      <w:r w:rsidR="00955254" w:rsidRPr="00731644">
        <w:rPr>
          <w:lang w:val="fr-CH"/>
        </w:rPr>
        <w:t>Une seule des</w:t>
      </w:r>
      <w:r w:rsidR="0069614E" w:rsidRPr="00731644">
        <w:rPr>
          <w:lang w:val="fr-CH"/>
        </w:rPr>
        <w:t xml:space="preserve"> </w:t>
      </w:r>
      <w:r w:rsidR="00E707D7" w:rsidRPr="00731644">
        <w:rPr>
          <w:lang w:val="fr-CH"/>
        </w:rPr>
        <w:t>21 municipalit</w:t>
      </w:r>
      <w:r w:rsidR="0069614E" w:rsidRPr="00731644">
        <w:rPr>
          <w:lang w:val="fr-CH"/>
        </w:rPr>
        <w:t>és</w:t>
      </w:r>
      <w:r w:rsidR="00156634" w:rsidRPr="00731644">
        <w:rPr>
          <w:lang w:val="fr-CH"/>
        </w:rPr>
        <w:t xml:space="preserve"> a une </w:t>
      </w:r>
      <w:r w:rsidR="0069614E" w:rsidRPr="00731644">
        <w:rPr>
          <w:lang w:val="fr-CH"/>
        </w:rPr>
        <w:t xml:space="preserve">femme </w:t>
      </w:r>
      <w:r w:rsidR="00156634" w:rsidRPr="00731644">
        <w:rPr>
          <w:lang w:val="fr-CH"/>
        </w:rPr>
        <w:t>pour présidente</w:t>
      </w:r>
      <w:r w:rsidR="00F31DD5" w:rsidRPr="00731644">
        <w:rPr>
          <w:lang w:val="fr-CH"/>
        </w:rPr>
        <w:t>;</w:t>
      </w:r>
      <w:r w:rsidR="00156634" w:rsidRPr="00731644">
        <w:rPr>
          <w:lang w:val="fr-CH"/>
        </w:rPr>
        <w:t xml:space="preserve"> </w:t>
      </w:r>
      <w:r w:rsidR="0069614E" w:rsidRPr="00731644">
        <w:rPr>
          <w:lang w:val="fr-CH"/>
        </w:rPr>
        <w:t>deux femmes sont vice-présidentes.</w:t>
      </w:r>
      <w:r w:rsidR="00F31DD5" w:rsidRPr="00731644">
        <w:rPr>
          <w:lang w:val="fr-CH"/>
        </w:rPr>
        <w:t xml:space="preserve"> </w:t>
      </w:r>
      <w:r w:rsidR="00955254" w:rsidRPr="00731644">
        <w:rPr>
          <w:lang w:val="fr-CH"/>
        </w:rPr>
        <w:t>Quatre femmes</w:t>
      </w:r>
      <w:r w:rsidR="0069614E" w:rsidRPr="00731644">
        <w:rPr>
          <w:lang w:val="fr-CH"/>
        </w:rPr>
        <w:t xml:space="preserve"> préside</w:t>
      </w:r>
      <w:r w:rsidR="00955254" w:rsidRPr="00731644">
        <w:rPr>
          <w:lang w:val="fr-CH"/>
        </w:rPr>
        <w:t>nt</w:t>
      </w:r>
      <w:r w:rsidR="0069614E" w:rsidRPr="00731644">
        <w:rPr>
          <w:lang w:val="fr-CH"/>
        </w:rPr>
        <w:t xml:space="preserve"> </w:t>
      </w:r>
      <w:r w:rsidR="00A66512" w:rsidRPr="00731644">
        <w:rPr>
          <w:lang w:val="fr-CH"/>
        </w:rPr>
        <w:t>un</w:t>
      </w:r>
      <w:r w:rsidR="00BF7C22" w:rsidRPr="00731644">
        <w:rPr>
          <w:lang w:val="fr-CH"/>
        </w:rPr>
        <w:t>e</w:t>
      </w:r>
      <w:r w:rsidR="00A66512" w:rsidRPr="00731644">
        <w:rPr>
          <w:lang w:val="fr-CH"/>
        </w:rPr>
        <w:t xml:space="preserve"> assemblé</w:t>
      </w:r>
      <w:r w:rsidR="00BF7C22" w:rsidRPr="00731644">
        <w:rPr>
          <w:lang w:val="fr-CH"/>
        </w:rPr>
        <w:t>e</w:t>
      </w:r>
      <w:r w:rsidR="00A66512" w:rsidRPr="00731644">
        <w:rPr>
          <w:lang w:val="fr-CH"/>
        </w:rPr>
        <w:t xml:space="preserve"> municipal</w:t>
      </w:r>
      <w:r w:rsidR="00BF7C22" w:rsidRPr="00731644">
        <w:rPr>
          <w:lang w:val="fr-CH"/>
        </w:rPr>
        <w:t>e</w:t>
      </w:r>
      <w:r w:rsidR="0069614E" w:rsidRPr="00731644">
        <w:rPr>
          <w:lang w:val="fr-CH"/>
        </w:rPr>
        <w:t>, deux exerce</w:t>
      </w:r>
      <w:r w:rsidR="00955254" w:rsidRPr="00731644">
        <w:rPr>
          <w:lang w:val="fr-CH"/>
        </w:rPr>
        <w:t>nt</w:t>
      </w:r>
      <w:r w:rsidR="0069614E" w:rsidRPr="00731644">
        <w:rPr>
          <w:lang w:val="fr-CH"/>
        </w:rPr>
        <w:t xml:space="preserve"> les fonctions d</w:t>
      </w:r>
      <w:r w:rsidR="00425386" w:rsidRPr="00731644">
        <w:rPr>
          <w:lang w:val="fr-CH"/>
        </w:rPr>
        <w:t>’</w:t>
      </w:r>
      <w:r w:rsidR="0069614E" w:rsidRPr="00731644">
        <w:rPr>
          <w:lang w:val="fr-CH"/>
        </w:rPr>
        <w:t xml:space="preserve">administrateur principal et une occupe le poste de </w:t>
      </w:r>
      <w:r w:rsidR="003956FC" w:rsidRPr="00731644">
        <w:rPr>
          <w:lang w:val="fr-CH"/>
        </w:rPr>
        <w:t>gestionnaire</w:t>
      </w:r>
      <w:r w:rsidR="00E707D7" w:rsidRPr="00731644">
        <w:rPr>
          <w:lang w:val="fr-CH"/>
        </w:rPr>
        <w:t>.</w:t>
      </w:r>
    </w:p>
    <w:p w:rsidR="0093719A" w:rsidRPr="00731644" w:rsidRDefault="007A774E" w:rsidP="00E707D7">
      <w:pPr>
        <w:pStyle w:val="SingleTxtG"/>
        <w:rPr>
          <w:lang w:val="fr-CH"/>
        </w:rPr>
      </w:pPr>
      <w:r w:rsidRPr="00731644">
        <w:rPr>
          <w:lang w:val="fr-CH"/>
        </w:rPr>
        <w:t>30.</w:t>
      </w:r>
      <w:r w:rsidRPr="00731644">
        <w:rPr>
          <w:lang w:val="fr-CH"/>
        </w:rPr>
        <w:tab/>
      </w:r>
      <w:r w:rsidR="00BF7C22" w:rsidRPr="00731644">
        <w:rPr>
          <w:lang w:val="fr-CH"/>
        </w:rPr>
        <w:t xml:space="preserve">Les femmes sont assez largement présentes dans la </w:t>
      </w:r>
      <w:r w:rsidR="0069614E" w:rsidRPr="00731644">
        <w:rPr>
          <w:lang w:val="fr-CH"/>
        </w:rPr>
        <w:t>magistrature</w:t>
      </w:r>
      <w:r w:rsidR="00BF7C22" w:rsidRPr="00731644">
        <w:rPr>
          <w:lang w:val="fr-CH"/>
        </w:rPr>
        <w:t xml:space="preserve">. </w:t>
      </w:r>
      <w:r w:rsidR="0093719A" w:rsidRPr="00731644">
        <w:rPr>
          <w:lang w:val="fr-CH"/>
        </w:rPr>
        <w:t>Ce sont des femmes qui exercent l</w:t>
      </w:r>
      <w:r w:rsidR="0069614E" w:rsidRPr="00731644">
        <w:rPr>
          <w:lang w:val="fr-CH"/>
        </w:rPr>
        <w:t>e</w:t>
      </w:r>
      <w:r w:rsidR="0093719A" w:rsidRPr="00731644">
        <w:rPr>
          <w:lang w:val="fr-CH"/>
        </w:rPr>
        <w:t>s fonctions de</w:t>
      </w:r>
      <w:r w:rsidR="0069614E" w:rsidRPr="00731644">
        <w:rPr>
          <w:lang w:val="fr-CH"/>
        </w:rPr>
        <w:t xml:space="preserve"> Procureur suprême de l</w:t>
      </w:r>
      <w:r w:rsidR="00425386" w:rsidRPr="00731644">
        <w:rPr>
          <w:lang w:val="fr-CH"/>
        </w:rPr>
        <w:t>’</w:t>
      </w:r>
      <w:r w:rsidR="0069614E" w:rsidRPr="00731644">
        <w:rPr>
          <w:lang w:val="fr-CH"/>
        </w:rPr>
        <w:t xml:space="preserve">État </w:t>
      </w:r>
      <w:r w:rsidR="0093719A" w:rsidRPr="00731644">
        <w:rPr>
          <w:lang w:val="fr-CH"/>
        </w:rPr>
        <w:t>et de Président de la Cour suprême</w:t>
      </w:r>
      <w:r w:rsidR="00E707D7" w:rsidRPr="00731644">
        <w:rPr>
          <w:lang w:val="fr-CH"/>
        </w:rPr>
        <w:t>.</w:t>
      </w:r>
      <w:r w:rsidR="0093719A" w:rsidRPr="00731644">
        <w:rPr>
          <w:lang w:val="fr-CH"/>
        </w:rPr>
        <w:t xml:space="preserve"> Le Conseil de la magis</w:t>
      </w:r>
      <w:r w:rsidR="00955254" w:rsidRPr="00731644">
        <w:rPr>
          <w:lang w:val="fr-CH"/>
        </w:rPr>
        <w:t>t</w:t>
      </w:r>
      <w:r w:rsidR="0093719A" w:rsidRPr="00731644">
        <w:rPr>
          <w:lang w:val="fr-CH"/>
        </w:rPr>
        <w:t xml:space="preserve">rature est présidé par une femme et </w:t>
      </w:r>
      <w:r w:rsidR="00955254" w:rsidRPr="00731644">
        <w:rPr>
          <w:lang w:val="fr-CH"/>
        </w:rPr>
        <w:t xml:space="preserve">en compte </w:t>
      </w:r>
      <w:r w:rsidR="0093719A" w:rsidRPr="00731644">
        <w:rPr>
          <w:lang w:val="fr-CH"/>
        </w:rPr>
        <w:t xml:space="preserve">trois </w:t>
      </w:r>
      <w:r w:rsidR="00955254" w:rsidRPr="00731644">
        <w:rPr>
          <w:lang w:val="fr-CH"/>
        </w:rPr>
        <w:t>autres parmi</w:t>
      </w:r>
      <w:r w:rsidR="0093719A" w:rsidRPr="00731644">
        <w:rPr>
          <w:lang w:val="fr-CH"/>
        </w:rPr>
        <w:t xml:space="preserve"> ses</w:t>
      </w:r>
      <w:r w:rsidR="00E707D7" w:rsidRPr="00731644">
        <w:rPr>
          <w:lang w:val="fr-CH"/>
        </w:rPr>
        <w:t xml:space="preserve"> </w:t>
      </w:r>
      <w:r w:rsidR="0093719A" w:rsidRPr="00731644">
        <w:rPr>
          <w:lang w:val="fr-CH"/>
        </w:rPr>
        <w:t xml:space="preserve">neuf membres. Quant au Conseil des procureurs, quatre </w:t>
      </w:r>
      <w:r w:rsidR="00955254" w:rsidRPr="00731644">
        <w:rPr>
          <w:lang w:val="fr-CH"/>
        </w:rPr>
        <w:t xml:space="preserve">de ses dix sièges sont occupés par des </w:t>
      </w:r>
      <w:r w:rsidR="0093719A" w:rsidRPr="00731644">
        <w:rPr>
          <w:lang w:val="fr-CH"/>
        </w:rPr>
        <w:t xml:space="preserve">femmes. </w:t>
      </w:r>
    </w:p>
    <w:p w:rsidR="00E707D7" w:rsidRPr="00731644" w:rsidRDefault="007A774E" w:rsidP="00E707D7">
      <w:pPr>
        <w:pStyle w:val="SingleTxtG"/>
        <w:rPr>
          <w:lang w:val="fr-CH"/>
        </w:rPr>
      </w:pPr>
      <w:r w:rsidRPr="00731644">
        <w:rPr>
          <w:lang w:val="fr-CH"/>
        </w:rPr>
        <w:t>31.</w:t>
      </w:r>
      <w:r w:rsidRPr="00731644">
        <w:rPr>
          <w:lang w:val="fr-CH"/>
        </w:rPr>
        <w:tab/>
      </w:r>
      <w:r w:rsidR="00BA487D" w:rsidRPr="00731644">
        <w:rPr>
          <w:lang w:val="fr-CH"/>
        </w:rPr>
        <w:t>Afin de mieux familiariser les inspecteurs du travail et les inspecteurs de la sécurité du travail avec les principes fondamentaux de l</w:t>
      </w:r>
      <w:r w:rsidR="00425386" w:rsidRPr="00731644">
        <w:rPr>
          <w:lang w:val="fr-CH"/>
        </w:rPr>
        <w:t>’</w:t>
      </w:r>
      <w:r w:rsidR="00BA487D" w:rsidRPr="00731644">
        <w:rPr>
          <w:lang w:val="fr-CH"/>
        </w:rPr>
        <w:t>égalité des sexes, avec la législation nationale et le droit international en la matière et, surtout, avec leur application pratique, le Département de l</w:t>
      </w:r>
      <w:r w:rsidR="00425386" w:rsidRPr="00731644">
        <w:rPr>
          <w:lang w:val="fr-CH"/>
        </w:rPr>
        <w:t>’</w:t>
      </w:r>
      <w:r w:rsidR="00BA487D" w:rsidRPr="00731644">
        <w:rPr>
          <w:lang w:val="fr-CH"/>
        </w:rPr>
        <w:t xml:space="preserve">égalité des sexes a organisé à leur intention, en septembre </w:t>
      </w:r>
      <w:r w:rsidR="00E707D7" w:rsidRPr="00731644">
        <w:rPr>
          <w:lang w:val="fr-CH"/>
        </w:rPr>
        <w:t>2009</w:t>
      </w:r>
      <w:r w:rsidR="00BA487D" w:rsidRPr="00731644">
        <w:rPr>
          <w:lang w:val="fr-CH"/>
        </w:rPr>
        <w:t xml:space="preserve">, deux séminaires au cours desquels ont également été étudiés le harcèlement sexuel et </w:t>
      </w:r>
      <w:r w:rsidR="00F15547" w:rsidRPr="00731644">
        <w:rPr>
          <w:lang w:val="fr-CH"/>
        </w:rPr>
        <w:t>les brimades au travail</w:t>
      </w:r>
      <w:r w:rsidR="00E707D7" w:rsidRPr="00731644">
        <w:rPr>
          <w:lang w:val="fr-CH"/>
        </w:rPr>
        <w:t>.</w:t>
      </w:r>
    </w:p>
    <w:p w:rsidR="00E707D7" w:rsidRPr="00731644" w:rsidRDefault="007A774E" w:rsidP="00E707D7">
      <w:pPr>
        <w:pStyle w:val="SingleTxtG"/>
        <w:rPr>
          <w:lang w:val="fr-CH"/>
        </w:rPr>
      </w:pPr>
      <w:r w:rsidRPr="00731644">
        <w:rPr>
          <w:lang w:val="fr-CH"/>
        </w:rPr>
        <w:t>32.</w:t>
      </w:r>
      <w:r w:rsidRPr="00731644">
        <w:rPr>
          <w:lang w:val="fr-CH"/>
        </w:rPr>
        <w:tab/>
      </w:r>
      <w:r w:rsidR="00BA487D" w:rsidRPr="00731644">
        <w:rPr>
          <w:lang w:val="fr-CH"/>
        </w:rPr>
        <w:t>En collaboration avec l</w:t>
      </w:r>
      <w:r w:rsidR="00425386" w:rsidRPr="00731644">
        <w:rPr>
          <w:lang w:val="fr-CH"/>
        </w:rPr>
        <w:t>’</w:t>
      </w:r>
      <w:r w:rsidR="00BA487D" w:rsidRPr="00731644">
        <w:rPr>
          <w:lang w:val="fr-CH"/>
        </w:rPr>
        <w:t>Université d</w:t>
      </w:r>
      <w:r w:rsidR="00425386" w:rsidRPr="00731644">
        <w:rPr>
          <w:lang w:val="fr-CH"/>
        </w:rPr>
        <w:t>’</w:t>
      </w:r>
      <w:r w:rsidR="00BA487D" w:rsidRPr="00731644">
        <w:rPr>
          <w:lang w:val="fr-CH"/>
        </w:rPr>
        <w:t>Oslo, l</w:t>
      </w:r>
      <w:r w:rsidR="00425386" w:rsidRPr="00731644">
        <w:rPr>
          <w:lang w:val="fr-CH"/>
        </w:rPr>
        <w:t>’</w:t>
      </w:r>
      <w:r w:rsidR="00BA487D" w:rsidRPr="00731644">
        <w:rPr>
          <w:lang w:val="fr-CH"/>
        </w:rPr>
        <w:t>Université du Monténégro exécute depuis plusieurs années un projet d</w:t>
      </w:r>
      <w:r w:rsidR="00425386" w:rsidRPr="00731644">
        <w:rPr>
          <w:lang w:val="fr-CH"/>
        </w:rPr>
        <w:t>’</w:t>
      </w:r>
      <w:r w:rsidR="00BA487D" w:rsidRPr="00731644">
        <w:rPr>
          <w:lang w:val="fr-CH"/>
        </w:rPr>
        <w:t xml:space="preserve">introduction des études </w:t>
      </w:r>
      <w:r w:rsidR="00F15547" w:rsidRPr="00731644">
        <w:rPr>
          <w:lang w:val="fr-CH"/>
        </w:rPr>
        <w:t>du genre</w:t>
      </w:r>
      <w:r w:rsidR="00F31DD5" w:rsidRPr="00731644">
        <w:rPr>
          <w:lang w:val="fr-CH"/>
        </w:rPr>
        <w:t xml:space="preserve"> </w:t>
      </w:r>
      <w:r w:rsidR="00BA487D" w:rsidRPr="00731644">
        <w:rPr>
          <w:lang w:val="fr-CH"/>
        </w:rPr>
        <w:t>dans les programmes</w:t>
      </w:r>
      <w:r w:rsidR="00F15547" w:rsidRPr="00731644">
        <w:rPr>
          <w:lang w:val="fr-CH"/>
        </w:rPr>
        <w:t xml:space="preserve"> universitaires</w:t>
      </w:r>
      <w:r w:rsidR="00BA487D" w:rsidRPr="00731644">
        <w:rPr>
          <w:lang w:val="fr-CH"/>
        </w:rPr>
        <w:t>.</w:t>
      </w:r>
      <w:r w:rsidR="003956FC" w:rsidRPr="00731644">
        <w:rPr>
          <w:lang w:val="fr-CH"/>
        </w:rPr>
        <w:t xml:space="preserve"> </w:t>
      </w:r>
      <w:r w:rsidR="00F15547" w:rsidRPr="00731644">
        <w:rPr>
          <w:lang w:val="fr-CH"/>
        </w:rPr>
        <w:t>C</w:t>
      </w:r>
      <w:r w:rsidR="00425386" w:rsidRPr="00731644">
        <w:rPr>
          <w:lang w:val="fr-CH"/>
        </w:rPr>
        <w:t>’</w:t>
      </w:r>
      <w:r w:rsidR="00F15547" w:rsidRPr="00731644">
        <w:rPr>
          <w:lang w:val="fr-CH"/>
        </w:rPr>
        <w:t>est ainsi qu</w:t>
      </w:r>
      <w:r w:rsidR="00425386" w:rsidRPr="00731644">
        <w:rPr>
          <w:lang w:val="fr-CH"/>
        </w:rPr>
        <w:t>’</w:t>
      </w:r>
      <w:r w:rsidR="003956FC" w:rsidRPr="00731644">
        <w:rPr>
          <w:lang w:val="fr-CH"/>
        </w:rPr>
        <w:t>ont été organisés à la faculté de philosophie une série d</w:t>
      </w:r>
      <w:r w:rsidR="00425386" w:rsidRPr="00731644">
        <w:rPr>
          <w:lang w:val="fr-CH"/>
        </w:rPr>
        <w:t>’</w:t>
      </w:r>
      <w:r w:rsidR="003956FC" w:rsidRPr="00731644">
        <w:rPr>
          <w:lang w:val="fr-CH"/>
        </w:rPr>
        <w:t xml:space="preserve">ateliers et de séminaires </w:t>
      </w:r>
      <w:r w:rsidR="00F15547" w:rsidRPr="00731644">
        <w:rPr>
          <w:lang w:val="fr-CH"/>
        </w:rPr>
        <w:t>et</w:t>
      </w:r>
      <w:r w:rsidR="00F31DD5" w:rsidRPr="00731644">
        <w:rPr>
          <w:lang w:val="fr-CH"/>
        </w:rPr>
        <w:t xml:space="preserve"> </w:t>
      </w:r>
      <w:r w:rsidR="003956FC" w:rsidRPr="00731644">
        <w:rPr>
          <w:lang w:val="fr-CH"/>
        </w:rPr>
        <w:t xml:space="preserve">des travaux de recherche visant essentiellement à </w:t>
      </w:r>
      <w:r w:rsidR="00A66512" w:rsidRPr="00731644">
        <w:rPr>
          <w:lang w:val="fr-CH"/>
        </w:rPr>
        <w:t>permettre</w:t>
      </w:r>
      <w:r w:rsidR="00F15547" w:rsidRPr="00731644">
        <w:rPr>
          <w:lang w:val="fr-CH"/>
        </w:rPr>
        <w:t xml:space="preserve"> de mieux comprendre les</w:t>
      </w:r>
      <w:r w:rsidR="003956FC" w:rsidRPr="00731644">
        <w:rPr>
          <w:lang w:val="fr-CH"/>
        </w:rPr>
        <w:t xml:space="preserve"> relations entre les sexes et à </w:t>
      </w:r>
      <w:r w:rsidR="00F15547" w:rsidRPr="00731644">
        <w:rPr>
          <w:lang w:val="fr-CH"/>
        </w:rPr>
        <w:t>diffuser c</w:t>
      </w:r>
      <w:r w:rsidR="003956FC" w:rsidRPr="00731644">
        <w:rPr>
          <w:lang w:val="fr-CH"/>
        </w:rPr>
        <w:t xml:space="preserve">es connaissances </w:t>
      </w:r>
      <w:r w:rsidR="00F15547" w:rsidRPr="00731644">
        <w:rPr>
          <w:lang w:val="fr-CH"/>
        </w:rPr>
        <w:t>auprès des</w:t>
      </w:r>
      <w:r w:rsidR="003956FC" w:rsidRPr="00731644">
        <w:rPr>
          <w:lang w:val="fr-CH"/>
        </w:rPr>
        <w:t xml:space="preserve"> professeurs d</w:t>
      </w:r>
      <w:r w:rsidR="00425386" w:rsidRPr="00731644">
        <w:rPr>
          <w:lang w:val="fr-CH"/>
        </w:rPr>
        <w:t>’</w:t>
      </w:r>
      <w:r w:rsidR="003956FC" w:rsidRPr="00731644">
        <w:rPr>
          <w:lang w:val="fr-CH"/>
        </w:rPr>
        <w:t xml:space="preserve">université et </w:t>
      </w:r>
      <w:r w:rsidR="00F15547" w:rsidRPr="00731644">
        <w:rPr>
          <w:lang w:val="fr-CH"/>
        </w:rPr>
        <w:t>d</w:t>
      </w:r>
      <w:r w:rsidR="003956FC" w:rsidRPr="00731644">
        <w:rPr>
          <w:lang w:val="fr-CH"/>
        </w:rPr>
        <w:t xml:space="preserve">es étudiants des </w:t>
      </w:r>
      <w:r w:rsidR="00E707D7" w:rsidRPr="00731644">
        <w:rPr>
          <w:lang w:val="fr-CH"/>
        </w:rPr>
        <w:t>Balkans</w:t>
      </w:r>
      <w:r w:rsidR="008F5B4C" w:rsidRPr="00731644">
        <w:rPr>
          <w:lang w:val="fr-CH"/>
        </w:rPr>
        <w:t xml:space="preserve"> occidentaux</w:t>
      </w:r>
      <w:r w:rsidR="00E707D7" w:rsidRPr="00731644">
        <w:rPr>
          <w:lang w:val="fr-CH"/>
        </w:rPr>
        <w:t xml:space="preserve">. </w:t>
      </w:r>
      <w:r w:rsidR="008F5B4C" w:rsidRPr="00731644">
        <w:rPr>
          <w:lang w:val="fr-CH"/>
        </w:rPr>
        <w:t>Un cours d</w:t>
      </w:r>
      <w:r w:rsidR="00425386" w:rsidRPr="00731644">
        <w:rPr>
          <w:lang w:val="fr-CH"/>
        </w:rPr>
        <w:t>’</w:t>
      </w:r>
      <w:r w:rsidR="008F5B4C" w:rsidRPr="00731644">
        <w:rPr>
          <w:lang w:val="fr-CH"/>
        </w:rPr>
        <w:t xml:space="preserve">études </w:t>
      </w:r>
      <w:r w:rsidR="00F15547" w:rsidRPr="00731644">
        <w:rPr>
          <w:lang w:val="fr-CH"/>
        </w:rPr>
        <w:t>du genre</w:t>
      </w:r>
      <w:r w:rsidR="008F5B4C" w:rsidRPr="00731644">
        <w:rPr>
          <w:lang w:val="fr-CH"/>
        </w:rPr>
        <w:t xml:space="preserve"> a été organisé e</w:t>
      </w:r>
      <w:r w:rsidR="00E707D7" w:rsidRPr="00731644">
        <w:rPr>
          <w:lang w:val="fr-CH"/>
        </w:rPr>
        <w:t xml:space="preserve">n 2009 </w:t>
      </w:r>
      <w:r w:rsidR="008F5B4C" w:rsidRPr="00731644">
        <w:rPr>
          <w:lang w:val="fr-CH"/>
        </w:rPr>
        <w:t>et</w:t>
      </w:r>
      <w:r w:rsidR="00E707D7" w:rsidRPr="00731644">
        <w:rPr>
          <w:lang w:val="fr-CH"/>
        </w:rPr>
        <w:t xml:space="preserve"> 2010 </w:t>
      </w:r>
      <w:r w:rsidR="008F5B4C" w:rsidRPr="00731644">
        <w:rPr>
          <w:lang w:val="fr-CH"/>
        </w:rPr>
        <w:t>à l</w:t>
      </w:r>
      <w:r w:rsidR="00425386" w:rsidRPr="00731644">
        <w:rPr>
          <w:lang w:val="fr-CH"/>
        </w:rPr>
        <w:t>’</w:t>
      </w:r>
      <w:r w:rsidR="001E22AC" w:rsidRPr="00731644">
        <w:rPr>
          <w:lang w:val="fr-CH"/>
        </w:rPr>
        <w:t>U</w:t>
      </w:r>
      <w:r w:rsidR="008F5B4C" w:rsidRPr="00731644">
        <w:rPr>
          <w:lang w:val="fr-CH"/>
        </w:rPr>
        <w:t xml:space="preserve">niversité </w:t>
      </w:r>
      <w:r w:rsidR="001E22AC" w:rsidRPr="00731644">
        <w:rPr>
          <w:lang w:val="fr-CH"/>
        </w:rPr>
        <w:t>méditerranéenne</w:t>
      </w:r>
      <w:r w:rsidR="008F5B4C" w:rsidRPr="00731644">
        <w:rPr>
          <w:lang w:val="fr-CH"/>
        </w:rPr>
        <w:t xml:space="preserve"> par </w:t>
      </w:r>
      <w:r w:rsidR="001E22AC" w:rsidRPr="00731644">
        <w:rPr>
          <w:lang w:val="fr-CH"/>
        </w:rPr>
        <w:t xml:space="preserve">le </w:t>
      </w:r>
      <w:r w:rsidR="007F6627" w:rsidRPr="00731644">
        <w:rPr>
          <w:lang w:val="fr-CH"/>
        </w:rPr>
        <w:t>B</w:t>
      </w:r>
      <w:r w:rsidR="001E22AC" w:rsidRPr="00731644">
        <w:rPr>
          <w:lang w:val="fr-CH"/>
        </w:rPr>
        <w:t xml:space="preserve">ureau </w:t>
      </w:r>
      <w:r w:rsidR="008F5B4C" w:rsidRPr="00731644">
        <w:rPr>
          <w:lang w:val="fr-CH"/>
        </w:rPr>
        <w:t>de l</w:t>
      </w:r>
      <w:r w:rsidR="00425386" w:rsidRPr="00731644">
        <w:rPr>
          <w:lang w:val="fr-CH"/>
        </w:rPr>
        <w:t>’</w:t>
      </w:r>
      <w:r w:rsidR="008F5B4C" w:rsidRPr="00731644">
        <w:rPr>
          <w:lang w:val="fr-CH"/>
        </w:rPr>
        <w:t xml:space="preserve">égalité des sexes en coopération avec le bureau du PNUD à </w:t>
      </w:r>
      <w:r w:rsidR="00E707D7" w:rsidRPr="00731644">
        <w:rPr>
          <w:lang w:val="fr-CH"/>
        </w:rPr>
        <w:t xml:space="preserve">Podgorica. </w:t>
      </w:r>
      <w:r w:rsidR="008F5B4C" w:rsidRPr="00731644">
        <w:rPr>
          <w:lang w:val="fr-CH"/>
        </w:rPr>
        <w:t>L</w:t>
      </w:r>
      <w:r w:rsidR="00425386" w:rsidRPr="00731644">
        <w:rPr>
          <w:lang w:val="fr-CH"/>
        </w:rPr>
        <w:t>’</w:t>
      </w:r>
      <w:r w:rsidR="001E22AC" w:rsidRPr="00731644">
        <w:rPr>
          <w:lang w:val="fr-CH"/>
        </w:rPr>
        <w:t>U</w:t>
      </w:r>
      <w:r w:rsidR="008F5B4C" w:rsidRPr="00731644">
        <w:rPr>
          <w:lang w:val="fr-CH"/>
        </w:rPr>
        <w:t xml:space="preserve">niversité privée </w:t>
      </w:r>
      <w:r w:rsidR="001E22AC" w:rsidRPr="00731644">
        <w:rPr>
          <w:lang w:val="fr-CH"/>
        </w:rPr>
        <w:t>de Donja Gorica</w:t>
      </w:r>
      <w:r w:rsidR="008F5B4C" w:rsidRPr="00731644">
        <w:rPr>
          <w:lang w:val="fr-CH"/>
        </w:rPr>
        <w:t xml:space="preserve"> a également commencé à proposer un cours d</w:t>
      </w:r>
      <w:r w:rsidR="00425386" w:rsidRPr="00731644">
        <w:rPr>
          <w:lang w:val="fr-CH"/>
        </w:rPr>
        <w:t>’</w:t>
      </w:r>
      <w:r w:rsidR="008F5B4C" w:rsidRPr="00731644">
        <w:rPr>
          <w:lang w:val="fr-CH"/>
        </w:rPr>
        <w:t>études féminines au niveau de la maîtrise</w:t>
      </w:r>
      <w:r w:rsidR="00E707D7" w:rsidRPr="00731644">
        <w:rPr>
          <w:lang w:val="fr-CH"/>
        </w:rPr>
        <w:t xml:space="preserve">. </w:t>
      </w:r>
      <w:r w:rsidR="008F5B4C" w:rsidRPr="00731644">
        <w:rPr>
          <w:lang w:val="fr-CH"/>
        </w:rPr>
        <w:t>L</w:t>
      </w:r>
      <w:r w:rsidR="00425386" w:rsidRPr="00731644">
        <w:rPr>
          <w:lang w:val="fr-CH"/>
        </w:rPr>
        <w:t>’</w:t>
      </w:r>
      <w:r w:rsidR="001E22AC" w:rsidRPr="00731644">
        <w:rPr>
          <w:lang w:val="fr-CH"/>
        </w:rPr>
        <w:t xml:space="preserve">organisation non gouvernementale </w:t>
      </w:r>
      <w:r w:rsidR="002061AB">
        <w:rPr>
          <w:lang w:val="fr-CH"/>
        </w:rPr>
        <w:t>«</w:t>
      </w:r>
      <w:r w:rsidR="00E707D7" w:rsidRPr="00731644">
        <w:rPr>
          <w:lang w:val="fr-CH"/>
        </w:rPr>
        <w:t>Anima</w:t>
      </w:r>
      <w:r w:rsidR="002061AB">
        <w:rPr>
          <w:lang w:val="fr-CH"/>
        </w:rPr>
        <w:t>»</w:t>
      </w:r>
      <w:r w:rsidR="00E707D7" w:rsidRPr="00731644">
        <w:rPr>
          <w:lang w:val="fr-CH"/>
        </w:rPr>
        <w:t xml:space="preserve"> </w:t>
      </w:r>
      <w:r w:rsidR="001E22AC" w:rsidRPr="00731644">
        <w:rPr>
          <w:lang w:val="fr-CH"/>
        </w:rPr>
        <w:t xml:space="preserve">offre </w:t>
      </w:r>
      <w:r w:rsidR="008F5B4C" w:rsidRPr="00731644">
        <w:rPr>
          <w:lang w:val="fr-CH"/>
        </w:rPr>
        <w:t>depuis</w:t>
      </w:r>
      <w:r w:rsidR="00E707D7" w:rsidRPr="00731644">
        <w:rPr>
          <w:lang w:val="fr-CH"/>
        </w:rPr>
        <w:t xml:space="preserve"> 2002 </w:t>
      </w:r>
      <w:r w:rsidR="008F5B4C" w:rsidRPr="00731644">
        <w:rPr>
          <w:lang w:val="fr-CH"/>
        </w:rPr>
        <w:t>un</w:t>
      </w:r>
      <w:r w:rsidR="00E707D7" w:rsidRPr="00731644">
        <w:rPr>
          <w:lang w:val="fr-CH"/>
        </w:rPr>
        <w:t xml:space="preserve"> </w:t>
      </w:r>
      <w:r w:rsidR="00286F92" w:rsidRPr="00731644">
        <w:rPr>
          <w:lang w:val="fr-CH"/>
        </w:rPr>
        <w:t>programme</w:t>
      </w:r>
      <w:r w:rsidR="00E707D7" w:rsidRPr="00731644">
        <w:rPr>
          <w:lang w:val="fr-CH"/>
        </w:rPr>
        <w:t xml:space="preserve"> </w:t>
      </w:r>
      <w:r w:rsidR="008F5B4C" w:rsidRPr="00731644">
        <w:rPr>
          <w:lang w:val="fr-CH"/>
        </w:rPr>
        <w:t>d</w:t>
      </w:r>
      <w:r w:rsidR="00425386" w:rsidRPr="00731644">
        <w:rPr>
          <w:lang w:val="fr-CH"/>
        </w:rPr>
        <w:t>’</w:t>
      </w:r>
      <w:r w:rsidR="008F5B4C" w:rsidRPr="00731644">
        <w:rPr>
          <w:lang w:val="fr-CH"/>
        </w:rPr>
        <w:t xml:space="preserve">études féminines </w:t>
      </w:r>
      <w:r w:rsidR="001E22AC" w:rsidRPr="00731644">
        <w:rPr>
          <w:lang w:val="fr-CH"/>
        </w:rPr>
        <w:t>afin de</w:t>
      </w:r>
      <w:r w:rsidR="008F5B4C" w:rsidRPr="00731644">
        <w:rPr>
          <w:lang w:val="fr-CH"/>
        </w:rPr>
        <w:t xml:space="preserve"> </w:t>
      </w:r>
      <w:r w:rsidR="000F2FFA" w:rsidRPr="00731644">
        <w:rPr>
          <w:lang w:val="fr-CH"/>
        </w:rPr>
        <w:t xml:space="preserve">faire prendre conscience aux femmes de leurs capacités, </w:t>
      </w:r>
      <w:r w:rsidR="001E22AC" w:rsidRPr="00731644">
        <w:rPr>
          <w:lang w:val="fr-CH"/>
        </w:rPr>
        <w:t xml:space="preserve">de </w:t>
      </w:r>
      <w:r w:rsidR="000F2FFA" w:rsidRPr="00731644">
        <w:rPr>
          <w:lang w:val="fr-CH"/>
        </w:rPr>
        <w:t xml:space="preserve">faire progresser la théorie féministe et </w:t>
      </w:r>
      <w:r w:rsidR="001E22AC" w:rsidRPr="00731644">
        <w:rPr>
          <w:lang w:val="fr-CH"/>
        </w:rPr>
        <w:t>d</w:t>
      </w:r>
      <w:r w:rsidR="00425386" w:rsidRPr="00731644">
        <w:rPr>
          <w:lang w:val="fr-CH"/>
        </w:rPr>
        <w:t>’</w:t>
      </w:r>
      <w:r w:rsidR="000F2FFA" w:rsidRPr="00731644">
        <w:rPr>
          <w:lang w:val="fr-CH"/>
        </w:rPr>
        <w:t>encourager les femmes à participer à la vie publique.</w:t>
      </w:r>
    </w:p>
    <w:p w:rsidR="00E707D7" w:rsidRPr="00731644" w:rsidRDefault="007A774E" w:rsidP="00E707D7">
      <w:pPr>
        <w:pStyle w:val="SingleTxtG"/>
        <w:rPr>
          <w:lang w:val="fr-CH"/>
        </w:rPr>
      </w:pPr>
      <w:r w:rsidRPr="00731644">
        <w:rPr>
          <w:lang w:val="fr-CH"/>
        </w:rPr>
        <w:t>33.</w:t>
      </w:r>
      <w:r w:rsidRPr="00731644">
        <w:rPr>
          <w:lang w:val="fr-CH"/>
        </w:rPr>
        <w:tab/>
      </w:r>
      <w:r w:rsidR="000F2FFA" w:rsidRPr="00731644">
        <w:rPr>
          <w:lang w:val="fr-CH"/>
        </w:rPr>
        <w:t>L</w:t>
      </w:r>
      <w:r w:rsidR="00425386" w:rsidRPr="00731644">
        <w:rPr>
          <w:lang w:val="fr-CH"/>
        </w:rPr>
        <w:t>’</w:t>
      </w:r>
      <w:r w:rsidR="00E707D7" w:rsidRPr="00731644">
        <w:rPr>
          <w:lang w:val="fr-CH"/>
        </w:rPr>
        <w:t xml:space="preserve">Institut </w:t>
      </w:r>
      <w:r w:rsidR="000F2FFA" w:rsidRPr="00731644">
        <w:rPr>
          <w:lang w:val="fr-CH"/>
        </w:rPr>
        <w:t>d</w:t>
      </w:r>
      <w:r w:rsidR="00425386" w:rsidRPr="00731644">
        <w:rPr>
          <w:lang w:val="fr-CH"/>
        </w:rPr>
        <w:t>’</w:t>
      </w:r>
      <w:r w:rsidR="000F2FFA" w:rsidRPr="00731644">
        <w:rPr>
          <w:lang w:val="fr-CH"/>
        </w:rPr>
        <w:t>édition des manuels et des auxiliaires pédagogiques</w:t>
      </w:r>
      <w:r w:rsidR="001E22AC" w:rsidRPr="00731644">
        <w:rPr>
          <w:lang w:val="fr-CH"/>
        </w:rPr>
        <w:t xml:space="preserve"> </w:t>
      </w:r>
      <w:r w:rsidR="000F2FFA" w:rsidRPr="00731644">
        <w:rPr>
          <w:lang w:val="fr-CH"/>
        </w:rPr>
        <w:t xml:space="preserve">du Monténégro </w:t>
      </w:r>
      <w:r w:rsidR="001E22AC" w:rsidRPr="00731644">
        <w:rPr>
          <w:lang w:val="fr-CH"/>
        </w:rPr>
        <w:t>élabor</w:t>
      </w:r>
      <w:r w:rsidR="000F2FFA" w:rsidRPr="00731644">
        <w:rPr>
          <w:lang w:val="fr-CH"/>
        </w:rPr>
        <w:t xml:space="preserve">e une nouvelle génération </w:t>
      </w:r>
      <w:r w:rsidR="001E22AC" w:rsidRPr="00731644">
        <w:rPr>
          <w:lang w:val="fr-CH"/>
        </w:rPr>
        <w:t>de manuels</w:t>
      </w:r>
      <w:r w:rsidR="000F2FFA" w:rsidRPr="00731644">
        <w:rPr>
          <w:lang w:val="fr-CH"/>
        </w:rPr>
        <w:t xml:space="preserve"> scolaires, </w:t>
      </w:r>
      <w:r w:rsidR="001E22AC" w:rsidRPr="00731644">
        <w:rPr>
          <w:lang w:val="fr-CH"/>
        </w:rPr>
        <w:t xml:space="preserve">en veillant à ce que </w:t>
      </w:r>
      <w:r w:rsidR="000F2FFA" w:rsidRPr="00731644">
        <w:rPr>
          <w:lang w:val="fr-CH"/>
        </w:rPr>
        <w:t xml:space="preserve">ceux qui </w:t>
      </w:r>
      <w:r w:rsidR="001E22AC" w:rsidRPr="00731644">
        <w:rPr>
          <w:lang w:val="fr-CH"/>
        </w:rPr>
        <w:t>s</w:t>
      </w:r>
      <w:r w:rsidR="00425386" w:rsidRPr="00731644">
        <w:rPr>
          <w:lang w:val="fr-CH"/>
        </w:rPr>
        <w:t>’</w:t>
      </w:r>
      <w:r w:rsidR="001E22AC" w:rsidRPr="00731644">
        <w:rPr>
          <w:lang w:val="fr-CH"/>
        </w:rPr>
        <w:t>adressent</w:t>
      </w:r>
      <w:r w:rsidR="000F2FFA" w:rsidRPr="00731644">
        <w:rPr>
          <w:lang w:val="fr-CH"/>
        </w:rPr>
        <w:t xml:space="preserve"> aux </w:t>
      </w:r>
      <w:r w:rsidR="001E22AC" w:rsidRPr="00731644">
        <w:rPr>
          <w:lang w:val="fr-CH"/>
        </w:rPr>
        <w:t xml:space="preserve">élèves des </w:t>
      </w:r>
      <w:r w:rsidR="000F2FFA" w:rsidRPr="00731644">
        <w:rPr>
          <w:lang w:val="fr-CH"/>
        </w:rPr>
        <w:t>neuf années de l</w:t>
      </w:r>
      <w:r w:rsidR="00425386" w:rsidRPr="00731644">
        <w:rPr>
          <w:lang w:val="fr-CH"/>
        </w:rPr>
        <w:t>’</w:t>
      </w:r>
      <w:r w:rsidR="000F2FFA" w:rsidRPr="00731644">
        <w:rPr>
          <w:lang w:val="fr-CH"/>
        </w:rPr>
        <w:t>école élémentaire emplo</w:t>
      </w:r>
      <w:r w:rsidR="001E22AC" w:rsidRPr="00731644">
        <w:rPr>
          <w:lang w:val="fr-CH"/>
        </w:rPr>
        <w:t>ient</w:t>
      </w:r>
      <w:r w:rsidR="000F2FFA" w:rsidRPr="00731644">
        <w:rPr>
          <w:lang w:val="fr-CH"/>
        </w:rPr>
        <w:t xml:space="preserve"> un langage </w:t>
      </w:r>
      <w:r w:rsidR="00DD36F1" w:rsidRPr="00731644">
        <w:rPr>
          <w:lang w:val="fr-CH"/>
        </w:rPr>
        <w:t>tenant compte de la problématique hommes-femmes</w:t>
      </w:r>
      <w:r w:rsidR="000F2FFA" w:rsidRPr="00731644">
        <w:rPr>
          <w:lang w:val="fr-CH"/>
        </w:rPr>
        <w:t>.</w:t>
      </w:r>
      <w:r w:rsidR="00E707D7" w:rsidRPr="00731644">
        <w:rPr>
          <w:lang w:val="fr-CH"/>
        </w:rPr>
        <w:t xml:space="preserve"> </w:t>
      </w:r>
      <w:r w:rsidR="000F2FFA" w:rsidRPr="00731644">
        <w:rPr>
          <w:lang w:val="fr-CH"/>
        </w:rPr>
        <w:t xml:space="preserve">Le Bureau des services </w:t>
      </w:r>
      <w:r w:rsidR="001E22AC" w:rsidRPr="00731644">
        <w:rPr>
          <w:lang w:val="fr-CH"/>
        </w:rPr>
        <w:t>pédagogique</w:t>
      </w:r>
      <w:r w:rsidR="000F2FFA" w:rsidRPr="00731644">
        <w:rPr>
          <w:lang w:val="fr-CH"/>
        </w:rPr>
        <w:t xml:space="preserve">s </w:t>
      </w:r>
      <w:r w:rsidR="009030AE" w:rsidRPr="00731644">
        <w:rPr>
          <w:lang w:val="fr-CH"/>
        </w:rPr>
        <w:t xml:space="preserve">a fait appel à </w:t>
      </w:r>
      <w:r w:rsidR="000F2FFA" w:rsidRPr="00731644">
        <w:rPr>
          <w:lang w:val="fr-CH"/>
        </w:rPr>
        <w:t>une commission d</w:t>
      </w:r>
      <w:r w:rsidR="00425386" w:rsidRPr="00731644">
        <w:rPr>
          <w:lang w:val="fr-CH"/>
        </w:rPr>
        <w:t>’</w:t>
      </w:r>
      <w:r w:rsidR="000F2FFA" w:rsidRPr="00731644">
        <w:rPr>
          <w:lang w:val="fr-CH"/>
        </w:rPr>
        <w:t xml:space="preserve">experts pour </w:t>
      </w:r>
      <w:r w:rsidR="009030AE" w:rsidRPr="00731644">
        <w:rPr>
          <w:lang w:val="fr-CH"/>
        </w:rPr>
        <w:t>l</w:t>
      </w:r>
      <w:r w:rsidR="00425386" w:rsidRPr="00731644">
        <w:rPr>
          <w:lang w:val="fr-CH"/>
        </w:rPr>
        <w:t>’</w:t>
      </w:r>
      <w:r w:rsidR="009030AE" w:rsidRPr="00731644">
        <w:rPr>
          <w:lang w:val="fr-CH"/>
        </w:rPr>
        <w:t xml:space="preserve">aider à </w:t>
      </w:r>
      <w:r w:rsidR="000F2FFA" w:rsidRPr="00731644">
        <w:rPr>
          <w:lang w:val="fr-CH"/>
        </w:rPr>
        <w:t>lutter contre les stéréotypes sexistes dans les programmes d</w:t>
      </w:r>
      <w:r w:rsidR="00425386" w:rsidRPr="00731644">
        <w:rPr>
          <w:lang w:val="fr-CH"/>
        </w:rPr>
        <w:t>’</w:t>
      </w:r>
      <w:r w:rsidR="000F2FFA" w:rsidRPr="00731644">
        <w:rPr>
          <w:lang w:val="fr-CH"/>
        </w:rPr>
        <w:t xml:space="preserve">études. </w:t>
      </w:r>
      <w:r w:rsidR="009030AE" w:rsidRPr="00731644">
        <w:rPr>
          <w:lang w:val="fr-CH"/>
        </w:rPr>
        <w:t>L</w:t>
      </w:r>
      <w:r w:rsidR="00425386" w:rsidRPr="00731644">
        <w:rPr>
          <w:lang w:val="fr-CH"/>
        </w:rPr>
        <w:t>’</w:t>
      </w:r>
      <w:r w:rsidR="009030AE" w:rsidRPr="00731644">
        <w:rPr>
          <w:lang w:val="fr-CH"/>
        </w:rPr>
        <w:t xml:space="preserve">instruction civique est maintenant </w:t>
      </w:r>
      <w:r w:rsidR="00DD36F1" w:rsidRPr="00731644">
        <w:rPr>
          <w:lang w:val="fr-CH"/>
        </w:rPr>
        <w:t xml:space="preserve">une </w:t>
      </w:r>
      <w:r w:rsidR="009030AE" w:rsidRPr="00731644">
        <w:rPr>
          <w:lang w:val="fr-CH"/>
        </w:rPr>
        <w:t>matière obligatoire</w:t>
      </w:r>
      <w:r w:rsidR="00F31DD5" w:rsidRPr="00731644">
        <w:rPr>
          <w:lang w:val="fr-CH"/>
        </w:rPr>
        <w:t xml:space="preserve"> </w:t>
      </w:r>
      <w:r w:rsidR="009030AE" w:rsidRPr="00731644">
        <w:rPr>
          <w:lang w:val="fr-CH"/>
        </w:rPr>
        <w:t>dans les sixième et septième années d</w:t>
      </w:r>
      <w:r w:rsidR="00425386" w:rsidRPr="00731644">
        <w:rPr>
          <w:lang w:val="fr-CH"/>
        </w:rPr>
        <w:t>’</w:t>
      </w:r>
      <w:r w:rsidR="009030AE" w:rsidRPr="00731644">
        <w:rPr>
          <w:lang w:val="fr-CH"/>
        </w:rPr>
        <w:t>études</w:t>
      </w:r>
      <w:r w:rsidR="00F31DD5" w:rsidRPr="00731644">
        <w:rPr>
          <w:lang w:val="fr-CH"/>
        </w:rPr>
        <w:t>;</w:t>
      </w:r>
      <w:r w:rsidR="009030AE" w:rsidRPr="00731644">
        <w:rPr>
          <w:lang w:val="fr-CH"/>
        </w:rPr>
        <w:t xml:space="preserve"> </w:t>
      </w:r>
      <w:r w:rsidR="00DD36F1" w:rsidRPr="00731644">
        <w:rPr>
          <w:lang w:val="fr-CH"/>
        </w:rPr>
        <w:t>y sont</w:t>
      </w:r>
      <w:r w:rsidR="009030AE" w:rsidRPr="00731644">
        <w:rPr>
          <w:lang w:val="fr-CH"/>
        </w:rPr>
        <w:t xml:space="preserve"> trait</w:t>
      </w:r>
      <w:r w:rsidR="00DD36F1" w:rsidRPr="00731644">
        <w:rPr>
          <w:lang w:val="fr-CH"/>
        </w:rPr>
        <w:t>ées</w:t>
      </w:r>
      <w:r w:rsidR="009030AE" w:rsidRPr="00731644">
        <w:rPr>
          <w:lang w:val="fr-CH"/>
        </w:rPr>
        <w:t xml:space="preserve"> notamment l</w:t>
      </w:r>
      <w:r w:rsidR="00425386" w:rsidRPr="00731644">
        <w:rPr>
          <w:lang w:val="fr-CH"/>
        </w:rPr>
        <w:t>’</w:t>
      </w:r>
      <w:r w:rsidR="009030AE" w:rsidRPr="00731644">
        <w:rPr>
          <w:lang w:val="fr-CH"/>
        </w:rPr>
        <w:t xml:space="preserve">égalité des sexes et la violence familiale. </w:t>
      </w:r>
      <w:r w:rsidR="00DD36F1" w:rsidRPr="00731644">
        <w:rPr>
          <w:lang w:val="fr-CH"/>
        </w:rPr>
        <w:t>Elle</w:t>
      </w:r>
      <w:r w:rsidR="009030AE" w:rsidRPr="00731644">
        <w:rPr>
          <w:lang w:val="fr-CH"/>
        </w:rPr>
        <w:t xml:space="preserve"> est également devenu</w:t>
      </w:r>
      <w:r w:rsidR="00DD36F1" w:rsidRPr="00731644">
        <w:rPr>
          <w:lang w:val="fr-CH"/>
        </w:rPr>
        <w:t>e</w:t>
      </w:r>
      <w:r w:rsidR="009030AE" w:rsidRPr="00731644">
        <w:rPr>
          <w:lang w:val="fr-CH"/>
        </w:rPr>
        <w:t xml:space="preserve"> obligatoire dans les quatre première</w:t>
      </w:r>
      <w:r w:rsidR="00490AF1" w:rsidRPr="00731644">
        <w:rPr>
          <w:lang w:val="fr-CH"/>
        </w:rPr>
        <w:t>s</w:t>
      </w:r>
      <w:r w:rsidR="009030AE" w:rsidRPr="00731644">
        <w:rPr>
          <w:lang w:val="fr-CH"/>
        </w:rPr>
        <w:t xml:space="preserve"> années d</w:t>
      </w:r>
      <w:r w:rsidR="007F6627" w:rsidRPr="00731644">
        <w:rPr>
          <w:lang w:val="fr-CH"/>
        </w:rPr>
        <w:t>e</w:t>
      </w:r>
      <w:r w:rsidR="009030AE" w:rsidRPr="00731644">
        <w:rPr>
          <w:lang w:val="fr-CH"/>
        </w:rPr>
        <w:t xml:space="preserve"> lycée.</w:t>
      </w:r>
      <w:r w:rsidR="00F31DD5" w:rsidRPr="00731644">
        <w:rPr>
          <w:lang w:val="fr-CH"/>
        </w:rPr>
        <w:t xml:space="preserve"> </w:t>
      </w:r>
      <w:r w:rsidR="00DD36F1" w:rsidRPr="00731644">
        <w:rPr>
          <w:lang w:val="fr-CH"/>
        </w:rPr>
        <w:t>L</w:t>
      </w:r>
      <w:r w:rsidR="00425386" w:rsidRPr="00731644">
        <w:rPr>
          <w:lang w:val="fr-CH"/>
        </w:rPr>
        <w:t>’</w:t>
      </w:r>
      <w:r w:rsidR="009030AE" w:rsidRPr="00731644">
        <w:rPr>
          <w:lang w:val="fr-CH"/>
        </w:rPr>
        <w:t xml:space="preserve">année </w:t>
      </w:r>
      <w:r w:rsidR="00E707D7" w:rsidRPr="00731644">
        <w:rPr>
          <w:lang w:val="fr-CH"/>
        </w:rPr>
        <w:t xml:space="preserve">2006/2007, </w:t>
      </w:r>
      <w:r w:rsidR="009030AE" w:rsidRPr="00731644">
        <w:rPr>
          <w:lang w:val="fr-CH"/>
        </w:rPr>
        <w:t>un millier d</w:t>
      </w:r>
      <w:r w:rsidR="00425386" w:rsidRPr="00731644">
        <w:rPr>
          <w:lang w:val="fr-CH"/>
        </w:rPr>
        <w:t>’</w:t>
      </w:r>
      <w:r w:rsidR="009030AE" w:rsidRPr="00731644">
        <w:rPr>
          <w:lang w:val="fr-CH"/>
        </w:rPr>
        <w:t>élèves environ</w:t>
      </w:r>
      <w:r w:rsidR="00A92A8A" w:rsidRPr="00731644">
        <w:rPr>
          <w:lang w:val="fr-CH"/>
        </w:rPr>
        <w:t>, inscrits dans</w:t>
      </w:r>
      <w:r w:rsidR="009030AE" w:rsidRPr="00731644">
        <w:rPr>
          <w:lang w:val="fr-CH"/>
        </w:rPr>
        <w:t xml:space="preserve"> </w:t>
      </w:r>
      <w:r w:rsidR="00E707D7" w:rsidRPr="00731644">
        <w:rPr>
          <w:lang w:val="fr-CH"/>
        </w:rPr>
        <w:t xml:space="preserve">19 </w:t>
      </w:r>
      <w:r w:rsidR="007F6627" w:rsidRPr="00731644">
        <w:rPr>
          <w:lang w:val="fr-CH"/>
        </w:rPr>
        <w:t xml:space="preserve">des 23 </w:t>
      </w:r>
      <w:r w:rsidR="00A92A8A" w:rsidRPr="00731644">
        <w:rPr>
          <w:lang w:val="fr-CH"/>
        </w:rPr>
        <w:t>lycées</w:t>
      </w:r>
      <w:r w:rsidR="007F6627" w:rsidRPr="00731644">
        <w:rPr>
          <w:lang w:val="fr-CH"/>
        </w:rPr>
        <w:t>,</w:t>
      </w:r>
      <w:r w:rsidR="00A92A8A" w:rsidRPr="00731644">
        <w:rPr>
          <w:lang w:val="fr-CH"/>
        </w:rPr>
        <w:t xml:space="preserve"> avaient choisi cette matière</w:t>
      </w:r>
      <w:r w:rsidR="00E707D7" w:rsidRPr="00731644">
        <w:rPr>
          <w:lang w:val="fr-CH"/>
        </w:rPr>
        <w:t>.</w:t>
      </w:r>
    </w:p>
    <w:p w:rsidR="00E707D7" w:rsidRPr="00731644" w:rsidRDefault="007A774E" w:rsidP="00C85EB5">
      <w:pPr>
        <w:pStyle w:val="SingleTxtG"/>
        <w:rPr>
          <w:b/>
          <w:bCs/>
          <w:lang w:val="fr-CH"/>
        </w:rPr>
      </w:pPr>
      <w:bookmarkStart w:id="0" w:name="SADRZAJ_016"/>
      <w:bookmarkEnd w:id="0"/>
      <w:r w:rsidRPr="00731644">
        <w:rPr>
          <w:lang w:val="fr-CH"/>
        </w:rPr>
        <w:t>34.</w:t>
      </w:r>
      <w:r w:rsidRPr="00731644">
        <w:rPr>
          <w:lang w:val="fr-CH"/>
        </w:rPr>
        <w:tab/>
      </w:r>
      <w:r w:rsidR="00A92A8A" w:rsidRPr="00731644">
        <w:rPr>
          <w:lang w:val="fr-CH"/>
        </w:rPr>
        <w:t>Pour ce qui est de l</w:t>
      </w:r>
      <w:r w:rsidR="00425386" w:rsidRPr="00731644">
        <w:rPr>
          <w:lang w:val="fr-CH"/>
        </w:rPr>
        <w:t>’</w:t>
      </w:r>
      <w:r w:rsidR="00A92A8A" w:rsidRPr="00731644">
        <w:rPr>
          <w:lang w:val="fr-CH"/>
        </w:rPr>
        <w:t>égalité des femmes et des hommes dans la vie professionnelle, les données de l</w:t>
      </w:r>
      <w:r w:rsidR="00425386" w:rsidRPr="00731644">
        <w:rPr>
          <w:lang w:val="fr-CH"/>
        </w:rPr>
        <w:t>’</w:t>
      </w:r>
      <w:r w:rsidR="00A92A8A" w:rsidRPr="00731644">
        <w:rPr>
          <w:lang w:val="fr-CH"/>
        </w:rPr>
        <w:t>Agence pour l</w:t>
      </w:r>
      <w:r w:rsidR="00425386" w:rsidRPr="00731644">
        <w:rPr>
          <w:lang w:val="fr-CH"/>
        </w:rPr>
        <w:t>’</w:t>
      </w:r>
      <w:r w:rsidR="00A92A8A" w:rsidRPr="00731644">
        <w:rPr>
          <w:lang w:val="fr-CH"/>
        </w:rPr>
        <w:t>emploi établissent à 45</w:t>
      </w:r>
      <w:r w:rsidR="006443F6" w:rsidRPr="00731644">
        <w:rPr>
          <w:lang w:val="fr-CH"/>
        </w:rPr>
        <w:t>%</w:t>
      </w:r>
      <w:r w:rsidR="00A92A8A" w:rsidRPr="00731644">
        <w:rPr>
          <w:lang w:val="fr-CH"/>
        </w:rPr>
        <w:t xml:space="preserve"> environ la proportion de femmes parmi </w:t>
      </w:r>
      <w:r w:rsidR="00CB7658" w:rsidRPr="00731644">
        <w:rPr>
          <w:lang w:val="fr-CH"/>
        </w:rPr>
        <w:t>les personnes</w:t>
      </w:r>
      <w:r w:rsidR="00A92A8A" w:rsidRPr="00731644">
        <w:rPr>
          <w:lang w:val="fr-CH"/>
        </w:rPr>
        <w:t xml:space="preserve"> </w:t>
      </w:r>
      <w:r w:rsidR="008D5EA7" w:rsidRPr="00731644">
        <w:rPr>
          <w:lang w:val="fr-CH"/>
        </w:rPr>
        <w:t xml:space="preserve">au </w:t>
      </w:r>
      <w:r w:rsidR="00A92A8A" w:rsidRPr="00731644">
        <w:rPr>
          <w:lang w:val="fr-CH"/>
        </w:rPr>
        <w:t>ch</w:t>
      </w:r>
      <w:r w:rsidR="008D5EA7" w:rsidRPr="00731644">
        <w:rPr>
          <w:lang w:val="fr-CH"/>
        </w:rPr>
        <w:t>ômage</w:t>
      </w:r>
      <w:r w:rsidR="00A92A8A" w:rsidRPr="00731644">
        <w:rPr>
          <w:lang w:val="fr-CH"/>
        </w:rPr>
        <w:t>.</w:t>
      </w:r>
      <w:r w:rsidR="00E707D7" w:rsidRPr="00731644">
        <w:rPr>
          <w:lang w:val="fr-CH"/>
        </w:rPr>
        <w:t xml:space="preserve"> </w:t>
      </w:r>
      <w:r w:rsidR="00A92A8A" w:rsidRPr="00731644">
        <w:rPr>
          <w:lang w:val="fr-CH"/>
        </w:rPr>
        <w:t xml:space="preserve">Une analyse </w:t>
      </w:r>
      <w:r w:rsidR="00490AF1" w:rsidRPr="00731644">
        <w:rPr>
          <w:lang w:val="fr-CH"/>
        </w:rPr>
        <w:t>de</w:t>
      </w:r>
      <w:r w:rsidR="008D5EA7" w:rsidRPr="00731644">
        <w:rPr>
          <w:lang w:val="fr-CH"/>
        </w:rPr>
        <w:t xml:space="preserve"> leur</w:t>
      </w:r>
      <w:r w:rsidR="00490AF1" w:rsidRPr="00731644">
        <w:rPr>
          <w:lang w:val="fr-CH"/>
        </w:rPr>
        <w:t xml:space="preserve">s qualifications </w:t>
      </w:r>
      <w:r w:rsidR="00A92A8A" w:rsidRPr="00731644">
        <w:rPr>
          <w:lang w:val="fr-CH"/>
        </w:rPr>
        <w:t xml:space="preserve">révèle une prédominance de </w:t>
      </w:r>
      <w:r w:rsidR="008D5EA7" w:rsidRPr="00731644">
        <w:rPr>
          <w:lang w:val="fr-CH"/>
        </w:rPr>
        <w:t>celles qui ont</w:t>
      </w:r>
      <w:r w:rsidR="00A92A8A" w:rsidRPr="00731644">
        <w:rPr>
          <w:lang w:val="fr-CH"/>
        </w:rPr>
        <w:t xml:space="preserve"> fait des é</w:t>
      </w:r>
      <w:r w:rsidR="00490AF1" w:rsidRPr="00731644">
        <w:rPr>
          <w:lang w:val="fr-CH"/>
        </w:rPr>
        <w:t>tudes secondaires</w:t>
      </w:r>
      <w:r w:rsidR="00F31DD5" w:rsidRPr="00731644">
        <w:rPr>
          <w:lang w:val="fr-CH"/>
        </w:rPr>
        <w:t>:</w:t>
      </w:r>
      <w:r w:rsidR="00490AF1" w:rsidRPr="00731644">
        <w:rPr>
          <w:lang w:val="fr-CH"/>
        </w:rPr>
        <w:t xml:space="preserve"> 39</w:t>
      </w:r>
      <w:r w:rsidR="006443F6" w:rsidRPr="00731644">
        <w:rPr>
          <w:lang w:val="fr-CH"/>
        </w:rPr>
        <w:t>%</w:t>
      </w:r>
      <w:r w:rsidR="00490AF1" w:rsidRPr="00731644">
        <w:rPr>
          <w:lang w:val="fr-CH"/>
        </w:rPr>
        <w:t xml:space="preserve"> environ ont</w:t>
      </w:r>
      <w:r w:rsidR="00F31DD5" w:rsidRPr="00731644">
        <w:rPr>
          <w:lang w:val="fr-CH"/>
        </w:rPr>
        <w:t xml:space="preserve"> </w:t>
      </w:r>
      <w:r w:rsidR="00490AF1" w:rsidRPr="00731644">
        <w:rPr>
          <w:lang w:val="fr-CH"/>
        </w:rPr>
        <w:t xml:space="preserve">le niveau </w:t>
      </w:r>
      <w:r w:rsidR="007F6627" w:rsidRPr="00731644">
        <w:rPr>
          <w:lang w:val="fr-CH"/>
        </w:rPr>
        <w:t xml:space="preserve">de qualification </w:t>
      </w:r>
      <w:r w:rsidR="00E707D7" w:rsidRPr="00731644">
        <w:rPr>
          <w:lang w:val="fr-CH"/>
        </w:rPr>
        <w:t>IV</w:t>
      </w:r>
      <w:r w:rsidR="00490AF1" w:rsidRPr="00731644">
        <w:rPr>
          <w:lang w:val="fr-CH"/>
        </w:rPr>
        <w:t>, 24</w:t>
      </w:r>
      <w:r w:rsidR="006443F6" w:rsidRPr="00731644">
        <w:rPr>
          <w:lang w:val="fr-CH"/>
        </w:rPr>
        <w:t>%</w:t>
      </w:r>
      <w:r w:rsidR="00490AF1" w:rsidRPr="00731644">
        <w:rPr>
          <w:lang w:val="fr-CH"/>
        </w:rPr>
        <w:t xml:space="preserve"> le niveau III et 16</w:t>
      </w:r>
      <w:r w:rsidR="006443F6" w:rsidRPr="00731644">
        <w:rPr>
          <w:lang w:val="fr-CH"/>
        </w:rPr>
        <w:t>%</w:t>
      </w:r>
      <w:r w:rsidR="00F31DD5" w:rsidRPr="00731644">
        <w:rPr>
          <w:lang w:val="fr-CH"/>
        </w:rPr>
        <w:t xml:space="preserve"> </w:t>
      </w:r>
      <w:r w:rsidR="00490AF1" w:rsidRPr="00731644">
        <w:rPr>
          <w:lang w:val="fr-CH"/>
        </w:rPr>
        <w:t>n</w:t>
      </w:r>
      <w:r w:rsidR="00425386" w:rsidRPr="00731644">
        <w:rPr>
          <w:lang w:val="fr-CH"/>
        </w:rPr>
        <w:t>’</w:t>
      </w:r>
      <w:r w:rsidR="00490AF1" w:rsidRPr="00731644">
        <w:rPr>
          <w:lang w:val="fr-CH"/>
        </w:rPr>
        <w:t>ont pas de qualification. La situation et les tendances actuelles font apparaître une baisse continue de</w:t>
      </w:r>
      <w:r w:rsidR="00E707D7" w:rsidRPr="00731644">
        <w:rPr>
          <w:lang w:val="fr-CH"/>
        </w:rPr>
        <w:t xml:space="preserve"> </w:t>
      </w:r>
      <w:r w:rsidR="00490AF1" w:rsidRPr="00731644">
        <w:rPr>
          <w:lang w:val="fr-CH"/>
        </w:rPr>
        <w:t xml:space="preserve">la part des femmes parmi </w:t>
      </w:r>
      <w:r w:rsidR="00CB7658" w:rsidRPr="00731644">
        <w:rPr>
          <w:lang w:val="fr-CH"/>
        </w:rPr>
        <w:t>les personnes</w:t>
      </w:r>
      <w:r w:rsidR="00490AF1" w:rsidRPr="00731644">
        <w:rPr>
          <w:lang w:val="fr-CH"/>
        </w:rPr>
        <w:t xml:space="preserve"> </w:t>
      </w:r>
      <w:r w:rsidR="008D5EA7" w:rsidRPr="00731644">
        <w:rPr>
          <w:lang w:val="fr-CH"/>
        </w:rPr>
        <w:t>au chômage</w:t>
      </w:r>
      <w:r w:rsidR="00F31DD5" w:rsidRPr="00731644">
        <w:rPr>
          <w:lang w:val="fr-CH"/>
        </w:rPr>
        <w:t>:</w:t>
      </w:r>
      <w:r w:rsidR="00E707D7" w:rsidRPr="00731644">
        <w:rPr>
          <w:lang w:val="fr-CH"/>
        </w:rPr>
        <w:t xml:space="preserve"> </w:t>
      </w:r>
      <w:r w:rsidR="00490AF1" w:rsidRPr="00731644">
        <w:rPr>
          <w:lang w:val="fr-CH"/>
        </w:rPr>
        <w:t xml:space="preserve">elle est passée en effet de </w:t>
      </w:r>
      <w:r w:rsidR="00E707D7" w:rsidRPr="00731644">
        <w:rPr>
          <w:lang w:val="fr-CH"/>
        </w:rPr>
        <w:t>45</w:t>
      </w:r>
      <w:r w:rsidR="00490AF1" w:rsidRPr="00731644">
        <w:rPr>
          <w:lang w:val="fr-CH"/>
        </w:rPr>
        <w:t>,</w:t>
      </w:r>
      <w:r w:rsidR="00E707D7" w:rsidRPr="00731644">
        <w:rPr>
          <w:lang w:val="fr-CH"/>
        </w:rPr>
        <w:t>64</w:t>
      </w:r>
      <w:r w:rsidR="006443F6" w:rsidRPr="00731644">
        <w:rPr>
          <w:lang w:val="fr-CH"/>
        </w:rPr>
        <w:t>%</w:t>
      </w:r>
      <w:r w:rsidR="00490AF1" w:rsidRPr="00731644">
        <w:rPr>
          <w:lang w:val="fr-CH"/>
        </w:rPr>
        <w:t xml:space="preserve"> au </w:t>
      </w:r>
      <w:r w:rsidR="00E707D7" w:rsidRPr="00731644">
        <w:rPr>
          <w:lang w:val="fr-CH"/>
        </w:rPr>
        <w:t xml:space="preserve">31 </w:t>
      </w:r>
      <w:r w:rsidR="00490AF1" w:rsidRPr="00731644">
        <w:rPr>
          <w:lang w:val="fr-CH"/>
        </w:rPr>
        <w:t>décembre</w:t>
      </w:r>
      <w:r w:rsidR="00E707D7" w:rsidRPr="00731644">
        <w:rPr>
          <w:lang w:val="fr-CH"/>
        </w:rPr>
        <w:t xml:space="preserve"> 2006</w:t>
      </w:r>
      <w:r w:rsidR="00490AF1" w:rsidRPr="00731644">
        <w:rPr>
          <w:lang w:val="fr-CH"/>
        </w:rPr>
        <w:t xml:space="preserve"> à</w:t>
      </w:r>
      <w:r w:rsidR="00F31DD5" w:rsidRPr="00731644">
        <w:rPr>
          <w:lang w:val="fr-CH"/>
        </w:rPr>
        <w:t xml:space="preserve"> </w:t>
      </w:r>
      <w:r w:rsidR="00E707D7" w:rsidRPr="00731644">
        <w:rPr>
          <w:lang w:val="fr-CH"/>
        </w:rPr>
        <w:t>44</w:t>
      </w:r>
      <w:r w:rsidR="00300292" w:rsidRPr="00731644">
        <w:rPr>
          <w:lang w:val="fr-CH"/>
        </w:rPr>
        <w:t>,</w:t>
      </w:r>
      <w:r w:rsidR="00E707D7" w:rsidRPr="00731644">
        <w:rPr>
          <w:lang w:val="fr-CH"/>
        </w:rPr>
        <w:t>52</w:t>
      </w:r>
      <w:r w:rsidR="006443F6" w:rsidRPr="00731644">
        <w:rPr>
          <w:lang w:val="fr-CH"/>
        </w:rPr>
        <w:t>%</w:t>
      </w:r>
      <w:r w:rsidR="00300292" w:rsidRPr="00731644">
        <w:rPr>
          <w:lang w:val="fr-CH"/>
        </w:rPr>
        <w:t xml:space="preserve"> au </w:t>
      </w:r>
      <w:r w:rsidR="00E707D7" w:rsidRPr="00731644">
        <w:rPr>
          <w:lang w:val="fr-CH"/>
        </w:rPr>
        <w:t xml:space="preserve">31 </w:t>
      </w:r>
      <w:r w:rsidR="00300292" w:rsidRPr="00731644">
        <w:rPr>
          <w:lang w:val="fr-CH"/>
        </w:rPr>
        <w:t>décembre</w:t>
      </w:r>
      <w:r w:rsidR="00E707D7" w:rsidRPr="00731644">
        <w:rPr>
          <w:lang w:val="fr-CH"/>
        </w:rPr>
        <w:t xml:space="preserve"> 2007, </w:t>
      </w:r>
      <w:r w:rsidR="00300292" w:rsidRPr="00731644">
        <w:rPr>
          <w:lang w:val="fr-CH"/>
        </w:rPr>
        <w:t xml:space="preserve">à </w:t>
      </w:r>
      <w:r w:rsidR="00E707D7" w:rsidRPr="00731644">
        <w:rPr>
          <w:lang w:val="fr-CH"/>
        </w:rPr>
        <w:t>44</w:t>
      </w:r>
      <w:r w:rsidR="00300292" w:rsidRPr="00731644">
        <w:rPr>
          <w:lang w:val="fr-CH"/>
        </w:rPr>
        <w:t>,</w:t>
      </w:r>
      <w:r w:rsidR="00E707D7" w:rsidRPr="00731644">
        <w:rPr>
          <w:lang w:val="fr-CH"/>
        </w:rPr>
        <w:t>89</w:t>
      </w:r>
      <w:r w:rsidR="006443F6" w:rsidRPr="00731644">
        <w:rPr>
          <w:lang w:val="fr-CH"/>
        </w:rPr>
        <w:t>%</w:t>
      </w:r>
      <w:r w:rsidR="00300292" w:rsidRPr="00731644">
        <w:rPr>
          <w:lang w:val="fr-CH"/>
        </w:rPr>
        <w:t xml:space="preserve"> au </w:t>
      </w:r>
      <w:r w:rsidR="00E707D7" w:rsidRPr="00731644">
        <w:rPr>
          <w:lang w:val="fr-CH"/>
        </w:rPr>
        <w:t xml:space="preserve">31 </w:t>
      </w:r>
      <w:r w:rsidR="00300292" w:rsidRPr="00731644">
        <w:rPr>
          <w:lang w:val="fr-CH"/>
        </w:rPr>
        <w:t>décembre</w:t>
      </w:r>
      <w:r w:rsidR="00E707D7" w:rsidRPr="00731644">
        <w:rPr>
          <w:lang w:val="fr-CH"/>
        </w:rPr>
        <w:t xml:space="preserve"> 2008, </w:t>
      </w:r>
      <w:r w:rsidR="00300292" w:rsidRPr="00731644">
        <w:rPr>
          <w:lang w:val="fr-CH"/>
        </w:rPr>
        <w:t>et à</w:t>
      </w:r>
      <w:r w:rsidR="00E707D7" w:rsidRPr="00731644">
        <w:rPr>
          <w:lang w:val="fr-CH"/>
        </w:rPr>
        <w:t xml:space="preserve"> 44</w:t>
      </w:r>
      <w:r w:rsidR="00300292" w:rsidRPr="00731644">
        <w:rPr>
          <w:lang w:val="fr-CH"/>
        </w:rPr>
        <w:t>,</w:t>
      </w:r>
      <w:r w:rsidR="00E707D7" w:rsidRPr="00731644">
        <w:rPr>
          <w:lang w:val="fr-CH"/>
        </w:rPr>
        <w:t>69</w:t>
      </w:r>
      <w:r w:rsidR="006443F6" w:rsidRPr="00731644">
        <w:rPr>
          <w:lang w:val="fr-CH"/>
        </w:rPr>
        <w:t>%</w:t>
      </w:r>
      <w:r w:rsidR="00300292" w:rsidRPr="00731644">
        <w:rPr>
          <w:lang w:val="fr-CH"/>
        </w:rPr>
        <w:t xml:space="preserve"> au </w:t>
      </w:r>
      <w:r w:rsidR="00E707D7" w:rsidRPr="00731644">
        <w:rPr>
          <w:lang w:val="fr-CH"/>
        </w:rPr>
        <w:t xml:space="preserve">15 </w:t>
      </w:r>
      <w:r w:rsidR="00300292" w:rsidRPr="00731644">
        <w:rPr>
          <w:lang w:val="fr-CH"/>
        </w:rPr>
        <w:t>mars</w:t>
      </w:r>
      <w:r w:rsidR="00E707D7" w:rsidRPr="00731644">
        <w:rPr>
          <w:lang w:val="fr-CH"/>
        </w:rPr>
        <w:t xml:space="preserve"> 2009.</w:t>
      </w:r>
      <w:r w:rsidR="00300292" w:rsidRPr="00731644">
        <w:rPr>
          <w:lang w:val="fr-CH"/>
        </w:rPr>
        <w:t xml:space="preserve"> </w:t>
      </w:r>
      <w:r w:rsidR="007D1364" w:rsidRPr="00731644">
        <w:rPr>
          <w:lang w:val="fr-CH"/>
        </w:rPr>
        <w:t>C</w:t>
      </w:r>
      <w:r w:rsidR="00300292" w:rsidRPr="00731644">
        <w:rPr>
          <w:lang w:val="fr-CH"/>
        </w:rPr>
        <w:t>ette tendance a été favorisée par la forte augmentation du recrutement dans des secteurs qui, d</w:t>
      </w:r>
      <w:r w:rsidR="00425386" w:rsidRPr="00731644">
        <w:rPr>
          <w:lang w:val="fr-CH"/>
        </w:rPr>
        <w:t>’</w:t>
      </w:r>
      <w:r w:rsidR="00300292" w:rsidRPr="00731644">
        <w:rPr>
          <w:lang w:val="fr-CH"/>
        </w:rPr>
        <w:t xml:space="preserve">une manière générale, emploient plutôt une </w:t>
      </w:r>
      <w:r w:rsidR="00A66512" w:rsidRPr="00731644">
        <w:rPr>
          <w:lang w:val="fr-CH"/>
        </w:rPr>
        <w:t>main-d</w:t>
      </w:r>
      <w:r w:rsidR="00425386" w:rsidRPr="00731644">
        <w:rPr>
          <w:lang w:val="fr-CH"/>
        </w:rPr>
        <w:t>’</w:t>
      </w:r>
      <w:r w:rsidR="00A66512" w:rsidRPr="00731644">
        <w:rPr>
          <w:lang w:val="fr-CH"/>
        </w:rPr>
        <w:t>œuvre</w:t>
      </w:r>
      <w:r w:rsidR="00E707D7" w:rsidRPr="00731644">
        <w:rPr>
          <w:lang w:val="fr-CH"/>
        </w:rPr>
        <w:t xml:space="preserve"> </w:t>
      </w:r>
      <w:r w:rsidR="00300292" w:rsidRPr="00731644">
        <w:rPr>
          <w:lang w:val="fr-CH"/>
        </w:rPr>
        <w:t>féminine (commerce, hôtellerie et restauration, tourisme, etc.</w:t>
      </w:r>
      <w:r w:rsidR="00E707D7" w:rsidRPr="00731644">
        <w:rPr>
          <w:lang w:val="fr-CH"/>
        </w:rPr>
        <w:t xml:space="preserve">). </w:t>
      </w:r>
      <w:r w:rsidR="00300292" w:rsidRPr="00731644">
        <w:rPr>
          <w:lang w:val="fr-CH"/>
        </w:rPr>
        <w:t>De plus</w:t>
      </w:r>
      <w:r w:rsidR="007F6627" w:rsidRPr="00731644">
        <w:rPr>
          <w:lang w:val="fr-CH"/>
        </w:rPr>
        <w:t>,</w:t>
      </w:r>
      <w:r w:rsidR="00300292" w:rsidRPr="00731644">
        <w:rPr>
          <w:lang w:val="fr-CH"/>
        </w:rPr>
        <w:t xml:space="preserve"> les femmes inscrites au chômage cherchent plus activement que les hommes un nouvel emploi, acceptent plus facilement celui qui leur est offert et suivent les programmes proposés par l</w:t>
      </w:r>
      <w:r w:rsidR="00425386" w:rsidRPr="00731644">
        <w:rPr>
          <w:lang w:val="fr-CH"/>
        </w:rPr>
        <w:t>’</w:t>
      </w:r>
      <w:r w:rsidR="00300292" w:rsidRPr="00731644">
        <w:rPr>
          <w:lang w:val="fr-CH"/>
        </w:rPr>
        <w:t>Agence pour l</w:t>
      </w:r>
      <w:r w:rsidR="00425386" w:rsidRPr="00731644">
        <w:rPr>
          <w:lang w:val="fr-CH"/>
        </w:rPr>
        <w:t>’</w:t>
      </w:r>
      <w:r w:rsidR="00300292" w:rsidRPr="00731644">
        <w:rPr>
          <w:lang w:val="fr-CH"/>
        </w:rPr>
        <w:t>emploi (formation professionnelle, recyclage, qualification additionnelle)</w:t>
      </w:r>
      <w:r w:rsidR="00E707D7" w:rsidRPr="00731644">
        <w:rPr>
          <w:lang w:val="fr-CH"/>
        </w:rPr>
        <w:t>.</w:t>
      </w:r>
      <w:r w:rsidR="00300292" w:rsidRPr="00731644">
        <w:rPr>
          <w:lang w:val="fr-CH"/>
        </w:rPr>
        <w:t xml:space="preserve"> Dans le cadre de </w:t>
      </w:r>
      <w:r w:rsidR="007D1364" w:rsidRPr="00731644">
        <w:rPr>
          <w:lang w:val="fr-CH"/>
        </w:rPr>
        <w:t>s</w:t>
      </w:r>
      <w:r w:rsidR="00300292" w:rsidRPr="00731644">
        <w:rPr>
          <w:lang w:val="fr-CH"/>
        </w:rPr>
        <w:t xml:space="preserve">a politique </w:t>
      </w:r>
      <w:r w:rsidR="007D1364" w:rsidRPr="00731644">
        <w:rPr>
          <w:lang w:val="fr-CH"/>
        </w:rPr>
        <w:t xml:space="preserve">dynamique </w:t>
      </w:r>
      <w:r w:rsidR="008A638B" w:rsidRPr="00731644">
        <w:rPr>
          <w:lang w:val="fr-CH"/>
        </w:rPr>
        <w:t>de</w:t>
      </w:r>
      <w:r w:rsidR="007D1364" w:rsidRPr="00731644">
        <w:rPr>
          <w:lang w:val="fr-CH"/>
        </w:rPr>
        <w:t xml:space="preserve"> l</w:t>
      </w:r>
      <w:r w:rsidR="00425386" w:rsidRPr="00731644">
        <w:rPr>
          <w:lang w:val="fr-CH"/>
        </w:rPr>
        <w:t>’</w:t>
      </w:r>
      <w:r w:rsidR="007D1364" w:rsidRPr="00731644">
        <w:rPr>
          <w:lang w:val="fr-CH"/>
        </w:rPr>
        <w:t>emploi</w:t>
      </w:r>
      <w:r w:rsidR="00300292" w:rsidRPr="00731644">
        <w:rPr>
          <w:lang w:val="fr-CH"/>
        </w:rPr>
        <w:t>, l</w:t>
      </w:r>
      <w:r w:rsidR="00425386" w:rsidRPr="00731644">
        <w:rPr>
          <w:lang w:val="fr-CH"/>
        </w:rPr>
        <w:t>’</w:t>
      </w:r>
      <w:r w:rsidR="00300292" w:rsidRPr="00731644">
        <w:rPr>
          <w:lang w:val="fr-CH"/>
        </w:rPr>
        <w:t>Agence applique un programme</w:t>
      </w:r>
      <w:r w:rsidR="00B94045" w:rsidRPr="00731644">
        <w:rPr>
          <w:lang w:val="fr-CH"/>
        </w:rPr>
        <w:t xml:space="preserve"> en faveur du travail indépendant. </w:t>
      </w:r>
      <w:r w:rsidR="007D1364" w:rsidRPr="00731644">
        <w:rPr>
          <w:lang w:val="fr-CH"/>
        </w:rPr>
        <w:t>De tout</w:t>
      </w:r>
      <w:r w:rsidR="00A66512" w:rsidRPr="00731644">
        <w:rPr>
          <w:lang w:val="fr-CH"/>
        </w:rPr>
        <w:t>e</w:t>
      </w:r>
      <w:r w:rsidR="007D1364" w:rsidRPr="00731644">
        <w:rPr>
          <w:lang w:val="fr-CH"/>
        </w:rPr>
        <w:t xml:space="preserve"> évidence,</w:t>
      </w:r>
      <w:r w:rsidR="00B94045" w:rsidRPr="00731644">
        <w:rPr>
          <w:lang w:val="fr-CH"/>
        </w:rPr>
        <w:t xml:space="preserve"> les entreprises gérées par des femmes </w:t>
      </w:r>
      <w:r w:rsidR="00A66512" w:rsidRPr="00731644">
        <w:rPr>
          <w:lang w:val="fr-CH"/>
        </w:rPr>
        <w:t>rencontrent</w:t>
      </w:r>
      <w:r w:rsidR="00B94045" w:rsidRPr="00731644">
        <w:rPr>
          <w:lang w:val="fr-CH"/>
        </w:rPr>
        <w:t xml:space="preserve"> un succès grandissant; cela est vrai non seulement des petites entreprises, mais aussi d</w:t>
      </w:r>
      <w:r w:rsidR="00425386" w:rsidRPr="00731644">
        <w:rPr>
          <w:lang w:val="fr-CH"/>
        </w:rPr>
        <w:t>’</w:t>
      </w:r>
      <w:r w:rsidR="00B94045" w:rsidRPr="00731644">
        <w:rPr>
          <w:lang w:val="fr-CH"/>
        </w:rPr>
        <w:t>activités dans des domaines considérés jusqu</w:t>
      </w:r>
      <w:r w:rsidR="00425386" w:rsidRPr="00731644">
        <w:rPr>
          <w:lang w:val="fr-CH"/>
        </w:rPr>
        <w:t>’</w:t>
      </w:r>
      <w:r w:rsidR="00B94045" w:rsidRPr="00731644">
        <w:rPr>
          <w:lang w:val="fr-CH"/>
        </w:rPr>
        <w:t xml:space="preserve">à </w:t>
      </w:r>
      <w:r w:rsidR="007D1364" w:rsidRPr="00731644">
        <w:rPr>
          <w:lang w:val="fr-CH"/>
        </w:rPr>
        <w:t>il y a peu</w:t>
      </w:r>
      <w:r w:rsidR="00B94045" w:rsidRPr="00731644">
        <w:rPr>
          <w:lang w:val="fr-CH"/>
        </w:rPr>
        <w:t xml:space="preserve"> comme atypiques</w:t>
      </w:r>
      <w:r w:rsidR="007D1364" w:rsidRPr="00731644">
        <w:rPr>
          <w:lang w:val="fr-CH"/>
        </w:rPr>
        <w:t xml:space="preserve"> </w:t>
      </w:r>
      <w:r w:rsidR="00B94045" w:rsidRPr="00731644">
        <w:rPr>
          <w:lang w:val="fr-CH"/>
        </w:rPr>
        <w:t xml:space="preserve">pour des femmes, </w:t>
      </w:r>
      <w:r w:rsidR="00857DE5" w:rsidRPr="00731644">
        <w:rPr>
          <w:lang w:val="fr-CH"/>
        </w:rPr>
        <w:t>tels</w:t>
      </w:r>
      <w:r w:rsidR="007D1364" w:rsidRPr="00731644">
        <w:rPr>
          <w:lang w:val="fr-CH"/>
        </w:rPr>
        <w:t xml:space="preserve"> </w:t>
      </w:r>
      <w:r w:rsidR="007F6627" w:rsidRPr="00731644">
        <w:rPr>
          <w:lang w:val="fr-CH"/>
        </w:rPr>
        <w:t xml:space="preserve">ceux de </w:t>
      </w:r>
      <w:r w:rsidR="00B94045" w:rsidRPr="00731644">
        <w:rPr>
          <w:lang w:val="fr-CH"/>
        </w:rPr>
        <w:t>l</w:t>
      </w:r>
      <w:r w:rsidR="00425386" w:rsidRPr="00731644">
        <w:rPr>
          <w:lang w:val="fr-CH"/>
        </w:rPr>
        <w:t>’</w:t>
      </w:r>
      <w:r w:rsidR="00B94045" w:rsidRPr="00731644">
        <w:rPr>
          <w:lang w:val="fr-CH"/>
        </w:rPr>
        <w:t xml:space="preserve">informatique, </w:t>
      </w:r>
      <w:r w:rsidR="00857DE5" w:rsidRPr="00731644">
        <w:rPr>
          <w:lang w:val="fr-CH"/>
        </w:rPr>
        <w:t xml:space="preserve">de </w:t>
      </w:r>
      <w:r w:rsidR="00B94045" w:rsidRPr="00731644">
        <w:rPr>
          <w:lang w:val="fr-CH"/>
        </w:rPr>
        <w:t>l</w:t>
      </w:r>
      <w:r w:rsidR="00425386" w:rsidRPr="00731644">
        <w:rPr>
          <w:lang w:val="fr-CH"/>
        </w:rPr>
        <w:t>’</w:t>
      </w:r>
      <w:r w:rsidR="00B94045" w:rsidRPr="00731644">
        <w:rPr>
          <w:lang w:val="fr-CH"/>
        </w:rPr>
        <w:t xml:space="preserve">ingénierie ou </w:t>
      </w:r>
      <w:r w:rsidR="00857DE5" w:rsidRPr="00731644">
        <w:rPr>
          <w:lang w:val="fr-CH"/>
        </w:rPr>
        <w:t xml:space="preserve">de </w:t>
      </w:r>
      <w:r w:rsidR="00B94045" w:rsidRPr="00731644">
        <w:rPr>
          <w:lang w:val="fr-CH"/>
        </w:rPr>
        <w:t xml:space="preserve">la construction, pour </w:t>
      </w:r>
      <w:r w:rsidR="007D1364" w:rsidRPr="00731644">
        <w:rPr>
          <w:lang w:val="fr-CH"/>
        </w:rPr>
        <w:t>ne</w:t>
      </w:r>
      <w:r w:rsidR="00B94045" w:rsidRPr="00731644">
        <w:rPr>
          <w:lang w:val="fr-CH"/>
        </w:rPr>
        <w:t xml:space="preserve"> citer que </w:t>
      </w:r>
      <w:r w:rsidR="007D1364" w:rsidRPr="00731644">
        <w:rPr>
          <w:lang w:val="fr-CH"/>
        </w:rPr>
        <w:t>ceux-là</w:t>
      </w:r>
      <w:r w:rsidR="00B94045" w:rsidRPr="00731644">
        <w:rPr>
          <w:lang w:val="fr-CH"/>
        </w:rPr>
        <w:t>.</w:t>
      </w:r>
      <w:r w:rsidR="00F31DD5" w:rsidRPr="00731644">
        <w:rPr>
          <w:lang w:val="fr-CH"/>
        </w:rPr>
        <w:t xml:space="preserve"> </w:t>
      </w:r>
      <w:r w:rsidR="00B94045" w:rsidRPr="00731644">
        <w:rPr>
          <w:lang w:val="fr-CH"/>
        </w:rPr>
        <w:t>L</w:t>
      </w:r>
      <w:r w:rsidR="00425386" w:rsidRPr="00731644">
        <w:rPr>
          <w:lang w:val="fr-CH"/>
        </w:rPr>
        <w:t>’</w:t>
      </w:r>
      <w:r w:rsidR="00B94045" w:rsidRPr="00731644">
        <w:rPr>
          <w:lang w:val="fr-CH"/>
        </w:rPr>
        <w:t>Agence pour l</w:t>
      </w:r>
      <w:r w:rsidR="00425386" w:rsidRPr="00731644">
        <w:rPr>
          <w:lang w:val="fr-CH"/>
        </w:rPr>
        <w:t>’</w:t>
      </w:r>
      <w:r w:rsidR="00B94045" w:rsidRPr="00731644">
        <w:rPr>
          <w:lang w:val="fr-CH"/>
        </w:rPr>
        <w:t xml:space="preserve">emploi entend encourager les femmes qui </w:t>
      </w:r>
      <w:r w:rsidR="00A66512" w:rsidRPr="00731644">
        <w:rPr>
          <w:lang w:val="fr-CH"/>
        </w:rPr>
        <w:t>deviennent</w:t>
      </w:r>
      <w:r w:rsidR="00B94045" w:rsidRPr="00731644">
        <w:rPr>
          <w:lang w:val="fr-CH"/>
        </w:rPr>
        <w:t xml:space="preserve"> ou </w:t>
      </w:r>
      <w:r w:rsidR="00657893" w:rsidRPr="00731644">
        <w:rPr>
          <w:lang w:val="fr-CH"/>
        </w:rPr>
        <w:t>entendent</w:t>
      </w:r>
      <w:r w:rsidR="00B94045" w:rsidRPr="00731644">
        <w:rPr>
          <w:lang w:val="fr-CH"/>
        </w:rPr>
        <w:t xml:space="preserve"> devenir chefs d</w:t>
      </w:r>
      <w:r w:rsidR="00425386" w:rsidRPr="00731644">
        <w:rPr>
          <w:lang w:val="fr-CH"/>
        </w:rPr>
        <w:t>’</w:t>
      </w:r>
      <w:r w:rsidR="00F26360" w:rsidRPr="00731644">
        <w:rPr>
          <w:lang w:val="fr-CH"/>
        </w:rPr>
        <w:t>entreprise</w:t>
      </w:r>
      <w:r w:rsidR="00B94045" w:rsidRPr="00731644">
        <w:rPr>
          <w:lang w:val="fr-CH"/>
        </w:rPr>
        <w:t>, s</w:t>
      </w:r>
      <w:r w:rsidR="00425386" w:rsidRPr="00731644">
        <w:rPr>
          <w:lang w:val="fr-CH"/>
        </w:rPr>
        <w:t>’</w:t>
      </w:r>
      <w:r w:rsidR="00B94045" w:rsidRPr="00731644">
        <w:rPr>
          <w:lang w:val="fr-CH"/>
        </w:rPr>
        <w:t>engageant ainsi dans une activité économique en même temps qu</w:t>
      </w:r>
      <w:r w:rsidR="00425386" w:rsidRPr="00731644">
        <w:rPr>
          <w:lang w:val="fr-CH"/>
        </w:rPr>
        <w:t>’</w:t>
      </w:r>
      <w:r w:rsidR="00B94045" w:rsidRPr="00731644">
        <w:rPr>
          <w:lang w:val="fr-CH"/>
        </w:rPr>
        <w:t>elles assurent leur perfectionnement professionnel.</w:t>
      </w:r>
      <w:r w:rsidR="00731463" w:rsidRPr="00731644">
        <w:rPr>
          <w:lang w:val="fr-CH"/>
        </w:rPr>
        <w:t xml:space="preserve"> À titre d</w:t>
      </w:r>
      <w:r w:rsidR="00425386" w:rsidRPr="00731644">
        <w:rPr>
          <w:lang w:val="fr-CH"/>
        </w:rPr>
        <w:t>’</w:t>
      </w:r>
      <w:r w:rsidR="00731463" w:rsidRPr="00731644">
        <w:rPr>
          <w:lang w:val="fr-CH"/>
        </w:rPr>
        <w:t>incitation, le taux d</w:t>
      </w:r>
      <w:r w:rsidR="00425386" w:rsidRPr="00731644">
        <w:rPr>
          <w:lang w:val="fr-CH"/>
        </w:rPr>
        <w:t>’</w:t>
      </w:r>
      <w:r w:rsidR="00731463" w:rsidRPr="00731644">
        <w:rPr>
          <w:lang w:val="fr-CH"/>
        </w:rPr>
        <w:t xml:space="preserve">intérêt </w:t>
      </w:r>
      <w:r w:rsidR="00657893" w:rsidRPr="00731644">
        <w:rPr>
          <w:lang w:val="fr-CH"/>
        </w:rPr>
        <w:t>des crédits accordés pour</w:t>
      </w:r>
      <w:r w:rsidR="00731463" w:rsidRPr="00731644">
        <w:rPr>
          <w:lang w:val="fr-CH"/>
        </w:rPr>
        <w:t xml:space="preserve"> finance</w:t>
      </w:r>
      <w:r w:rsidR="00657893" w:rsidRPr="00731644">
        <w:rPr>
          <w:lang w:val="fr-CH"/>
        </w:rPr>
        <w:t>r</w:t>
      </w:r>
      <w:r w:rsidR="00731463" w:rsidRPr="00731644">
        <w:rPr>
          <w:lang w:val="fr-CH"/>
        </w:rPr>
        <w:t xml:space="preserve"> de</w:t>
      </w:r>
      <w:r w:rsidR="00657893" w:rsidRPr="00731644">
        <w:rPr>
          <w:lang w:val="fr-CH"/>
        </w:rPr>
        <w:t>s</w:t>
      </w:r>
      <w:r w:rsidR="00731463" w:rsidRPr="00731644">
        <w:rPr>
          <w:lang w:val="fr-CH"/>
        </w:rPr>
        <w:t xml:space="preserve"> projets </w:t>
      </w:r>
      <w:r w:rsidR="00657893" w:rsidRPr="00731644">
        <w:rPr>
          <w:lang w:val="fr-CH"/>
        </w:rPr>
        <w:t>proposés par</w:t>
      </w:r>
      <w:r w:rsidR="00731463" w:rsidRPr="00731644">
        <w:rPr>
          <w:lang w:val="fr-CH"/>
        </w:rPr>
        <w:t xml:space="preserve"> de</w:t>
      </w:r>
      <w:r w:rsidR="00657893" w:rsidRPr="00731644">
        <w:rPr>
          <w:lang w:val="fr-CH"/>
        </w:rPr>
        <w:t>s</w:t>
      </w:r>
      <w:r w:rsidR="00731463" w:rsidRPr="00731644">
        <w:rPr>
          <w:lang w:val="fr-CH"/>
        </w:rPr>
        <w:t xml:space="preserve"> femmes </w:t>
      </w:r>
      <w:r w:rsidR="00657893" w:rsidRPr="00731644">
        <w:rPr>
          <w:lang w:val="fr-CH"/>
        </w:rPr>
        <w:t xml:space="preserve">ou appelés à être </w:t>
      </w:r>
      <w:r w:rsidR="00731463" w:rsidRPr="00731644">
        <w:rPr>
          <w:lang w:val="fr-CH"/>
        </w:rPr>
        <w:t xml:space="preserve">mis en œuvre dans </w:t>
      </w:r>
      <w:r w:rsidR="00657893" w:rsidRPr="00731644">
        <w:rPr>
          <w:lang w:val="fr-CH"/>
        </w:rPr>
        <w:t>l</w:t>
      </w:r>
      <w:r w:rsidR="00731463" w:rsidRPr="00731644">
        <w:rPr>
          <w:lang w:val="fr-CH"/>
        </w:rPr>
        <w:t>es municipalités septentrionales est fixé à 3</w:t>
      </w:r>
      <w:r w:rsidR="006443F6" w:rsidRPr="00731644">
        <w:rPr>
          <w:lang w:val="fr-CH"/>
        </w:rPr>
        <w:t>%</w:t>
      </w:r>
      <w:r w:rsidR="00731463" w:rsidRPr="00731644">
        <w:rPr>
          <w:lang w:val="fr-CH"/>
        </w:rPr>
        <w:t xml:space="preserve"> par an, contre 4</w:t>
      </w:r>
      <w:r w:rsidR="006443F6" w:rsidRPr="00731644">
        <w:rPr>
          <w:lang w:val="fr-CH"/>
        </w:rPr>
        <w:t>%</w:t>
      </w:r>
      <w:r w:rsidR="00731463" w:rsidRPr="00731644">
        <w:rPr>
          <w:lang w:val="fr-CH"/>
        </w:rPr>
        <w:t xml:space="preserve"> pour les autres.</w:t>
      </w:r>
      <w:r w:rsidR="00F31DD5" w:rsidRPr="00731644">
        <w:rPr>
          <w:lang w:val="fr-CH"/>
        </w:rPr>
        <w:t xml:space="preserve"> </w:t>
      </w:r>
    </w:p>
    <w:p w:rsidR="00E707D7" w:rsidRPr="00731644" w:rsidRDefault="007A774E" w:rsidP="00F31DD5">
      <w:pPr>
        <w:pStyle w:val="SingleTxtG"/>
        <w:jc w:val="left"/>
        <w:rPr>
          <w:lang w:val="fr-CH"/>
        </w:rPr>
      </w:pPr>
      <w:r w:rsidRPr="00731644">
        <w:rPr>
          <w:lang w:val="fr-CH"/>
        </w:rPr>
        <w:t>35.</w:t>
      </w:r>
      <w:r w:rsidRPr="00731644">
        <w:rPr>
          <w:lang w:val="fr-CH"/>
        </w:rPr>
        <w:tab/>
      </w:r>
      <w:r w:rsidR="00657893" w:rsidRPr="00731644">
        <w:rPr>
          <w:lang w:val="fr-CH"/>
        </w:rPr>
        <w:t xml:space="preserve">Dans le cadre </w:t>
      </w:r>
      <w:r w:rsidR="00731463" w:rsidRPr="00731644">
        <w:rPr>
          <w:lang w:val="fr-CH"/>
        </w:rPr>
        <w:t xml:space="preserve">du programme </w:t>
      </w:r>
      <w:r w:rsidR="002061AB">
        <w:rPr>
          <w:lang w:val="fr-CH"/>
        </w:rPr>
        <w:t>«</w:t>
      </w:r>
      <w:r w:rsidR="00731463" w:rsidRPr="00731644">
        <w:rPr>
          <w:lang w:val="fr-CH"/>
        </w:rPr>
        <w:t>Soutien et aide de l</w:t>
      </w:r>
      <w:r w:rsidR="00425386" w:rsidRPr="00731644">
        <w:rPr>
          <w:lang w:val="fr-CH"/>
        </w:rPr>
        <w:t>’</w:t>
      </w:r>
      <w:r w:rsidR="00731463" w:rsidRPr="00731644">
        <w:rPr>
          <w:lang w:val="fr-CH"/>
        </w:rPr>
        <w:t xml:space="preserve">État aux petites et moyennes entreprises pour </w:t>
      </w:r>
      <w:r w:rsidR="00E707D7" w:rsidRPr="00731644">
        <w:rPr>
          <w:lang w:val="fr-CH"/>
        </w:rPr>
        <w:t xml:space="preserve">2008 </w:t>
      </w:r>
      <w:r w:rsidR="00731463" w:rsidRPr="00731644">
        <w:rPr>
          <w:lang w:val="fr-CH"/>
        </w:rPr>
        <w:t>et</w:t>
      </w:r>
      <w:r w:rsidR="00E707D7" w:rsidRPr="00731644">
        <w:rPr>
          <w:lang w:val="fr-CH"/>
        </w:rPr>
        <w:t xml:space="preserve"> 2009</w:t>
      </w:r>
      <w:r w:rsidR="002061AB">
        <w:rPr>
          <w:lang w:val="fr-CH"/>
        </w:rPr>
        <w:t>»</w:t>
      </w:r>
      <w:r w:rsidR="00731463" w:rsidRPr="00731644">
        <w:rPr>
          <w:lang w:val="fr-CH"/>
        </w:rPr>
        <w:t xml:space="preserve">, qui a pris fin le </w:t>
      </w:r>
      <w:r w:rsidR="00E707D7" w:rsidRPr="00731644">
        <w:rPr>
          <w:lang w:val="fr-CH"/>
        </w:rPr>
        <w:t xml:space="preserve">5 </w:t>
      </w:r>
      <w:r w:rsidR="00731463" w:rsidRPr="00731644">
        <w:rPr>
          <w:lang w:val="fr-CH"/>
        </w:rPr>
        <w:t>novembre</w:t>
      </w:r>
      <w:r w:rsidR="00E707D7" w:rsidRPr="00731644">
        <w:rPr>
          <w:lang w:val="fr-CH"/>
        </w:rPr>
        <w:t xml:space="preserve"> 2009,</w:t>
      </w:r>
      <w:r w:rsidR="00731463" w:rsidRPr="00731644">
        <w:rPr>
          <w:lang w:val="fr-CH"/>
        </w:rPr>
        <w:t xml:space="preserve"> la Direction du développement des petites et moyennes entreprises, en co</w:t>
      </w:r>
      <w:r w:rsidR="00657893" w:rsidRPr="00731644">
        <w:rPr>
          <w:lang w:val="fr-CH"/>
        </w:rPr>
        <w:t>llaboration</w:t>
      </w:r>
      <w:r w:rsidR="00731463" w:rsidRPr="00731644">
        <w:rPr>
          <w:lang w:val="fr-CH"/>
        </w:rPr>
        <w:t xml:space="preserve"> avec des banques commerciales, a approuvé 88 projets au titre des lignes de crédit</w:t>
      </w:r>
      <w:r w:rsidR="00F31DD5" w:rsidRPr="00731644">
        <w:rPr>
          <w:lang w:val="fr-CH"/>
        </w:rPr>
        <w:t xml:space="preserve"> </w:t>
      </w:r>
      <w:r w:rsidR="002061AB">
        <w:rPr>
          <w:lang w:val="fr-CH"/>
        </w:rPr>
        <w:t>«</w:t>
      </w:r>
      <w:r w:rsidR="00F06EF3" w:rsidRPr="00731644">
        <w:rPr>
          <w:lang w:val="fr-CH"/>
        </w:rPr>
        <w:t>Démarrer</w:t>
      </w:r>
      <w:r w:rsidR="002061AB">
        <w:rPr>
          <w:lang w:val="fr-CH"/>
        </w:rPr>
        <w:t>»</w:t>
      </w:r>
      <w:r w:rsidR="00F31DD5" w:rsidRPr="00731644">
        <w:rPr>
          <w:lang w:val="fr-CH"/>
        </w:rPr>
        <w:t xml:space="preserve"> </w:t>
      </w:r>
      <w:r w:rsidR="00731463" w:rsidRPr="00731644">
        <w:rPr>
          <w:lang w:val="fr-CH"/>
        </w:rPr>
        <w:t>et</w:t>
      </w:r>
      <w:r w:rsidR="00E707D7" w:rsidRPr="00731644">
        <w:rPr>
          <w:lang w:val="fr-CH"/>
        </w:rPr>
        <w:t xml:space="preserve"> </w:t>
      </w:r>
      <w:r w:rsidR="002061AB">
        <w:rPr>
          <w:lang w:val="fr-CH"/>
        </w:rPr>
        <w:t>«</w:t>
      </w:r>
      <w:r w:rsidR="00E707D7" w:rsidRPr="00731644">
        <w:rPr>
          <w:lang w:val="fr-CH"/>
        </w:rPr>
        <w:t>Encourag</w:t>
      </w:r>
      <w:r w:rsidR="00731463" w:rsidRPr="00731644">
        <w:rPr>
          <w:lang w:val="fr-CH"/>
        </w:rPr>
        <w:t>e</w:t>
      </w:r>
      <w:r w:rsidR="00326FE2" w:rsidRPr="00731644">
        <w:rPr>
          <w:lang w:val="fr-CH"/>
        </w:rPr>
        <w:t>r</w:t>
      </w:r>
      <w:r w:rsidR="00731463" w:rsidRPr="00731644">
        <w:rPr>
          <w:lang w:val="fr-CH"/>
        </w:rPr>
        <w:t xml:space="preserve"> l</w:t>
      </w:r>
      <w:r w:rsidR="00425386" w:rsidRPr="00731644">
        <w:rPr>
          <w:lang w:val="fr-CH"/>
        </w:rPr>
        <w:t>’</w:t>
      </w:r>
      <w:r w:rsidR="00731463" w:rsidRPr="00731644">
        <w:rPr>
          <w:lang w:val="fr-CH"/>
        </w:rPr>
        <w:t>entrepreneuriat</w:t>
      </w:r>
      <w:r w:rsidR="002061AB">
        <w:rPr>
          <w:lang w:val="fr-CH"/>
        </w:rPr>
        <w:t>»</w:t>
      </w:r>
      <w:r w:rsidR="00E707D7" w:rsidRPr="00731644">
        <w:rPr>
          <w:lang w:val="fr-CH"/>
        </w:rPr>
        <w:t xml:space="preserve">. </w:t>
      </w:r>
      <w:r w:rsidR="00731463" w:rsidRPr="00731644">
        <w:rPr>
          <w:lang w:val="fr-CH"/>
        </w:rPr>
        <w:t>Au titre de la ligne de crédit</w:t>
      </w:r>
      <w:r w:rsidR="00E707D7" w:rsidRPr="00731644">
        <w:rPr>
          <w:lang w:val="fr-CH"/>
        </w:rPr>
        <w:t xml:space="preserve"> </w:t>
      </w:r>
      <w:r w:rsidR="002061AB">
        <w:rPr>
          <w:lang w:val="fr-CH"/>
        </w:rPr>
        <w:t>«</w:t>
      </w:r>
      <w:r w:rsidR="00E707D7" w:rsidRPr="00731644">
        <w:rPr>
          <w:lang w:val="fr-CH"/>
        </w:rPr>
        <w:t>Encourag</w:t>
      </w:r>
      <w:r w:rsidR="00731463" w:rsidRPr="00731644">
        <w:rPr>
          <w:lang w:val="fr-CH"/>
        </w:rPr>
        <w:t>e</w:t>
      </w:r>
      <w:r w:rsidR="00F06EF3" w:rsidRPr="00731644">
        <w:rPr>
          <w:lang w:val="fr-CH"/>
        </w:rPr>
        <w:t>r</w:t>
      </w:r>
      <w:r w:rsidR="00F31DD5" w:rsidRPr="00731644">
        <w:rPr>
          <w:lang w:val="fr-CH"/>
        </w:rPr>
        <w:t xml:space="preserve"> </w:t>
      </w:r>
      <w:r w:rsidR="00F06EF3" w:rsidRPr="00731644">
        <w:rPr>
          <w:lang w:val="fr-CH"/>
        </w:rPr>
        <w:t>les jeunes pousses</w:t>
      </w:r>
      <w:r w:rsidR="002061AB">
        <w:rPr>
          <w:lang w:val="fr-CH"/>
        </w:rPr>
        <w:t>»</w:t>
      </w:r>
      <w:r w:rsidR="00A66512" w:rsidRPr="00731644">
        <w:rPr>
          <w:lang w:val="fr-CH"/>
        </w:rPr>
        <w:t>,</w:t>
      </w:r>
      <w:r w:rsidR="00326FE2" w:rsidRPr="00731644">
        <w:rPr>
          <w:lang w:val="fr-CH"/>
        </w:rPr>
        <w:t xml:space="preserve"> 30 projets ont été approuvés</w:t>
      </w:r>
      <w:r w:rsidR="00F31DD5" w:rsidRPr="00731644">
        <w:rPr>
          <w:lang w:val="fr-CH"/>
        </w:rPr>
        <w:t>;</w:t>
      </w:r>
      <w:r w:rsidR="00326FE2" w:rsidRPr="00731644">
        <w:rPr>
          <w:lang w:val="fr-CH"/>
        </w:rPr>
        <w:t xml:space="preserve"> </w:t>
      </w:r>
      <w:r w:rsidR="00F06EF3" w:rsidRPr="00731644">
        <w:rPr>
          <w:lang w:val="fr-CH"/>
        </w:rPr>
        <w:t>2</w:t>
      </w:r>
      <w:r w:rsidR="00326FE2" w:rsidRPr="00731644">
        <w:rPr>
          <w:lang w:val="fr-CH"/>
        </w:rPr>
        <w:t xml:space="preserve">0 </w:t>
      </w:r>
      <w:r w:rsidR="00F06EF3" w:rsidRPr="00731644">
        <w:rPr>
          <w:lang w:val="fr-CH"/>
        </w:rPr>
        <w:t>avaient</w:t>
      </w:r>
      <w:r w:rsidR="00326FE2" w:rsidRPr="00731644">
        <w:rPr>
          <w:lang w:val="fr-CH"/>
        </w:rPr>
        <w:t xml:space="preserve"> des </w:t>
      </w:r>
      <w:r w:rsidR="00F06EF3" w:rsidRPr="00731644">
        <w:rPr>
          <w:lang w:val="fr-CH"/>
        </w:rPr>
        <w:t>ho</w:t>
      </w:r>
      <w:r w:rsidR="00326FE2" w:rsidRPr="00731644">
        <w:rPr>
          <w:lang w:val="fr-CH"/>
        </w:rPr>
        <w:t>mmes</w:t>
      </w:r>
      <w:r w:rsidR="00F06EF3" w:rsidRPr="00731644">
        <w:rPr>
          <w:lang w:val="fr-CH"/>
        </w:rPr>
        <w:t xml:space="preserve"> pour promoteurs et pour directeurs</w:t>
      </w:r>
      <w:r w:rsidR="00326FE2" w:rsidRPr="00731644">
        <w:rPr>
          <w:lang w:val="fr-CH"/>
        </w:rPr>
        <w:t xml:space="preserve">, et </w:t>
      </w:r>
      <w:r w:rsidR="00F06EF3" w:rsidRPr="00731644">
        <w:rPr>
          <w:lang w:val="fr-CH"/>
        </w:rPr>
        <w:t>1</w:t>
      </w:r>
      <w:r w:rsidR="00326FE2" w:rsidRPr="00731644">
        <w:rPr>
          <w:lang w:val="fr-CH"/>
        </w:rPr>
        <w:t>0</w:t>
      </w:r>
      <w:r w:rsidR="00F06EF3" w:rsidRPr="00731644">
        <w:rPr>
          <w:lang w:val="fr-CH"/>
        </w:rPr>
        <w:t>,</w:t>
      </w:r>
      <w:r w:rsidR="00326FE2" w:rsidRPr="00731644">
        <w:rPr>
          <w:lang w:val="fr-CH"/>
        </w:rPr>
        <w:t xml:space="preserve"> des </w:t>
      </w:r>
      <w:r w:rsidR="00F06EF3" w:rsidRPr="00731644">
        <w:rPr>
          <w:lang w:val="fr-CH"/>
        </w:rPr>
        <w:t>fe</w:t>
      </w:r>
      <w:r w:rsidR="00326FE2" w:rsidRPr="00731644">
        <w:rPr>
          <w:lang w:val="fr-CH"/>
        </w:rPr>
        <w:t>mmes.</w:t>
      </w:r>
      <w:r w:rsidR="00F31DD5" w:rsidRPr="00731644">
        <w:rPr>
          <w:lang w:val="fr-CH"/>
        </w:rPr>
        <w:t xml:space="preserve"> </w:t>
      </w:r>
      <w:r w:rsidR="00326FE2" w:rsidRPr="00731644">
        <w:rPr>
          <w:lang w:val="fr-CH"/>
        </w:rPr>
        <w:t>Sur les 58 projets approuvés au titre de la ligne de crédit</w:t>
      </w:r>
      <w:r w:rsidR="00F31DD5" w:rsidRPr="00731644">
        <w:rPr>
          <w:lang w:val="fr-CH"/>
        </w:rPr>
        <w:t xml:space="preserve"> </w:t>
      </w:r>
      <w:r w:rsidR="002061AB">
        <w:rPr>
          <w:lang w:val="fr-CH"/>
        </w:rPr>
        <w:t>«</w:t>
      </w:r>
      <w:r w:rsidR="00E707D7" w:rsidRPr="00731644">
        <w:rPr>
          <w:lang w:val="fr-CH"/>
        </w:rPr>
        <w:t>Encourag</w:t>
      </w:r>
      <w:r w:rsidR="00326FE2" w:rsidRPr="00731644">
        <w:rPr>
          <w:lang w:val="fr-CH"/>
        </w:rPr>
        <w:t>er l</w:t>
      </w:r>
      <w:r w:rsidR="00425386" w:rsidRPr="00731644">
        <w:rPr>
          <w:lang w:val="fr-CH"/>
        </w:rPr>
        <w:t>’</w:t>
      </w:r>
      <w:r w:rsidR="00326FE2" w:rsidRPr="00731644">
        <w:rPr>
          <w:lang w:val="fr-CH"/>
        </w:rPr>
        <w:t>entrepreneuriat</w:t>
      </w:r>
      <w:r w:rsidR="002061AB">
        <w:rPr>
          <w:lang w:val="fr-CH"/>
        </w:rPr>
        <w:t>»</w:t>
      </w:r>
      <w:r w:rsidR="00326FE2" w:rsidRPr="00731644">
        <w:rPr>
          <w:lang w:val="fr-CH"/>
        </w:rPr>
        <w:t xml:space="preserve">, huit </w:t>
      </w:r>
      <w:r w:rsidR="00F06EF3" w:rsidRPr="00731644">
        <w:rPr>
          <w:lang w:val="fr-CH"/>
        </w:rPr>
        <w:t>étaie</w:t>
      </w:r>
      <w:r w:rsidR="00326FE2" w:rsidRPr="00731644">
        <w:rPr>
          <w:lang w:val="fr-CH"/>
        </w:rPr>
        <w:t>nt dus à l</w:t>
      </w:r>
      <w:r w:rsidR="00425386" w:rsidRPr="00731644">
        <w:rPr>
          <w:lang w:val="fr-CH"/>
        </w:rPr>
        <w:t>’</w:t>
      </w:r>
      <w:r w:rsidR="00326FE2" w:rsidRPr="00731644">
        <w:rPr>
          <w:lang w:val="fr-CH"/>
        </w:rPr>
        <w:t xml:space="preserve">initiative de femmes et 50 </w:t>
      </w:r>
      <w:r w:rsidR="00857DE5" w:rsidRPr="00731644">
        <w:rPr>
          <w:lang w:val="fr-CH"/>
        </w:rPr>
        <w:t>étaient dirigés par des</w:t>
      </w:r>
      <w:r w:rsidR="00326FE2" w:rsidRPr="00731644">
        <w:rPr>
          <w:lang w:val="fr-CH"/>
        </w:rPr>
        <w:t xml:space="preserve"> hommes.</w:t>
      </w:r>
      <w:r w:rsidR="00F31DD5" w:rsidRPr="00731644">
        <w:rPr>
          <w:lang w:val="fr-CH"/>
        </w:rPr>
        <w:t xml:space="preserve"> </w:t>
      </w:r>
    </w:p>
    <w:p w:rsidR="007A774E" w:rsidRPr="00731644" w:rsidRDefault="007A774E" w:rsidP="007A774E">
      <w:pPr>
        <w:pStyle w:val="HChG"/>
        <w:rPr>
          <w:lang w:val="fr-CH"/>
        </w:rPr>
      </w:pPr>
      <w:r w:rsidRPr="00731644">
        <w:rPr>
          <w:lang w:val="fr-CH"/>
        </w:rPr>
        <w:tab/>
      </w:r>
      <w:r w:rsidR="00CF112E" w:rsidRPr="00731644">
        <w:rPr>
          <w:lang w:val="fr-CH"/>
        </w:rPr>
        <w:t>II.</w:t>
      </w:r>
      <w:r w:rsidRPr="00731644">
        <w:rPr>
          <w:lang w:val="fr-CH"/>
        </w:rPr>
        <w:tab/>
        <w:t xml:space="preserve">Protection </w:t>
      </w:r>
      <w:r w:rsidR="00340B91" w:rsidRPr="00731644">
        <w:rPr>
          <w:lang w:val="fr-CH"/>
        </w:rPr>
        <w:t>contre la</w:t>
      </w:r>
      <w:r w:rsidRPr="00731644">
        <w:rPr>
          <w:lang w:val="fr-CH"/>
        </w:rPr>
        <w:t xml:space="preserve"> discrimination </w:t>
      </w:r>
      <w:r w:rsidR="00340B91" w:rsidRPr="00731644">
        <w:rPr>
          <w:lang w:val="fr-CH"/>
        </w:rPr>
        <w:t>et</w:t>
      </w:r>
      <w:r w:rsidRPr="00731644">
        <w:rPr>
          <w:lang w:val="fr-CH"/>
        </w:rPr>
        <w:t xml:space="preserve"> </w:t>
      </w:r>
      <w:r w:rsidR="00340B91" w:rsidRPr="00731644">
        <w:rPr>
          <w:lang w:val="fr-CH"/>
        </w:rPr>
        <w:t>dispositif en vue de l</w:t>
      </w:r>
      <w:r w:rsidR="00425386" w:rsidRPr="00731644">
        <w:rPr>
          <w:lang w:val="fr-CH"/>
        </w:rPr>
        <w:t>’</w:t>
      </w:r>
      <w:r w:rsidR="00340B91" w:rsidRPr="00731644">
        <w:rPr>
          <w:lang w:val="fr-CH"/>
        </w:rPr>
        <w:t>élimination de celle-ci</w:t>
      </w:r>
    </w:p>
    <w:p w:rsidR="007A774E" w:rsidRPr="00731644" w:rsidRDefault="007A774E" w:rsidP="006E7DDA">
      <w:pPr>
        <w:pStyle w:val="H1G"/>
        <w:rPr>
          <w:lang w:val="fr-CH"/>
        </w:rPr>
      </w:pPr>
      <w:r w:rsidRPr="00731644">
        <w:rPr>
          <w:lang w:val="fr-CH"/>
        </w:rPr>
        <w:tab/>
      </w:r>
      <w:r w:rsidRPr="00731644">
        <w:rPr>
          <w:lang w:val="fr-CH"/>
        </w:rPr>
        <w:tab/>
        <w:t xml:space="preserve">Article 2 </w:t>
      </w:r>
    </w:p>
    <w:p w:rsidR="007A774E" w:rsidRPr="00731644" w:rsidRDefault="007A774E" w:rsidP="00134258">
      <w:pPr>
        <w:pStyle w:val="SingleTxtG"/>
        <w:rPr>
          <w:lang w:val="fr-CH"/>
        </w:rPr>
      </w:pPr>
      <w:r w:rsidRPr="00731644">
        <w:rPr>
          <w:lang w:val="fr-CH"/>
        </w:rPr>
        <w:t>36.</w:t>
      </w:r>
      <w:r w:rsidRPr="00731644">
        <w:rPr>
          <w:lang w:val="fr-CH"/>
        </w:rPr>
        <w:tab/>
      </w:r>
      <w:r w:rsidR="00340B91" w:rsidRPr="00731644">
        <w:rPr>
          <w:lang w:val="fr-CH"/>
        </w:rPr>
        <w:t>Le fondement de la protection juridique contre la discrimination au Monténégro se trouve dans les dispositions constitutionnelles qui garantissent la primauté du droit international sur la législation nationale et l</w:t>
      </w:r>
      <w:r w:rsidR="00425386" w:rsidRPr="00731644">
        <w:rPr>
          <w:lang w:val="fr-CH"/>
        </w:rPr>
        <w:t>’</w:t>
      </w:r>
      <w:r w:rsidR="00340B91" w:rsidRPr="00731644">
        <w:rPr>
          <w:lang w:val="fr-CH"/>
        </w:rPr>
        <w:t>application directe des normes internationales. Il s</w:t>
      </w:r>
      <w:r w:rsidR="00425386" w:rsidRPr="00731644">
        <w:rPr>
          <w:lang w:val="fr-CH"/>
        </w:rPr>
        <w:t>’</w:t>
      </w:r>
      <w:r w:rsidR="00340B91" w:rsidRPr="00731644">
        <w:rPr>
          <w:lang w:val="fr-CH"/>
        </w:rPr>
        <w:t>ensuit que la</w:t>
      </w:r>
      <w:r w:rsidRPr="00731644">
        <w:rPr>
          <w:lang w:val="fr-CH"/>
        </w:rPr>
        <w:t xml:space="preserve"> Convention </w:t>
      </w:r>
      <w:r w:rsidR="00340B91" w:rsidRPr="00731644">
        <w:rPr>
          <w:lang w:val="fr-CH"/>
        </w:rPr>
        <w:t>internationale sur l</w:t>
      </w:r>
      <w:r w:rsidR="00425386" w:rsidRPr="00731644">
        <w:rPr>
          <w:lang w:val="fr-CH"/>
        </w:rPr>
        <w:t>’</w:t>
      </w:r>
      <w:r w:rsidR="00340B91" w:rsidRPr="00731644">
        <w:rPr>
          <w:lang w:val="fr-CH"/>
        </w:rPr>
        <w:t xml:space="preserve">élimination de toutes les formes de </w:t>
      </w:r>
      <w:r w:rsidR="00A66512" w:rsidRPr="00731644">
        <w:rPr>
          <w:lang w:val="fr-CH"/>
        </w:rPr>
        <w:t>discrimination</w:t>
      </w:r>
      <w:r w:rsidR="00340B91" w:rsidRPr="00731644">
        <w:rPr>
          <w:lang w:val="fr-CH"/>
        </w:rPr>
        <w:t xml:space="preserve"> raciale</w:t>
      </w:r>
      <w:r w:rsidR="00A03A36" w:rsidRPr="00731644">
        <w:rPr>
          <w:lang w:val="fr-CH"/>
        </w:rPr>
        <w:t xml:space="preserve">, </w:t>
      </w:r>
      <w:r w:rsidR="00340B91" w:rsidRPr="00731644">
        <w:rPr>
          <w:lang w:val="fr-CH"/>
        </w:rPr>
        <w:t>instrument contraignant pour le Monténégro, fait partie intégrante du</w:t>
      </w:r>
      <w:r w:rsidR="00F31DD5" w:rsidRPr="00731644">
        <w:rPr>
          <w:lang w:val="fr-CH"/>
        </w:rPr>
        <w:t xml:space="preserve"> </w:t>
      </w:r>
      <w:r w:rsidR="00A03A36" w:rsidRPr="00731644">
        <w:rPr>
          <w:lang w:val="fr-CH"/>
        </w:rPr>
        <w:t xml:space="preserve">système juridique et </w:t>
      </w:r>
      <w:r w:rsidR="00F06EF3" w:rsidRPr="00731644">
        <w:rPr>
          <w:lang w:val="fr-CH"/>
        </w:rPr>
        <w:t>du droit matériel</w:t>
      </w:r>
      <w:r w:rsidR="00A03A36" w:rsidRPr="00731644">
        <w:rPr>
          <w:lang w:val="fr-CH"/>
        </w:rPr>
        <w:t xml:space="preserve"> du pays. </w:t>
      </w:r>
      <w:r w:rsidR="00A03AC0" w:rsidRPr="00731644">
        <w:rPr>
          <w:lang w:val="fr-CH"/>
        </w:rPr>
        <w:t>À</w:t>
      </w:r>
      <w:r w:rsidR="007E464A" w:rsidRPr="00731644">
        <w:rPr>
          <w:lang w:val="fr-CH"/>
        </w:rPr>
        <w:t xml:space="preserve"> </w:t>
      </w:r>
      <w:r w:rsidR="00A03A36" w:rsidRPr="00731644">
        <w:rPr>
          <w:lang w:val="fr-CH"/>
        </w:rPr>
        <w:t>la protection judiciaire des droits de l</w:t>
      </w:r>
      <w:r w:rsidR="00425386" w:rsidRPr="00731644">
        <w:rPr>
          <w:lang w:val="fr-CH"/>
        </w:rPr>
        <w:t>’</w:t>
      </w:r>
      <w:r w:rsidR="00A03A36" w:rsidRPr="00731644">
        <w:rPr>
          <w:lang w:val="fr-CH"/>
        </w:rPr>
        <w:t xml:space="preserve">homme et des libertés </w:t>
      </w:r>
      <w:r w:rsidR="00A03AC0" w:rsidRPr="00731644">
        <w:rPr>
          <w:lang w:val="fr-CH"/>
        </w:rPr>
        <w:t>assurée par la législation d</w:t>
      </w:r>
      <w:r w:rsidR="00A03A36" w:rsidRPr="00731644">
        <w:rPr>
          <w:lang w:val="fr-CH"/>
        </w:rPr>
        <w:t>u Monténégro</w:t>
      </w:r>
      <w:r w:rsidR="00A03AC0" w:rsidRPr="00731644">
        <w:rPr>
          <w:lang w:val="fr-CH"/>
        </w:rPr>
        <w:t xml:space="preserve"> s</w:t>
      </w:r>
      <w:r w:rsidR="00425386" w:rsidRPr="00731644">
        <w:rPr>
          <w:lang w:val="fr-CH"/>
        </w:rPr>
        <w:t>’</w:t>
      </w:r>
      <w:r w:rsidR="00A03AC0" w:rsidRPr="00731644">
        <w:rPr>
          <w:lang w:val="fr-CH"/>
        </w:rPr>
        <w:t>ajoute la possibilité</w:t>
      </w:r>
      <w:r w:rsidR="00A03A36" w:rsidRPr="00731644">
        <w:rPr>
          <w:lang w:val="fr-CH"/>
        </w:rPr>
        <w:t xml:space="preserve"> d</w:t>
      </w:r>
      <w:r w:rsidR="00425386" w:rsidRPr="00731644">
        <w:rPr>
          <w:lang w:val="fr-CH"/>
        </w:rPr>
        <w:t>’</w:t>
      </w:r>
      <w:r w:rsidR="00A03A36" w:rsidRPr="00731644">
        <w:rPr>
          <w:lang w:val="fr-CH"/>
        </w:rPr>
        <w:t>invoquer cet instrument</w:t>
      </w:r>
      <w:r w:rsidR="00F31DD5" w:rsidRPr="00731644">
        <w:rPr>
          <w:lang w:val="fr-CH"/>
        </w:rPr>
        <w:t xml:space="preserve"> </w:t>
      </w:r>
      <w:r w:rsidR="007E464A" w:rsidRPr="00731644">
        <w:rPr>
          <w:lang w:val="fr-CH"/>
        </w:rPr>
        <w:t xml:space="preserve">devant </w:t>
      </w:r>
      <w:r w:rsidR="00A03A36" w:rsidRPr="00731644">
        <w:rPr>
          <w:lang w:val="fr-CH"/>
        </w:rPr>
        <w:t xml:space="preserve">la Cour constitutionnelle, qui </w:t>
      </w:r>
      <w:r w:rsidR="007E464A" w:rsidRPr="00731644">
        <w:rPr>
          <w:lang w:val="fr-CH"/>
        </w:rPr>
        <w:t>apprécie</w:t>
      </w:r>
      <w:r w:rsidR="00A03A36" w:rsidRPr="00731644">
        <w:rPr>
          <w:lang w:val="fr-CH"/>
        </w:rPr>
        <w:t xml:space="preserve"> les </w:t>
      </w:r>
      <w:r w:rsidR="007E464A" w:rsidRPr="00731644">
        <w:rPr>
          <w:lang w:val="fr-CH"/>
        </w:rPr>
        <w:t xml:space="preserve">actions en </w:t>
      </w:r>
      <w:r w:rsidR="00A03A36" w:rsidRPr="00731644">
        <w:rPr>
          <w:lang w:val="fr-CH"/>
        </w:rPr>
        <w:t>inconstitutionnalité engagé</w:t>
      </w:r>
      <w:r w:rsidR="007E464A" w:rsidRPr="00731644">
        <w:rPr>
          <w:lang w:val="fr-CH"/>
        </w:rPr>
        <w:t>e</w:t>
      </w:r>
      <w:r w:rsidR="00A03A36" w:rsidRPr="00731644">
        <w:rPr>
          <w:lang w:val="fr-CH"/>
        </w:rPr>
        <w:t xml:space="preserve">s après épuisement de tous les recours utiles </w:t>
      </w:r>
      <w:r w:rsidR="007E464A" w:rsidRPr="00731644">
        <w:rPr>
          <w:lang w:val="fr-CH"/>
        </w:rPr>
        <w:t>prévus</w:t>
      </w:r>
      <w:r w:rsidR="00A03A36" w:rsidRPr="00731644">
        <w:rPr>
          <w:lang w:val="fr-CH"/>
        </w:rPr>
        <w:t xml:space="preserve"> </w:t>
      </w:r>
      <w:r w:rsidR="00A03AC0" w:rsidRPr="00731644">
        <w:rPr>
          <w:lang w:val="fr-CH"/>
        </w:rPr>
        <w:t xml:space="preserve">par </w:t>
      </w:r>
      <w:r w:rsidR="00A03A36" w:rsidRPr="00731644">
        <w:rPr>
          <w:lang w:val="fr-CH"/>
        </w:rPr>
        <w:t>le droit national</w:t>
      </w:r>
      <w:r w:rsidRPr="00731644">
        <w:rPr>
          <w:lang w:val="fr-CH"/>
        </w:rPr>
        <w:t>.</w:t>
      </w:r>
    </w:p>
    <w:p w:rsidR="007A774E" w:rsidRPr="00731644" w:rsidRDefault="007A774E" w:rsidP="00134258">
      <w:pPr>
        <w:pStyle w:val="SingleTxtG"/>
        <w:rPr>
          <w:lang w:val="fr-CH"/>
        </w:rPr>
      </w:pPr>
      <w:r w:rsidRPr="00731644">
        <w:rPr>
          <w:lang w:val="fr-CH"/>
        </w:rPr>
        <w:t>37.</w:t>
      </w:r>
      <w:r w:rsidRPr="00731644">
        <w:rPr>
          <w:lang w:val="fr-CH"/>
        </w:rPr>
        <w:tab/>
      </w:r>
      <w:r w:rsidR="00A03A36" w:rsidRPr="00731644">
        <w:rPr>
          <w:lang w:val="fr-CH"/>
        </w:rPr>
        <w:t xml:space="preserve">La </w:t>
      </w:r>
      <w:r w:rsidRPr="00731644">
        <w:rPr>
          <w:lang w:val="fr-CH"/>
        </w:rPr>
        <w:t xml:space="preserve">Constitution </w:t>
      </w:r>
      <w:r w:rsidR="00A03A36" w:rsidRPr="00731644">
        <w:rPr>
          <w:lang w:val="fr-CH"/>
        </w:rPr>
        <w:t>garantit l</w:t>
      </w:r>
      <w:r w:rsidR="00425386" w:rsidRPr="00731644">
        <w:rPr>
          <w:lang w:val="fr-CH"/>
        </w:rPr>
        <w:t>’</w:t>
      </w:r>
      <w:r w:rsidR="00A03A36" w:rsidRPr="00731644">
        <w:rPr>
          <w:lang w:val="fr-CH"/>
        </w:rPr>
        <w:t>inviolabilité des droits de l</w:t>
      </w:r>
      <w:r w:rsidR="00425386" w:rsidRPr="00731644">
        <w:rPr>
          <w:lang w:val="fr-CH"/>
        </w:rPr>
        <w:t>’</w:t>
      </w:r>
      <w:r w:rsidR="00A03A36" w:rsidRPr="00731644">
        <w:rPr>
          <w:lang w:val="fr-CH"/>
        </w:rPr>
        <w:t>homme et des libertés (</w:t>
      </w:r>
      <w:r w:rsidR="00F31DD5" w:rsidRPr="00731644">
        <w:rPr>
          <w:lang w:val="fr-CH"/>
        </w:rPr>
        <w:t>art. </w:t>
      </w:r>
      <w:r w:rsidRPr="00731644">
        <w:rPr>
          <w:lang w:val="fr-CH"/>
        </w:rPr>
        <w:t>6</w:t>
      </w:r>
      <w:r w:rsidR="00A03A36" w:rsidRPr="00731644">
        <w:rPr>
          <w:lang w:val="fr-CH"/>
        </w:rPr>
        <w:t>), interdit l</w:t>
      </w:r>
      <w:r w:rsidR="00425386" w:rsidRPr="00731644">
        <w:rPr>
          <w:lang w:val="fr-CH"/>
        </w:rPr>
        <w:t>’</w:t>
      </w:r>
      <w:r w:rsidR="00A03A36" w:rsidRPr="00731644">
        <w:rPr>
          <w:lang w:val="fr-CH"/>
        </w:rPr>
        <w:t>incitation à la haine</w:t>
      </w:r>
      <w:r w:rsidRPr="00731644">
        <w:rPr>
          <w:lang w:val="fr-CH"/>
        </w:rPr>
        <w:t xml:space="preserve"> (</w:t>
      </w:r>
      <w:r w:rsidR="00F31DD5" w:rsidRPr="00731644">
        <w:rPr>
          <w:lang w:val="fr-CH"/>
        </w:rPr>
        <w:t>art. </w:t>
      </w:r>
      <w:r w:rsidR="00857DE5" w:rsidRPr="00731644">
        <w:rPr>
          <w:lang w:val="fr-CH"/>
        </w:rPr>
        <w:t>7)</w:t>
      </w:r>
      <w:r w:rsidRPr="00731644">
        <w:rPr>
          <w:lang w:val="fr-CH"/>
        </w:rPr>
        <w:t xml:space="preserve"> </w:t>
      </w:r>
      <w:r w:rsidR="00A03A36" w:rsidRPr="00731644">
        <w:rPr>
          <w:lang w:val="fr-CH"/>
        </w:rPr>
        <w:t>et prohibe la</w:t>
      </w:r>
      <w:r w:rsidRPr="00731644">
        <w:rPr>
          <w:lang w:val="fr-CH"/>
        </w:rPr>
        <w:t xml:space="preserve"> discrimination</w:t>
      </w:r>
      <w:r w:rsidR="00F31DD5" w:rsidRPr="00731644">
        <w:rPr>
          <w:lang w:val="fr-CH"/>
        </w:rPr>
        <w:t xml:space="preserve"> – </w:t>
      </w:r>
      <w:r w:rsidRPr="00731644">
        <w:rPr>
          <w:lang w:val="fr-CH"/>
        </w:rPr>
        <w:t>direct</w:t>
      </w:r>
      <w:r w:rsidR="00A03A36" w:rsidRPr="00731644">
        <w:rPr>
          <w:lang w:val="fr-CH"/>
        </w:rPr>
        <w:t>e</w:t>
      </w:r>
      <w:r w:rsidRPr="00731644">
        <w:rPr>
          <w:lang w:val="fr-CH"/>
        </w:rPr>
        <w:t xml:space="preserve"> </w:t>
      </w:r>
      <w:r w:rsidR="00A03A36" w:rsidRPr="00731644">
        <w:rPr>
          <w:lang w:val="fr-CH"/>
        </w:rPr>
        <w:t>ou</w:t>
      </w:r>
      <w:r w:rsidRPr="00731644">
        <w:rPr>
          <w:lang w:val="fr-CH"/>
        </w:rPr>
        <w:t xml:space="preserve"> indirect</w:t>
      </w:r>
      <w:r w:rsidR="00A03A36" w:rsidRPr="00731644">
        <w:rPr>
          <w:lang w:val="fr-CH"/>
        </w:rPr>
        <w:t>e</w:t>
      </w:r>
      <w:r w:rsidRPr="00731644">
        <w:rPr>
          <w:lang w:val="fr-CH"/>
        </w:rPr>
        <w:t xml:space="preserve"> </w:t>
      </w:r>
      <w:r w:rsidR="00A03A36" w:rsidRPr="00731644">
        <w:rPr>
          <w:lang w:val="fr-CH"/>
        </w:rPr>
        <w:t>–</w:t>
      </w:r>
      <w:r w:rsidRPr="00731644">
        <w:rPr>
          <w:lang w:val="fr-CH"/>
        </w:rPr>
        <w:t xml:space="preserve"> </w:t>
      </w:r>
      <w:r w:rsidR="00A03A36" w:rsidRPr="00731644">
        <w:rPr>
          <w:lang w:val="fr-CH"/>
        </w:rPr>
        <w:t xml:space="preserve">pour quelque motif que ce soit </w:t>
      </w:r>
      <w:r w:rsidRPr="00731644">
        <w:rPr>
          <w:lang w:val="fr-CH"/>
        </w:rPr>
        <w:t>(</w:t>
      </w:r>
      <w:r w:rsidR="00F31DD5" w:rsidRPr="00731644">
        <w:rPr>
          <w:lang w:val="fr-CH"/>
        </w:rPr>
        <w:t>art. </w:t>
      </w:r>
      <w:r w:rsidRPr="00731644">
        <w:rPr>
          <w:lang w:val="fr-CH"/>
        </w:rPr>
        <w:t xml:space="preserve">8). </w:t>
      </w:r>
      <w:r w:rsidR="00A66512" w:rsidRPr="00731644">
        <w:rPr>
          <w:lang w:val="fr-CH"/>
        </w:rPr>
        <w:t>Conformément</w:t>
      </w:r>
      <w:r w:rsidR="00D95250" w:rsidRPr="00731644">
        <w:rPr>
          <w:lang w:val="fr-CH"/>
        </w:rPr>
        <w:t xml:space="preserve"> à la recommandation figurant au </w:t>
      </w:r>
      <w:r w:rsidR="00CB7658" w:rsidRPr="00731644">
        <w:rPr>
          <w:lang w:val="fr-CH"/>
        </w:rPr>
        <w:t>paragraphe </w:t>
      </w:r>
      <w:r w:rsidRPr="00731644">
        <w:rPr>
          <w:lang w:val="fr-CH"/>
        </w:rPr>
        <w:t>9</w:t>
      </w:r>
      <w:r w:rsidR="006E7DDA" w:rsidRPr="00731644">
        <w:rPr>
          <w:lang w:val="fr-CH"/>
        </w:rPr>
        <w:t xml:space="preserve"> </w:t>
      </w:r>
      <w:r w:rsidR="00D95250" w:rsidRPr="00731644">
        <w:rPr>
          <w:lang w:val="fr-CH"/>
        </w:rPr>
        <w:t xml:space="preserve">des observations finales du Comité, la nouvelle </w:t>
      </w:r>
      <w:r w:rsidR="00D95250" w:rsidRPr="005E7B4F">
        <w:rPr>
          <w:iCs/>
          <w:lang w:val="fr-CH"/>
        </w:rPr>
        <w:t>loi relative à l</w:t>
      </w:r>
      <w:r w:rsidR="00425386" w:rsidRPr="005E7B4F">
        <w:rPr>
          <w:iCs/>
          <w:lang w:val="fr-CH"/>
        </w:rPr>
        <w:t>’</w:t>
      </w:r>
      <w:r w:rsidR="00D95250" w:rsidRPr="005E7B4F">
        <w:rPr>
          <w:iCs/>
          <w:lang w:val="fr-CH"/>
        </w:rPr>
        <w:t xml:space="preserve">interdiction de la discrimination </w:t>
      </w:r>
      <w:r w:rsidR="00D95250" w:rsidRPr="00731644">
        <w:rPr>
          <w:lang w:val="fr-CH"/>
        </w:rPr>
        <w:t xml:space="preserve">donne de celle-ci </w:t>
      </w:r>
      <w:r w:rsidR="00A66512" w:rsidRPr="00731644">
        <w:rPr>
          <w:lang w:val="fr-CH"/>
        </w:rPr>
        <w:t>une</w:t>
      </w:r>
      <w:r w:rsidR="00D95250" w:rsidRPr="00731644">
        <w:rPr>
          <w:lang w:val="fr-CH"/>
        </w:rPr>
        <w:t xml:space="preserve"> définition plus précise.</w:t>
      </w:r>
      <w:r w:rsidRPr="00731644">
        <w:rPr>
          <w:lang w:val="fr-CH"/>
        </w:rPr>
        <w:t xml:space="preserve"> </w:t>
      </w:r>
      <w:r w:rsidR="00D95250" w:rsidRPr="00731644">
        <w:rPr>
          <w:lang w:val="fr-CH"/>
        </w:rPr>
        <w:t xml:space="preserve">Ce texte </w:t>
      </w:r>
      <w:r w:rsidR="00857DE5" w:rsidRPr="00731644">
        <w:rPr>
          <w:lang w:val="fr-CH"/>
        </w:rPr>
        <w:t>fournit</w:t>
      </w:r>
      <w:r w:rsidR="00D95250" w:rsidRPr="00731644">
        <w:rPr>
          <w:lang w:val="fr-CH"/>
        </w:rPr>
        <w:t xml:space="preserve"> aussi le cadre juridique qui </w:t>
      </w:r>
      <w:r w:rsidR="007E464A" w:rsidRPr="00731644">
        <w:rPr>
          <w:lang w:val="fr-CH"/>
        </w:rPr>
        <w:t>manquait</w:t>
      </w:r>
      <w:r w:rsidR="00D95250" w:rsidRPr="00731644">
        <w:rPr>
          <w:lang w:val="fr-CH"/>
        </w:rPr>
        <w:t xml:space="preserve"> pour l</w:t>
      </w:r>
      <w:r w:rsidR="00425386" w:rsidRPr="00731644">
        <w:rPr>
          <w:lang w:val="fr-CH"/>
        </w:rPr>
        <w:t>’</w:t>
      </w:r>
      <w:r w:rsidR="00D95250" w:rsidRPr="00731644">
        <w:rPr>
          <w:lang w:val="fr-CH"/>
        </w:rPr>
        <w:t xml:space="preserve">application des garanties consacrées par les </w:t>
      </w:r>
      <w:r w:rsidR="00CB7658" w:rsidRPr="00731644">
        <w:rPr>
          <w:lang w:val="fr-CH"/>
        </w:rPr>
        <w:t>articles </w:t>
      </w:r>
      <w:r w:rsidR="00D95250" w:rsidRPr="00731644">
        <w:rPr>
          <w:lang w:val="fr-CH"/>
        </w:rPr>
        <w:t>8 et 17 de la</w:t>
      </w:r>
      <w:r w:rsidR="00F31DD5" w:rsidRPr="00731644">
        <w:rPr>
          <w:lang w:val="fr-CH"/>
        </w:rPr>
        <w:t xml:space="preserve"> </w:t>
      </w:r>
      <w:r w:rsidRPr="00731644">
        <w:rPr>
          <w:lang w:val="fr-CH"/>
        </w:rPr>
        <w:t>Constitution</w:t>
      </w:r>
      <w:r w:rsidR="00D95250" w:rsidRPr="00731644">
        <w:rPr>
          <w:lang w:val="fr-CH"/>
        </w:rPr>
        <w:t>,</w:t>
      </w:r>
      <w:r w:rsidR="00F31DD5" w:rsidRPr="00731644">
        <w:rPr>
          <w:lang w:val="fr-CH"/>
        </w:rPr>
        <w:t xml:space="preserve"> </w:t>
      </w:r>
      <w:r w:rsidR="00D95250" w:rsidRPr="00731644">
        <w:rPr>
          <w:lang w:val="fr-CH"/>
        </w:rPr>
        <w:t xml:space="preserve">qui </w:t>
      </w:r>
      <w:r w:rsidR="00857DE5" w:rsidRPr="00731644">
        <w:rPr>
          <w:lang w:val="fr-CH"/>
        </w:rPr>
        <w:t>interdisent</w:t>
      </w:r>
      <w:r w:rsidR="00D95250" w:rsidRPr="00731644">
        <w:rPr>
          <w:lang w:val="fr-CH"/>
        </w:rPr>
        <w:t xml:space="preserve"> toute discrimination directe ou indirecte </w:t>
      </w:r>
      <w:r w:rsidR="00857DE5" w:rsidRPr="00731644">
        <w:rPr>
          <w:lang w:val="fr-CH"/>
        </w:rPr>
        <w:t xml:space="preserve">pour </w:t>
      </w:r>
      <w:r w:rsidR="00D95250" w:rsidRPr="00731644">
        <w:rPr>
          <w:lang w:val="fr-CH"/>
        </w:rPr>
        <w:t xml:space="preserve">quelque </w:t>
      </w:r>
      <w:r w:rsidR="00857DE5" w:rsidRPr="00731644">
        <w:rPr>
          <w:lang w:val="fr-CH"/>
        </w:rPr>
        <w:t>raison</w:t>
      </w:r>
      <w:r w:rsidR="00D95250" w:rsidRPr="00731644">
        <w:rPr>
          <w:lang w:val="fr-CH"/>
        </w:rPr>
        <w:t xml:space="preserve"> que ce soit et affirment l</w:t>
      </w:r>
      <w:r w:rsidR="00425386" w:rsidRPr="00731644">
        <w:rPr>
          <w:lang w:val="fr-CH"/>
        </w:rPr>
        <w:t>’</w:t>
      </w:r>
      <w:r w:rsidR="00D95250" w:rsidRPr="00731644">
        <w:rPr>
          <w:lang w:val="fr-CH"/>
        </w:rPr>
        <w:t xml:space="preserve">égalité de tous devant la loi, sans considération de quelque spécificité ou caractéristique personnelle que ce soit. </w:t>
      </w:r>
    </w:p>
    <w:p w:rsidR="007A774E" w:rsidRPr="00731644" w:rsidRDefault="007A774E" w:rsidP="00FD0046">
      <w:pPr>
        <w:pStyle w:val="SingleTxtG"/>
        <w:rPr>
          <w:lang w:val="fr-CH"/>
        </w:rPr>
      </w:pPr>
      <w:r w:rsidRPr="00731644">
        <w:rPr>
          <w:lang w:val="fr-CH"/>
        </w:rPr>
        <w:t>38.</w:t>
      </w:r>
      <w:r w:rsidRPr="00731644">
        <w:rPr>
          <w:lang w:val="fr-CH"/>
        </w:rPr>
        <w:tab/>
      </w:r>
      <w:r w:rsidR="00CE4E9D" w:rsidRPr="00731644">
        <w:rPr>
          <w:lang w:val="fr-CH"/>
        </w:rPr>
        <w:t>Cette loi-cadre donne de la discrimination, directe et indirecte, et de cette forme particulière qu</w:t>
      </w:r>
      <w:r w:rsidR="00425386" w:rsidRPr="00731644">
        <w:rPr>
          <w:lang w:val="fr-CH"/>
        </w:rPr>
        <w:t>’</w:t>
      </w:r>
      <w:r w:rsidR="00CE4E9D" w:rsidRPr="00731644">
        <w:rPr>
          <w:lang w:val="fr-CH"/>
        </w:rPr>
        <w:t>en est l</w:t>
      </w:r>
      <w:r w:rsidR="00425386" w:rsidRPr="00731644">
        <w:rPr>
          <w:lang w:val="fr-CH"/>
        </w:rPr>
        <w:t>’</w:t>
      </w:r>
      <w:r w:rsidR="00CE4E9D" w:rsidRPr="00731644">
        <w:rPr>
          <w:lang w:val="fr-CH"/>
        </w:rPr>
        <w:t>incitation à la</w:t>
      </w:r>
      <w:r w:rsidR="00F31DD5" w:rsidRPr="00731644">
        <w:rPr>
          <w:lang w:val="fr-CH"/>
        </w:rPr>
        <w:t xml:space="preserve"> </w:t>
      </w:r>
      <w:r w:rsidRPr="00731644">
        <w:rPr>
          <w:lang w:val="fr-CH"/>
        </w:rPr>
        <w:t>discrimination</w:t>
      </w:r>
      <w:r w:rsidR="0081072B" w:rsidRPr="00731644">
        <w:rPr>
          <w:lang w:val="fr-CH"/>
        </w:rPr>
        <w:t>,</w:t>
      </w:r>
      <w:r w:rsidR="00CE4E9D" w:rsidRPr="00731644">
        <w:rPr>
          <w:lang w:val="fr-CH"/>
        </w:rPr>
        <w:t xml:space="preserve"> la défin</w:t>
      </w:r>
      <w:r w:rsidR="007E464A" w:rsidRPr="00731644">
        <w:rPr>
          <w:lang w:val="fr-CH"/>
        </w:rPr>
        <w:t>i</w:t>
      </w:r>
      <w:r w:rsidR="00CE4E9D" w:rsidRPr="00731644">
        <w:rPr>
          <w:lang w:val="fr-CH"/>
        </w:rPr>
        <w:t xml:space="preserve">tion suivante </w:t>
      </w:r>
      <w:r w:rsidR="00F31DD5" w:rsidRPr="00731644">
        <w:rPr>
          <w:lang w:val="fr-CH"/>
        </w:rPr>
        <w:t>(art. </w:t>
      </w:r>
      <w:r w:rsidRPr="00731644">
        <w:rPr>
          <w:lang w:val="fr-CH"/>
        </w:rPr>
        <w:t xml:space="preserve">3 </w:t>
      </w:r>
      <w:r w:rsidR="00CE4E9D" w:rsidRPr="00731644">
        <w:rPr>
          <w:lang w:val="fr-CH"/>
        </w:rPr>
        <w:t xml:space="preserve">de la </w:t>
      </w:r>
      <w:r w:rsidR="00CE4E9D" w:rsidRPr="005E7B4F">
        <w:rPr>
          <w:iCs/>
          <w:lang w:val="fr-CH"/>
        </w:rPr>
        <w:t>loi relative à</w:t>
      </w:r>
      <w:r w:rsidR="00F31DD5" w:rsidRPr="005E7B4F">
        <w:rPr>
          <w:iCs/>
          <w:lang w:val="fr-CH"/>
        </w:rPr>
        <w:t xml:space="preserve"> </w:t>
      </w:r>
      <w:r w:rsidR="00D95250" w:rsidRPr="005E7B4F">
        <w:rPr>
          <w:iCs/>
          <w:lang w:val="fr-CH"/>
        </w:rPr>
        <w:t>l</w:t>
      </w:r>
      <w:r w:rsidR="00425386" w:rsidRPr="005E7B4F">
        <w:rPr>
          <w:iCs/>
          <w:lang w:val="fr-CH"/>
        </w:rPr>
        <w:t>’</w:t>
      </w:r>
      <w:r w:rsidR="00D95250" w:rsidRPr="005E7B4F">
        <w:rPr>
          <w:iCs/>
          <w:lang w:val="fr-CH"/>
        </w:rPr>
        <w:t>interdiction de la discrimination</w:t>
      </w:r>
      <w:r w:rsidRPr="00731644">
        <w:rPr>
          <w:lang w:val="fr-CH"/>
        </w:rPr>
        <w:t>):</w:t>
      </w:r>
    </w:p>
    <w:p w:rsidR="007A774E" w:rsidRPr="00731644" w:rsidRDefault="002061AB" w:rsidP="005E7B4F">
      <w:pPr>
        <w:pStyle w:val="SingleTxtG"/>
        <w:ind w:left="1701" w:firstLine="567"/>
        <w:rPr>
          <w:lang w:val="fr-CH"/>
        </w:rPr>
      </w:pPr>
      <w:r>
        <w:rPr>
          <w:lang w:val="fr-CH"/>
        </w:rPr>
        <w:t>«</w:t>
      </w:r>
      <w:r w:rsidR="00657185" w:rsidRPr="00731644">
        <w:rPr>
          <w:lang w:val="fr-CH"/>
        </w:rPr>
        <w:t>La</w:t>
      </w:r>
      <w:r w:rsidR="00CE4E9D" w:rsidRPr="00731644">
        <w:rPr>
          <w:lang w:val="fr-CH"/>
        </w:rPr>
        <w:t xml:space="preserve"> </w:t>
      </w:r>
      <w:r w:rsidR="00425386" w:rsidRPr="00731644">
        <w:rPr>
          <w:lang w:val="fr-CH"/>
        </w:rPr>
        <w:t>‘</w:t>
      </w:r>
      <w:r w:rsidR="00CE4E9D" w:rsidRPr="00731644">
        <w:rPr>
          <w:lang w:val="fr-CH"/>
        </w:rPr>
        <w:t>d</w:t>
      </w:r>
      <w:r w:rsidR="007A774E" w:rsidRPr="00731644">
        <w:rPr>
          <w:lang w:val="fr-CH"/>
        </w:rPr>
        <w:t>iscrimination</w:t>
      </w:r>
      <w:r w:rsidR="00425386" w:rsidRPr="00731644">
        <w:rPr>
          <w:lang w:val="fr-CH"/>
        </w:rPr>
        <w:t>’</w:t>
      </w:r>
      <w:r w:rsidR="007A774E" w:rsidRPr="00731644">
        <w:rPr>
          <w:lang w:val="fr-CH"/>
        </w:rPr>
        <w:t xml:space="preserve"> </w:t>
      </w:r>
      <w:r w:rsidR="00657185" w:rsidRPr="00731644">
        <w:rPr>
          <w:lang w:val="fr-CH"/>
        </w:rPr>
        <w:t>s</w:t>
      </w:r>
      <w:r w:rsidR="00425386" w:rsidRPr="00731644">
        <w:rPr>
          <w:lang w:val="fr-CH"/>
        </w:rPr>
        <w:t>’</w:t>
      </w:r>
      <w:r w:rsidR="00657185" w:rsidRPr="00731644">
        <w:rPr>
          <w:lang w:val="fr-CH"/>
        </w:rPr>
        <w:t xml:space="preserve">entend de </w:t>
      </w:r>
      <w:r w:rsidR="00CE4E9D" w:rsidRPr="00731644">
        <w:rPr>
          <w:lang w:val="fr-CH"/>
        </w:rPr>
        <w:t xml:space="preserve">toute distinction ou </w:t>
      </w:r>
      <w:r w:rsidR="00657185" w:rsidRPr="00731644">
        <w:rPr>
          <w:lang w:val="fr-CH"/>
        </w:rPr>
        <w:t xml:space="preserve">de </w:t>
      </w:r>
      <w:r w:rsidR="00CE4E9D" w:rsidRPr="00731644">
        <w:rPr>
          <w:lang w:val="fr-CH"/>
        </w:rPr>
        <w:t>tout traitement inégal</w:t>
      </w:r>
      <w:r w:rsidR="00B4487F" w:rsidRPr="00731644">
        <w:rPr>
          <w:lang w:val="fr-CH"/>
        </w:rPr>
        <w:t>,</w:t>
      </w:r>
      <w:r w:rsidR="00CE4E9D" w:rsidRPr="00731644">
        <w:rPr>
          <w:lang w:val="fr-CH"/>
        </w:rPr>
        <w:t xml:space="preserve"> direct</w:t>
      </w:r>
      <w:r w:rsidR="001343DD" w:rsidRPr="00731644">
        <w:rPr>
          <w:lang w:val="fr-CH"/>
        </w:rPr>
        <w:t>s</w:t>
      </w:r>
      <w:r w:rsidR="00CE4E9D" w:rsidRPr="00731644">
        <w:rPr>
          <w:lang w:val="fr-CH"/>
        </w:rPr>
        <w:t xml:space="preserve"> ou indirect</w:t>
      </w:r>
      <w:r w:rsidR="001343DD" w:rsidRPr="00731644">
        <w:rPr>
          <w:lang w:val="fr-CH"/>
        </w:rPr>
        <w:t>s</w:t>
      </w:r>
      <w:r w:rsidR="00CE4E9D" w:rsidRPr="00731644">
        <w:rPr>
          <w:lang w:val="fr-CH"/>
        </w:rPr>
        <w:t>, juridique</w:t>
      </w:r>
      <w:r w:rsidR="001343DD" w:rsidRPr="00731644">
        <w:rPr>
          <w:lang w:val="fr-CH"/>
        </w:rPr>
        <w:t>s</w:t>
      </w:r>
      <w:r w:rsidR="00CE4E9D" w:rsidRPr="00731644">
        <w:rPr>
          <w:lang w:val="fr-CH"/>
        </w:rPr>
        <w:t xml:space="preserve"> ou matériel</w:t>
      </w:r>
      <w:r w:rsidR="001343DD" w:rsidRPr="00731644">
        <w:rPr>
          <w:lang w:val="fr-CH"/>
        </w:rPr>
        <w:t>s</w:t>
      </w:r>
      <w:r w:rsidR="00B4487F" w:rsidRPr="00731644">
        <w:rPr>
          <w:lang w:val="fr-CH"/>
        </w:rPr>
        <w:t>,</w:t>
      </w:r>
      <w:r w:rsidR="00CE4E9D" w:rsidRPr="00731644">
        <w:rPr>
          <w:lang w:val="fr-CH"/>
        </w:rPr>
        <w:t xml:space="preserve"> injustifié</w:t>
      </w:r>
      <w:r w:rsidR="001343DD" w:rsidRPr="00731644">
        <w:rPr>
          <w:lang w:val="fr-CH"/>
        </w:rPr>
        <w:t>s</w:t>
      </w:r>
      <w:r w:rsidR="007A774E" w:rsidRPr="00731644">
        <w:rPr>
          <w:lang w:val="fr-CH"/>
        </w:rPr>
        <w:t xml:space="preserve"> </w:t>
      </w:r>
      <w:r w:rsidR="00A94438" w:rsidRPr="00731644">
        <w:rPr>
          <w:lang w:val="fr-CH"/>
        </w:rPr>
        <w:t>d</w:t>
      </w:r>
      <w:r w:rsidR="00425386" w:rsidRPr="00731644">
        <w:rPr>
          <w:lang w:val="fr-CH"/>
        </w:rPr>
        <w:t>’</w:t>
      </w:r>
      <w:r w:rsidR="00A94438" w:rsidRPr="00731644">
        <w:rPr>
          <w:lang w:val="fr-CH"/>
        </w:rPr>
        <w:t>une personne ou d</w:t>
      </w:r>
      <w:r w:rsidR="00425386" w:rsidRPr="00731644">
        <w:rPr>
          <w:lang w:val="fr-CH"/>
        </w:rPr>
        <w:t>’</w:t>
      </w:r>
      <w:r w:rsidR="00A94438" w:rsidRPr="00731644">
        <w:rPr>
          <w:lang w:val="fr-CH"/>
        </w:rPr>
        <w:t xml:space="preserve">un groupe </w:t>
      </w:r>
      <w:r w:rsidR="00B569C5" w:rsidRPr="00731644">
        <w:rPr>
          <w:lang w:val="fr-CH"/>
        </w:rPr>
        <w:t>de personnes</w:t>
      </w:r>
      <w:r w:rsidR="00A94438" w:rsidRPr="00731644">
        <w:rPr>
          <w:lang w:val="fr-CH"/>
        </w:rPr>
        <w:t xml:space="preserve"> par rapport à d</w:t>
      </w:r>
      <w:r w:rsidR="00425386" w:rsidRPr="00731644">
        <w:rPr>
          <w:lang w:val="fr-CH"/>
        </w:rPr>
        <w:t>’</w:t>
      </w:r>
      <w:r w:rsidR="00A94438" w:rsidRPr="00731644">
        <w:rPr>
          <w:lang w:val="fr-CH"/>
        </w:rPr>
        <w:t xml:space="preserve">autres, ainsi que </w:t>
      </w:r>
      <w:r w:rsidR="00657185" w:rsidRPr="00731644">
        <w:rPr>
          <w:lang w:val="fr-CH"/>
        </w:rPr>
        <w:t xml:space="preserve">de </w:t>
      </w:r>
      <w:r w:rsidR="00A94438" w:rsidRPr="00731644">
        <w:rPr>
          <w:lang w:val="fr-CH"/>
        </w:rPr>
        <w:t>toute exclusion, restriction ou préférence s</w:t>
      </w:r>
      <w:r w:rsidR="00425386" w:rsidRPr="00731644">
        <w:rPr>
          <w:lang w:val="fr-CH"/>
        </w:rPr>
        <w:t>’</w:t>
      </w:r>
      <w:r w:rsidR="00A94438" w:rsidRPr="00731644">
        <w:rPr>
          <w:lang w:val="fr-CH"/>
        </w:rPr>
        <w:t>appliquant à une personne par rapport à d</w:t>
      </w:r>
      <w:r w:rsidR="00425386" w:rsidRPr="00731644">
        <w:rPr>
          <w:lang w:val="fr-CH"/>
        </w:rPr>
        <w:t>’</w:t>
      </w:r>
      <w:r w:rsidR="00A94438" w:rsidRPr="00731644">
        <w:rPr>
          <w:lang w:val="fr-CH"/>
        </w:rPr>
        <w:t xml:space="preserve">autres, </w:t>
      </w:r>
      <w:r w:rsidR="001343DD" w:rsidRPr="00731644">
        <w:rPr>
          <w:lang w:val="fr-CH"/>
        </w:rPr>
        <w:t>en raison du</w:t>
      </w:r>
      <w:r w:rsidR="00A94438" w:rsidRPr="00731644">
        <w:rPr>
          <w:lang w:val="fr-CH"/>
        </w:rPr>
        <w:t xml:space="preserve"> sexe, </w:t>
      </w:r>
      <w:r w:rsidR="001343DD" w:rsidRPr="00731644">
        <w:rPr>
          <w:lang w:val="fr-CH"/>
        </w:rPr>
        <w:t xml:space="preserve">de </w:t>
      </w:r>
      <w:r w:rsidR="00A94438" w:rsidRPr="00731644">
        <w:rPr>
          <w:lang w:val="fr-CH"/>
        </w:rPr>
        <w:t xml:space="preserve">la race, </w:t>
      </w:r>
      <w:r w:rsidR="001343DD" w:rsidRPr="00731644">
        <w:rPr>
          <w:lang w:val="fr-CH"/>
        </w:rPr>
        <w:t xml:space="preserve">de </w:t>
      </w:r>
      <w:r w:rsidR="00A94438" w:rsidRPr="00731644">
        <w:rPr>
          <w:lang w:val="fr-CH"/>
        </w:rPr>
        <w:t xml:space="preserve">la couleur de la peau, </w:t>
      </w:r>
      <w:r w:rsidR="001343DD" w:rsidRPr="00731644">
        <w:rPr>
          <w:lang w:val="fr-CH"/>
        </w:rPr>
        <w:t xml:space="preserve">de </w:t>
      </w:r>
      <w:r w:rsidR="00A94438" w:rsidRPr="00731644">
        <w:rPr>
          <w:lang w:val="fr-CH"/>
        </w:rPr>
        <w:t xml:space="preserve">la nationalité, </w:t>
      </w:r>
      <w:r w:rsidR="001343DD" w:rsidRPr="00731644">
        <w:rPr>
          <w:lang w:val="fr-CH"/>
        </w:rPr>
        <w:t xml:space="preserve">de </w:t>
      </w:r>
      <w:r w:rsidR="00A94438" w:rsidRPr="00731644">
        <w:rPr>
          <w:lang w:val="fr-CH"/>
        </w:rPr>
        <w:t>l</w:t>
      </w:r>
      <w:r w:rsidR="00425386" w:rsidRPr="00731644">
        <w:rPr>
          <w:lang w:val="fr-CH"/>
        </w:rPr>
        <w:t>’</w:t>
      </w:r>
      <w:r w:rsidR="00A94438" w:rsidRPr="00731644">
        <w:rPr>
          <w:lang w:val="fr-CH"/>
        </w:rPr>
        <w:t>origine sociale ou ethnique,</w:t>
      </w:r>
      <w:r w:rsidR="00F31DD5" w:rsidRPr="00731644">
        <w:rPr>
          <w:lang w:val="fr-CH"/>
        </w:rPr>
        <w:t xml:space="preserve"> </w:t>
      </w:r>
      <w:r w:rsidR="001343DD" w:rsidRPr="00731644">
        <w:rPr>
          <w:lang w:val="fr-CH"/>
        </w:rPr>
        <w:t xml:space="preserve">de </w:t>
      </w:r>
      <w:r w:rsidR="00A94438" w:rsidRPr="00731644">
        <w:rPr>
          <w:lang w:val="fr-CH"/>
        </w:rPr>
        <w:t>l</w:t>
      </w:r>
      <w:r w:rsidR="00425386" w:rsidRPr="00731644">
        <w:rPr>
          <w:lang w:val="fr-CH"/>
        </w:rPr>
        <w:t>’</w:t>
      </w:r>
      <w:r w:rsidR="00A94438" w:rsidRPr="00731644">
        <w:rPr>
          <w:lang w:val="fr-CH"/>
        </w:rPr>
        <w:t>appartenance à une nation ou à une communauté nationale minoritaires</w:t>
      </w:r>
      <w:r w:rsidR="007A774E" w:rsidRPr="00731644">
        <w:rPr>
          <w:lang w:val="fr-CH"/>
        </w:rPr>
        <w:t xml:space="preserve">, </w:t>
      </w:r>
      <w:r w:rsidR="001343DD" w:rsidRPr="00731644">
        <w:rPr>
          <w:lang w:val="fr-CH"/>
        </w:rPr>
        <w:t xml:space="preserve">de </w:t>
      </w:r>
      <w:r w:rsidR="00A94438" w:rsidRPr="00731644">
        <w:rPr>
          <w:lang w:val="fr-CH"/>
        </w:rPr>
        <w:t xml:space="preserve">la langue, </w:t>
      </w:r>
      <w:r w:rsidR="001343DD" w:rsidRPr="00731644">
        <w:rPr>
          <w:lang w:val="fr-CH"/>
        </w:rPr>
        <w:t xml:space="preserve">de </w:t>
      </w:r>
      <w:r w:rsidR="00A94438" w:rsidRPr="00731644">
        <w:rPr>
          <w:lang w:val="fr-CH"/>
        </w:rPr>
        <w:t xml:space="preserve">la </w:t>
      </w:r>
      <w:r w:rsidR="007A774E" w:rsidRPr="00731644">
        <w:rPr>
          <w:lang w:val="fr-CH"/>
        </w:rPr>
        <w:t xml:space="preserve">confession, </w:t>
      </w:r>
      <w:r w:rsidR="001343DD" w:rsidRPr="00731644">
        <w:rPr>
          <w:lang w:val="fr-CH"/>
        </w:rPr>
        <w:t>d</w:t>
      </w:r>
      <w:r w:rsidR="00A94438" w:rsidRPr="00731644">
        <w:rPr>
          <w:lang w:val="fr-CH"/>
        </w:rPr>
        <w:t>es opinions politiques ou aut</w:t>
      </w:r>
      <w:r w:rsidR="00657185" w:rsidRPr="00731644">
        <w:rPr>
          <w:lang w:val="fr-CH"/>
        </w:rPr>
        <w:t>r</w:t>
      </w:r>
      <w:r w:rsidR="00A94438" w:rsidRPr="00731644">
        <w:rPr>
          <w:lang w:val="fr-CH"/>
        </w:rPr>
        <w:t xml:space="preserve">es, </w:t>
      </w:r>
      <w:r w:rsidR="001343DD" w:rsidRPr="00731644">
        <w:rPr>
          <w:lang w:val="fr-CH"/>
        </w:rPr>
        <w:t xml:space="preserve">de </w:t>
      </w:r>
      <w:r w:rsidR="00A94438" w:rsidRPr="00731644">
        <w:rPr>
          <w:lang w:val="fr-CH"/>
        </w:rPr>
        <w:t>l</w:t>
      </w:r>
      <w:r w:rsidR="00425386" w:rsidRPr="00731644">
        <w:rPr>
          <w:lang w:val="fr-CH"/>
        </w:rPr>
        <w:t>’</w:t>
      </w:r>
      <w:r w:rsidR="00A94438" w:rsidRPr="00731644">
        <w:rPr>
          <w:lang w:val="fr-CH"/>
        </w:rPr>
        <w:t xml:space="preserve">orientation sexuelle, </w:t>
      </w:r>
      <w:r w:rsidR="001343DD" w:rsidRPr="00731644">
        <w:rPr>
          <w:lang w:val="fr-CH"/>
        </w:rPr>
        <w:t xml:space="preserve">de </w:t>
      </w:r>
      <w:r w:rsidR="00A94438" w:rsidRPr="00731644">
        <w:rPr>
          <w:lang w:val="fr-CH"/>
        </w:rPr>
        <w:t>l</w:t>
      </w:r>
      <w:r w:rsidR="00425386" w:rsidRPr="00731644">
        <w:rPr>
          <w:lang w:val="fr-CH"/>
        </w:rPr>
        <w:t>’</w:t>
      </w:r>
      <w:r w:rsidR="00A94438" w:rsidRPr="00731644">
        <w:rPr>
          <w:lang w:val="fr-CH"/>
        </w:rPr>
        <w:t xml:space="preserve">état de santé, </w:t>
      </w:r>
      <w:r w:rsidR="00B4487F" w:rsidRPr="00731644">
        <w:rPr>
          <w:lang w:val="fr-CH"/>
        </w:rPr>
        <w:t>du handicap</w:t>
      </w:r>
      <w:r w:rsidR="00A94438" w:rsidRPr="00731644">
        <w:rPr>
          <w:lang w:val="fr-CH"/>
        </w:rPr>
        <w:t xml:space="preserve">, </w:t>
      </w:r>
      <w:r w:rsidR="001343DD" w:rsidRPr="00731644">
        <w:rPr>
          <w:lang w:val="fr-CH"/>
        </w:rPr>
        <w:t xml:space="preserve">de </w:t>
      </w:r>
      <w:r w:rsidR="00A94438" w:rsidRPr="00731644">
        <w:rPr>
          <w:lang w:val="fr-CH"/>
        </w:rPr>
        <w:t>l</w:t>
      </w:r>
      <w:r w:rsidR="00425386" w:rsidRPr="00731644">
        <w:rPr>
          <w:lang w:val="fr-CH"/>
        </w:rPr>
        <w:t>’</w:t>
      </w:r>
      <w:r w:rsidR="00A94438" w:rsidRPr="00731644">
        <w:rPr>
          <w:lang w:val="fr-CH"/>
        </w:rPr>
        <w:t xml:space="preserve">âge, </w:t>
      </w:r>
      <w:r w:rsidR="001343DD" w:rsidRPr="00731644">
        <w:rPr>
          <w:lang w:val="fr-CH"/>
        </w:rPr>
        <w:t xml:space="preserve">de </w:t>
      </w:r>
      <w:r w:rsidR="00A94438" w:rsidRPr="00731644">
        <w:rPr>
          <w:lang w:val="fr-CH"/>
        </w:rPr>
        <w:t xml:space="preserve">la situation matérielle, </w:t>
      </w:r>
      <w:r w:rsidR="001343DD" w:rsidRPr="00731644">
        <w:rPr>
          <w:lang w:val="fr-CH"/>
        </w:rPr>
        <w:t xml:space="preserve">de </w:t>
      </w:r>
      <w:r w:rsidR="00A94438" w:rsidRPr="00731644">
        <w:rPr>
          <w:lang w:val="fr-CH"/>
        </w:rPr>
        <w:t>l</w:t>
      </w:r>
      <w:r w:rsidR="00425386" w:rsidRPr="00731644">
        <w:rPr>
          <w:lang w:val="fr-CH"/>
        </w:rPr>
        <w:t>’</w:t>
      </w:r>
      <w:r w:rsidR="00A94438" w:rsidRPr="00731644">
        <w:rPr>
          <w:lang w:val="fr-CH"/>
        </w:rPr>
        <w:t>appartenance effective ou présumée à un groupe</w:t>
      </w:r>
      <w:r w:rsidR="00657185" w:rsidRPr="00731644">
        <w:rPr>
          <w:lang w:val="fr-CH"/>
        </w:rPr>
        <w:t>,</w:t>
      </w:r>
      <w:r w:rsidR="00A94438" w:rsidRPr="00731644">
        <w:rPr>
          <w:lang w:val="fr-CH"/>
        </w:rPr>
        <w:t xml:space="preserve"> ou </w:t>
      </w:r>
      <w:r w:rsidR="001343DD" w:rsidRPr="00731644">
        <w:rPr>
          <w:lang w:val="fr-CH"/>
        </w:rPr>
        <w:t xml:space="preserve">de </w:t>
      </w:r>
      <w:r w:rsidR="00A94438" w:rsidRPr="00731644">
        <w:rPr>
          <w:lang w:val="fr-CH"/>
        </w:rPr>
        <w:t xml:space="preserve">toute autre caractéristique </w:t>
      </w:r>
      <w:r w:rsidR="00A66512" w:rsidRPr="00731644">
        <w:rPr>
          <w:lang w:val="fr-CH"/>
        </w:rPr>
        <w:t>personnelle</w:t>
      </w:r>
      <w:r w:rsidR="00A94438" w:rsidRPr="00731644">
        <w:rPr>
          <w:lang w:val="fr-CH"/>
        </w:rPr>
        <w:t xml:space="preserve">. </w:t>
      </w:r>
    </w:p>
    <w:p w:rsidR="00DC6FD1" w:rsidRPr="00731644" w:rsidRDefault="00DC6FD1" w:rsidP="005E7B4F">
      <w:pPr>
        <w:pStyle w:val="SingleTxtG"/>
        <w:ind w:left="1701" w:firstLine="567"/>
        <w:rPr>
          <w:lang w:val="fr-CH"/>
        </w:rPr>
      </w:pPr>
      <w:r w:rsidRPr="00731644">
        <w:rPr>
          <w:lang w:val="fr-CH"/>
        </w:rPr>
        <w:t>La</w:t>
      </w:r>
      <w:r w:rsidR="007A774E" w:rsidRPr="00731644">
        <w:rPr>
          <w:lang w:val="fr-CH"/>
        </w:rPr>
        <w:t xml:space="preserve"> discrimination </w:t>
      </w:r>
      <w:r w:rsidRPr="00731644">
        <w:rPr>
          <w:lang w:val="fr-CH"/>
        </w:rPr>
        <w:t xml:space="preserve">est directe si une personne ou un groupe </w:t>
      </w:r>
      <w:r w:rsidR="00B569C5" w:rsidRPr="00731644">
        <w:rPr>
          <w:lang w:val="fr-CH"/>
        </w:rPr>
        <w:t>de personnes</w:t>
      </w:r>
      <w:r w:rsidRPr="00731644">
        <w:rPr>
          <w:lang w:val="fr-CH"/>
        </w:rPr>
        <w:t xml:space="preserve">, </w:t>
      </w:r>
      <w:r w:rsidR="007D76A5" w:rsidRPr="00731644">
        <w:rPr>
          <w:lang w:val="fr-CH"/>
        </w:rPr>
        <w:t>dont</w:t>
      </w:r>
      <w:r w:rsidRPr="00731644">
        <w:rPr>
          <w:lang w:val="fr-CH"/>
        </w:rPr>
        <w:t xml:space="preserve"> la situation est identique ou analogue à celle d</w:t>
      </w:r>
      <w:r w:rsidR="00425386" w:rsidRPr="00731644">
        <w:rPr>
          <w:lang w:val="fr-CH"/>
        </w:rPr>
        <w:t>’</w:t>
      </w:r>
      <w:r w:rsidRPr="00731644">
        <w:rPr>
          <w:lang w:val="fr-CH"/>
        </w:rPr>
        <w:t>une autre personne ou d</w:t>
      </w:r>
      <w:r w:rsidR="00425386" w:rsidRPr="00731644">
        <w:rPr>
          <w:lang w:val="fr-CH"/>
        </w:rPr>
        <w:t>’</w:t>
      </w:r>
      <w:r w:rsidRPr="00731644">
        <w:rPr>
          <w:lang w:val="fr-CH"/>
        </w:rPr>
        <w:t>un autre groupe, se trouve</w:t>
      </w:r>
      <w:r w:rsidR="009707E7" w:rsidRPr="00731644">
        <w:rPr>
          <w:lang w:val="fr-CH"/>
        </w:rPr>
        <w:t>nt</w:t>
      </w:r>
      <w:r w:rsidRPr="00731644">
        <w:rPr>
          <w:lang w:val="fr-CH"/>
        </w:rPr>
        <w:t xml:space="preserve"> ou </w:t>
      </w:r>
      <w:r w:rsidR="009707E7" w:rsidRPr="00731644">
        <w:rPr>
          <w:lang w:val="fr-CH"/>
        </w:rPr>
        <w:t>se sont</w:t>
      </w:r>
      <w:r w:rsidRPr="00731644">
        <w:rPr>
          <w:lang w:val="fr-CH"/>
        </w:rPr>
        <w:t xml:space="preserve"> trouvé</w:t>
      </w:r>
      <w:r w:rsidR="009707E7" w:rsidRPr="00731644">
        <w:rPr>
          <w:lang w:val="fr-CH"/>
        </w:rPr>
        <w:t>s</w:t>
      </w:r>
      <w:r w:rsidRPr="00731644">
        <w:rPr>
          <w:lang w:val="fr-CH"/>
        </w:rPr>
        <w:t xml:space="preserve"> placé</w:t>
      </w:r>
      <w:r w:rsidR="009707E7" w:rsidRPr="00731644">
        <w:rPr>
          <w:lang w:val="fr-CH"/>
        </w:rPr>
        <w:t>s</w:t>
      </w:r>
      <w:r w:rsidRPr="00731644">
        <w:rPr>
          <w:lang w:val="fr-CH"/>
        </w:rPr>
        <w:t xml:space="preserve"> dans une position défavorable par un acte, une initiative ou une omission</w:t>
      </w:r>
      <w:r w:rsidR="007A774E" w:rsidRPr="00731644">
        <w:rPr>
          <w:lang w:val="fr-CH"/>
        </w:rPr>
        <w:t xml:space="preserve"> </w:t>
      </w:r>
      <w:r w:rsidRPr="00731644">
        <w:rPr>
          <w:lang w:val="fr-CH"/>
        </w:rPr>
        <w:t>motivée par l</w:t>
      </w:r>
      <w:r w:rsidR="00425386" w:rsidRPr="00731644">
        <w:rPr>
          <w:lang w:val="fr-CH"/>
        </w:rPr>
        <w:t>’</w:t>
      </w:r>
      <w:r w:rsidRPr="00731644">
        <w:rPr>
          <w:lang w:val="fr-CH"/>
        </w:rPr>
        <w:t xml:space="preserve">une quelconque des </w:t>
      </w:r>
      <w:r w:rsidR="00BA68D2" w:rsidRPr="00731644">
        <w:rPr>
          <w:lang w:val="fr-CH"/>
        </w:rPr>
        <w:t>considérati</w:t>
      </w:r>
      <w:r w:rsidRPr="00731644">
        <w:rPr>
          <w:lang w:val="fr-CH"/>
        </w:rPr>
        <w:t xml:space="preserve">ons </w:t>
      </w:r>
      <w:r w:rsidR="00BA68D2" w:rsidRPr="00731644">
        <w:rPr>
          <w:lang w:val="fr-CH"/>
        </w:rPr>
        <w:t>cit</w:t>
      </w:r>
      <w:r w:rsidRPr="00731644">
        <w:rPr>
          <w:lang w:val="fr-CH"/>
        </w:rPr>
        <w:t xml:space="preserve">ées au premier </w:t>
      </w:r>
      <w:r w:rsidR="00B569C5" w:rsidRPr="00731644">
        <w:rPr>
          <w:lang w:val="fr-CH"/>
        </w:rPr>
        <w:t xml:space="preserve">paragraphe </w:t>
      </w:r>
      <w:r w:rsidRPr="00731644">
        <w:rPr>
          <w:lang w:val="fr-CH"/>
        </w:rPr>
        <w:t xml:space="preserve">du présent article. </w:t>
      </w:r>
    </w:p>
    <w:p w:rsidR="00172C67" w:rsidRPr="00731644" w:rsidRDefault="00DC6FD1" w:rsidP="005E7B4F">
      <w:pPr>
        <w:pStyle w:val="SingleTxtG"/>
        <w:ind w:left="1701" w:firstLine="567"/>
        <w:rPr>
          <w:lang w:val="fr-CH"/>
        </w:rPr>
      </w:pPr>
      <w:r w:rsidRPr="00731644">
        <w:rPr>
          <w:lang w:val="fr-CH"/>
        </w:rPr>
        <w:t>La</w:t>
      </w:r>
      <w:r w:rsidR="007A774E" w:rsidRPr="00731644">
        <w:rPr>
          <w:lang w:val="fr-CH"/>
        </w:rPr>
        <w:t xml:space="preserve"> discrimination </w:t>
      </w:r>
      <w:r w:rsidRPr="00731644">
        <w:rPr>
          <w:lang w:val="fr-CH"/>
        </w:rPr>
        <w:t>est indirecte si une disposition, un critère ou une pratique app</w:t>
      </w:r>
      <w:r w:rsidR="00813F30" w:rsidRPr="00731644">
        <w:rPr>
          <w:lang w:val="fr-CH"/>
        </w:rPr>
        <w:t>a</w:t>
      </w:r>
      <w:r w:rsidRPr="00731644">
        <w:rPr>
          <w:lang w:val="fr-CH"/>
        </w:rPr>
        <w:t>remment neutre</w:t>
      </w:r>
      <w:r w:rsidR="00657185" w:rsidRPr="00731644">
        <w:rPr>
          <w:lang w:val="fr-CH"/>
        </w:rPr>
        <w:t>s</w:t>
      </w:r>
      <w:r w:rsidRPr="00731644">
        <w:rPr>
          <w:lang w:val="fr-CH"/>
        </w:rPr>
        <w:t xml:space="preserve"> place</w:t>
      </w:r>
      <w:r w:rsidR="00657185" w:rsidRPr="00731644">
        <w:rPr>
          <w:lang w:val="fr-CH"/>
        </w:rPr>
        <w:t>nt</w:t>
      </w:r>
      <w:r w:rsidRPr="00731644">
        <w:rPr>
          <w:lang w:val="fr-CH"/>
        </w:rPr>
        <w:t xml:space="preserve"> ou peu</w:t>
      </w:r>
      <w:r w:rsidR="00657185" w:rsidRPr="00731644">
        <w:rPr>
          <w:lang w:val="fr-CH"/>
        </w:rPr>
        <w:t>ven</w:t>
      </w:r>
      <w:r w:rsidRPr="00731644">
        <w:rPr>
          <w:lang w:val="fr-CH"/>
        </w:rPr>
        <w:t xml:space="preserve">t placer une personne ou un groupe </w:t>
      </w:r>
      <w:r w:rsidR="00B569C5" w:rsidRPr="00731644">
        <w:rPr>
          <w:lang w:val="fr-CH"/>
        </w:rPr>
        <w:t>de personnes</w:t>
      </w:r>
      <w:r w:rsidR="00F31DD5" w:rsidRPr="00731644">
        <w:rPr>
          <w:lang w:val="fr-CH"/>
        </w:rPr>
        <w:t xml:space="preserve"> </w:t>
      </w:r>
      <w:r w:rsidRPr="00731644">
        <w:rPr>
          <w:lang w:val="fr-CH"/>
        </w:rPr>
        <w:t xml:space="preserve">dans une position défavorable par rapport à une autre personne ou un autre groupe </w:t>
      </w:r>
      <w:r w:rsidR="00B569C5" w:rsidRPr="00731644">
        <w:rPr>
          <w:lang w:val="fr-CH"/>
        </w:rPr>
        <w:t>de personnes</w:t>
      </w:r>
      <w:r w:rsidR="007A774E" w:rsidRPr="00731644">
        <w:rPr>
          <w:lang w:val="fr-CH"/>
        </w:rPr>
        <w:t xml:space="preserve"> </w:t>
      </w:r>
      <w:r w:rsidR="00813F30" w:rsidRPr="00731644">
        <w:rPr>
          <w:lang w:val="fr-CH"/>
        </w:rPr>
        <w:t>en raison de l</w:t>
      </w:r>
      <w:r w:rsidR="00425386" w:rsidRPr="00731644">
        <w:rPr>
          <w:lang w:val="fr-CH"/>
        </w:rPr>
        <w:t>’</w:t>
      </w:r>
      <w:r w:rsidR="00813F30" w:rsidRPr="00731644">
        <w:rPr>
          <w:lang w:val="fr-CH"/>
        </w:rPr>
        <w:t xml:space="preserve">une quelconque des considérations </w:t>
      </w:r>
      <w:r w:rsidR="00BA68D2" w:rsidRPr="00731644">
        <w:rPr>
          <w:lang w:val="fr-CH"/>
        </w:rPr>
        <w:t>cit</w:t>
      </w:r>
      <w:r w:rsidR="00813F30" w:rsidRPr="00731644">
        <w:rPr>
          <w:lang w:val="fr-CH"/>
        </w:rPr>
        <w:t xml:space="preserve">ées au premier </w:t>
      </w:r>
      <w:r w:rsidR="00CB7658" w:rsidRPr="00731644">
        <w:rPr>
          <w:lang w:val="fr-CH"/>
        </w:rPr>
        <w:t>paragraphe</w:t>
      </w:r>
      <w:r w:rsidR="00FC3369">
        <w:rPr>
          <w:lang w:val="fr-CH"/>
        </w:rPr>
        <w:t xml:space="preserve"> </w:t>
      </w:r>
      <w:r w:rsidR="00813F30" w:rsidRPr="00731644">
        <w:rPr>
          <w:lang w:val="fr-CH"/>
        </w:rPr>
        <w:t>du présent a</w:t>
      </w:r>
      <w:r w:rsidR="007A774E" w:rsidRPr="00731644">
        <w:rPr>
          <w:lang w:val="fr-CH"/>
        </w:rPr>
        <w:t xml:space="preserve">rticle, </w:t>
      </w:r>
      <w:r w:rsidR="00813F30" w:rsidRPr="00731644">
        <w:rPr>
          <w:lang w:val="fr-CH"/>
        </w:rPr>
        <w:t xml:space="preserve">sauf lorsque cette disposition, ce critère ou cette pratique sont objectivement et raisonnablement justifiés par un </w:t>
      </w:r>
      <w:r w:rsidR="00172C67" w:rsidRPr="00731644">
        <w:rPr>
          <w:lang w:val="fr-CH"/>
        </w:rPr>
        <w:t>but</w:t>
      </w:r>
      <w:r w:rsidR="00813F30" w:rsidRPr="00731644">
        <w:rPr>
          <w:lang w:val="fr-CH"/>
        </w:rPr>
        <w:t xml:space="preserve"> légitime et susceptible d</w:t>
      </w:r>
      <w:r w:rsidR="00425386" w:rsidRPr="00731644">
        <w:rPr>
          <w:lang w:val="fr-CH"/>
        </w:rPr>
        <w:t>’</w:t>
      </w:r>
      <w:r w:rsidR="00813F30" w:rsidRPr="00731644">
        <w:rPr>
          <w:lang w:val="fr-CH"/>
        </w:rPr>
        <w:t xml:space="preserve">être atteint par des moyens adéquats et indispensables à la réalisation </w:t>
      </w:r>
      <w:r w:rsidR="00172C67" w:rsidRPr="00731644">
        <w:rPr>
          <w:lang w:val="fr-CH"/>
        </w:rPr>
        <w:t>de ce but</w:t>
      </w:r>
      <w:r w:rsidR="00813F30" w:rsidRPr="00731644">
        <w:rPr>
          <w:lang w:val="fr-CH"/>
        </w:rPr>
        <w:t>, ou lorsqu</w:t>
      </w:r>
      <w:r w:rsidR="00425386" w:rsidRPr="00731644">
        <w:rPr>
          <w:lang w:val="fr-CH"/>
        </w:rPr>
        <w:t>’</w:t>
      </w:r>
      <w:r w:rsidR="00813F30" w:rsidRPr="00731644">
        <w:rPr>
          <w:lang w:val="fr-CH"/>
        </w:rPr>
        <w:t xml:space="preserve">ils sont </w:t>
      </w:r>
      <w:r w:rsidR="007A774E" w:rsidRPr="00731644">
        <w:rPr>
          <w:lang w:val="fr-CH"/>
        </w:rPr>
        <w:t>acceptable</w:t>
      </w:r>
      <w:r w:rsidR="00813F30" w:rsidRPr="00731644">
        <w:rPr>
          <w:lang w:val="fr-CH"/>
        </w:rPr>
        <w:t xml:space="preserve">s et proportionnés </w:t>
      </w:r>
      <w:r w:rsidR="00172C67" w:rsidRPr="00731644">
        <w:rPr>
          <w:lang w:val="fr-CH"/>
        </w:rPr>
        <w:t>au but visé.</w:t>
      </w:r>
      <w:r w:rsidR="00F31DD5" w:rsidRPr="00731644">
        <w:rPr>
          <w:lang w:val="fr-CH"/>
        </w:rPr>
        <w:t xml:space="preserve"> </w:t>
      </w:r>
    </w:p>
    <w:p w:rsidR="007A774E" w:rsidRPr="00731644" w:rsidRDefault="00172C67" w:rsidP="005E7B4F">
      <w:pPr>
        <w:pStyle w:val="SingleTxtG"/>
        <w:ind w:left="1701" w:firstLine="567"/>
        <w:rPr>
          <w:lang w:val="fr-CH"/>
        </w:rPr>
      </w:pPr>
      <w:r w:rsidRPr="00731644">
        <w:rPr>
          <w:lang w:val="fr-CH"/>
        </w:rPr>
        <w:t>L</w:t>
      </w:r>
      <w:r w:rsidR="00425386" w:rsidRPr="00731644">
        <w:rPr>
          <w:lang w:val="fr-CH"/>
        </w:rPr>
        <w:t>’</w:t>
      </w:r>
      <w:r w:rsidRPr="00731644">
        <w:rPr>
          <w:lang w:val="fr-CH"/>
        </w:rPr>
        <w:t xml:space="preserve">incitation à exercer une discrimination envers une personne ou un groupe </w:t>
      </w:r>
      <w:r w:rsidR="00B569C5" w:rsidRPr="00731644">
        <w:rPr>
          <w:lang w:val="fr-CH"/>
        </w:rPr>
        <w:t>de personnes</w:t>
      </w:r>
      <w:r w:rsidRPr="00731644">
        <w:rPr>
          <w:lang w:val="fr-CH"/>
        </w:rPr>
        <w:t xml:space="preserve"> pour l</w:t>
      </w:r>
      <w:r w:rsidR="00425386" w:rsidRPr="00731644">
        <w:rPr>
          <w:lang w:val="fr-CH"/>
        </w:rPr>
        <w:t>’</w:t>
      </w:r>
      <w:r w:rsidRPr="00731644">
        <w:rPr>
          <w:lang w:val="fr-CH"/>
        </w:rPr>
        <w:t xml:space="preserve">un quelconque des </w:t>
      </w:r>
      <w:r w:rsidR="00BA68D2" w:rsidRPr="00731644">
        <w:rPr>
          <w:lang w:val="fr-CH"/>
        </w:rPr>
        <w:t>motifs cités</w:t>
      </w:r>
      <w:r w:rsidRPr="00731644">
        <w:rPr>
          <w:lang w:val="fr-CH"/>
        </w:rPr>
        <w:t xml:space="preserve"> au premier </w:t>
      </w:r>
      <w:r w:rsidR="00B569C5" w:rsidRPr="00731644">
        <w:rPr>
          <w:lang w:val="fr-CH"/>
        </w:rPr>
        <w:t xml:space="preserve">paragraphe </w:t>
      </w:r>
      <w:r w:rsidRPr="00731644">
        <w:rPr>
          <w:lang w:val="fr-CH"/>
        </w:rPr>
        <w:t xml:space="preserve">du présent </w:t>
      </w:r>
      <w:r w:rsidR="00FC3369">
        <w:rPr>
          <w:lang w:val="fr-CH"/>
        </w:rPr>
        <w:t xml:space="preserve">article </w:t>
      </w:r>
      <w:r w:rsidRPr="00731644">
        <w:rPr>
          <w:lang w:val="fr-CH"/>
        </w:rPr>
        <w:t>est assimilée à une</w:t>
      </w:r>
      <w:r w:rsidR="007A774E" w:rsidRPr="00731644">
        <w:rPr>
          <w:lang w:val="fr-CH"/>
        </w:rPr>
        <w:t xml:space="preserve"> discrimination.</w:t>
      </w:r>
      <w:r w:rsidR="002061AB">
        <w:rPr>
          <w:lang w:val="fr-CH"/>
        </w:rPr>
        <w:t>»</w:t>
      </w:r>
    </w:p>
    <w:p w:rsidR="007A774E" w:rsidRPr="00731644" w:rsidRDefault="00963C89" w:rsidP="007A774E">
      <w:pPr>
        <w:pStyle w:val="SingleTxtG"/>
        <w:rPr>
          <w:lang w:val="fr-CH"/>
        </w:rPr>
      </w:pPr>
      <w:r w:rsidRPr="00731644">
        <w:rPr>
          <w:lang w:val="fr-CH"/>
        </w:rPr>
        <w:t>39</w:t>
      </w:r>
      <w:r w:rsidR="004103DC" w:rsidRPr="00731644">
        <w:rPr>
          <w:lang w:val="fr-CH"/>
        </w:rPr>
        <w:t>.</w:t>
      </w:r>
      <w:r w:rsidR="004103DC" w:rsidRPr="00731644">
        <w:rPr>
          <w:lang w:val="fr-CH"/>
        </w:rPr>
        <w:tab/>
      </w:r>
      <w:r w:rsidR="00B4487F" w:rsidRPr="00731644">
        <w:rPr>
          <w:lang w:val="fr-CH"/>
        </w:rPr>
        <w:t>Outre les</w:t>
      </w:r>
      <w:r w:rsidR="00AC7B74" w:rsidRPr="00731644">
        <w:rPr>
          <w:lang w:val="fr-CH"/>
        </w:rPr>
        <w:t xml:space="preserve"> </w:t>
      </w:r>
      <w:r w:rsidR="00A66512" w:rsidRPr="00731644">
        <w:rPr>
          <w:lang w:val="fr-CH"/>
        </w:rPr>
        <w:t>définitions</w:t>
      </w:r>
      <w:r w:rsidR="00AC7B74" w:rsidRPr="00731644">
        <w:rPr>
          <w:lang w:val="fr-CH"/>
        </w:rPr>
        <w:t xml:space="preserve"> qu</w:t>
      </w:r>
      <w:r w:rsidR="00425386" w:rsidRPr="00731644">
        <w:rPr>
          <w:lang w:val="fr-CH"/>
        </w:rPr>
        <w:t>’</w:t>
      </w:r>
      <w:r w:rsidR="00AC7B74" w:rsidRPr="00731644">
        <w:rPr>
          <w:lang w:val="fr-CH"/>
        </w:rPr>
        <w:t xml:space="preserve">elle donne, la loi reconnaît un certain nombre de principes, </w:t>
      </w:r>
      <w:r w:rsidR="00BA68D2" w:rsidRPr="00731644">
        <w:rPr>
          <w:lang w:val="fr-CH"/>
        </w:rPr>
        <w:t xml:space="preserve">qui sont </w:t>
      </w:r>
      <w:r w:rsidR="00A66512" w:rsidRPr="00731644">
        <w:rPr>
          <w:lang w:val="fr-CH"/>
        </w:rPr>
        <w:t>contenus</w:t>
      </w:r>
      <w:r w:rsidR="00AC7B74" w:rsidRPr="00731644">
        <w:rPr>
          <w:lang w:val="fr-CH"/>
        </w:rPr>
        <w:t xml:space="preserve"> également dans les normes internationales</w:t>
      </w:r>
      <w:r w:rsidR="00F31DD5" w:rsidRPr="00731644">
        <w:rPr>
          <w:lang w:val="fr-CH"/>
        </w:rPr>
        <w:t>:</w:t>
      </w:r>
      <w:r w:rsidR="00AC7B74" w:rsidRPr="00731644">
        <w:rPr>
          <w:lang w:val="fr-CH"/>
        </w:rPr>
        <w:t xml:space="preserve"> </w:t>
      </w:r>
      <w:r w:rsidR="00E77303" w:rsidRPr="00731644">
        <w:rPr>
          <w:lang w:val="fr-CH"/>
        </w:rPr>
        <w:t xml:space="preserve">la </w:t>
      </w:r>
      <w:r w:rsidR="007A774E" w:rsidRPr="00731644">
        <w:rPr>
          <w:lang w:val="fr-CH"/>
        </w:rPr>
        <w:t xml:space="preserve">protection </w:t>
      </w:r>
      <w:r w:rsidR="00B569C5" w:rsidRPr="00731644">
        <w:rPr>
          <w:lang w:val="fr-CH"/>
        </w:rPr>
        <w:t>des personnes</w:t>
      </w:r>
      <w:r w:rsidR="00AC7B74" w:rsidRPr="00731644">
        <w:rPr>
          <w:lang w:val="fr-CH"/>
        </w:rPr>
        <w:t xml:space="preserve"> qui </w:t>
      </w:r>
      <w:r w:rsidR="00B4487F" w:rsidRPr="00731644">
        <w:rPr>
          <w:lang w:val="fr-CH"/>
        </w:rPr>
        <w:t>donn</w:t>
      </w:r>
      <w:r w:rsidR="00AC7B74" w:rsidRPr="00731644">
        <w:rPr>
          <w:lang w:val="fr-CH"/>
        </w:rPr>
        <w:t>ent des renseignements ou qui portent témoignage sur les cas de discrimination (protection contre le harcèlement</w:t>
      </w:r>
      <w:r w:rsidR="007A774E" w:rsidRPr="00731644">
        <w:rPr>
          <w:lang w:val="fr-CH"/>
        </w:rPr>
        <w:t>)</w:t>
      </w:r>
      <w:r w:rsidR="00F31DD5" w:rsidRPr="00731644">
        <w:rPr>
          <w:lang w:val="fr-CH"/>
        </w:rPr>
        <w:t>;</w:t>
      </w:r>
      <w:r w:rsidR="007A774E" w:rsidRPr="00731644">
        <w:rPr>
          <w:lang w:val="fr-CH"/>
        </w:rPr>
        <w:t xml:space="preserve"> </w:t>
      </w:r>
      <w:r w:rsidR="00E77303" w:rsidRPr="00731644">
        <w:rPr>
          <w:lang w:val="fr-CH"/>
        </w:rPr>
        <w:t xml:space="preserve">le </w:t>
      </w:r>
      <w:r w:rsidR="00AC7B74" w:rsidRPr="00731644">
        <w:rPr>
          <w:lang w:val="fr-CH"/>
        </w:rPr>
        <w:t>principe de l</w:t>
      </w:r>
      <w:r w:rsidR="00425386" w:rsidRPr="00731644">
        <w:rPr>
          <w:lang w:val="fr-CH"/>
        </w:rPr>
        <w:t>’</w:t>
      </w:r>
      <w:r w:rsidR="00AC7B74" w:rsidRPr="00731644">
        <w:rPr>
          <w:lang w:val="fr-CH"/>
        </w:rPr>
        <w:t>action positive, sous la forme de me</w:t>
      </w:r>
      <w:r w:rsidR="00BA68D2" w:rsidRPr="00731644">
        <w:rPr>
          <w:lang w:val="fr-CH"/>
        </w:rPr>
        <w:t>s</w:t>
      </w:r>
      <w:r w:rsidR="00AC7B74" w:rsidRPr="00731644">
        <w:rPr>
          <w:lang w:val="fr-CH"/>
        </w:rPr>
        <w:t xml:space="preserve">ures spéciales destinées à </w:t>
      </w:r>
      <w:r w:rsidR="00BA68D2" w:rsidRPr="00731644">
        <w:rPr>
          <w:lang w:val="fr-CH"/>
        </w:rPr>
        <w:t>réalis</w:t>
      </w:r>
      <w:r w:rsidR="00AC7B74" w:rsidRPr="00731644">
        <w:rPr>
          <w:lang w:val="fr-CH"/>
        </w:rPr>
        <w:t>er les conditions de l</w:t>
      </w:r>
      <w:r w:rsidR="00425386" w:rsidRPr="00731644">
        <w:rPr>
          <w:lang w:val="fr-CH"/>
        </w:rPr>
        <w:t>’</w:t>
      </w:r>
      <w:r w:rsidR="00AC7B74" w:rsidRPr="00731644">
        <w:rPr>
          <w:lang w:val="fr-CH"/>
        </w:rPr>
        <w:t xml:space="preserve">égalité </w:t>
      </w:r>
      <w:r w:rsidR="00B4487F" w:rsidRPr="00731644">
        <w:rPr>
          <w:lang w:val="fr-CH"/>
        </w:rPr>
        <w:t xml:space="preserve">au sein de la nation, </w:t>
      </w:r>
      <w:r w:rsidR="00AC7B74" w:rsidRPr="00731644">
        <w:rPr>
          <w:lang w:val="fr-CH"/>
        </w:rPr>
        <w:t xml:space="preserve">entre les sexes et </w:t>
      </w:r>
      <w:r w:rsidR="00B4487F" w:rsidRPr="00731644">
        <w:rPr>
          <w:lang w:val="fr-CH"/>
        </w:rPr>
        <w:t>en général,</w:t>
      </w:r>
      <w:r w:rsidR="00AC7B74" w:rsidRPr="00731644">
        <w:rPr>
          <w:lang w:val="fr-CH"/>
        </w:rPr>
        <w:t xml:space="preserve"> ainsi que </w:t>
      </w:r>
      <w:r w:rsidR="00B4487F" w:rsidRPr="00731644">
        <w:rPr>
          <w:lang w:val="fr-CH"/>
        </w:rPr>
        <w:t xml:space="preserve">celui de </w:t>
      </w:r>
      <w:r w:rsidR="00AC7B74" w:rsidRPr="00731644">
        <w:rPr>
          <w:lang w:val="fr-CH"/>
        </w:rPr>
        <w:t xml:space="preserve">la protection </w:t>
      </w:r>
      <w:r w:rsidR="00B569C5" w:rsidRPr="00731644">
        <w:rPr>
          <w:lang w:val="fr-CH"/>
        </w:rPr>
        <w:t>des personnes</w:t>
      </w:r>
      <w:r w:rsidR="00AC7B74" w:rsidRPr="00731644">
        <w:rPr>
          <w:lang w:val="fr-CH"/>
        </w:rPr>
        <w:t xml:space="preserve"> placées en situation d</w:t>
      </w:r>
      <w:r w:rsidR="00425386" w:rsidRPr="00731644">
        <w:rPr>
          <w:lang w:val="fr-CH"/>
        </w:rPr>
        <w:t>’</w:t>
      </w:r>
      <w:r w:rsidR="00AC7B74" w:rsidRPr="00731644">
        <w:rPr>
          <w:lang w:val="fr-CH"/>
        </w:rPr>
        <w:t>inégalité pour l</w:t>
      </w:r>
      <w:r w:rsidR="00425386" w:rsidRPr="00731644">
        <w:rPr>
          <w:lang w:val="fr-CH"/>
        </w:rPr>
        <w:t>’</w:t>
      </w:r>
      <w:r w:rsidR="00AC7B74" w:rsidRPr="00731644">
        <w:rPr>
          <w:lang w:val="fr-CH"/>
        </w:rPr>
        <w:t>un</w:t>
      </w:r>
      <w:r w:rsidR="00360A38" w:rsidRPr="00731644">
        <w:rPr>
          <w:lang w:val="fr-CH"/>
        </w:rPr>
        <w:t>e</w:t>
      </w:r>
      <w:r w:rsidR="00AC7B74" w:rsidRPr="00731644">
        <w:rPr>
          <w:lang w:val="fr-CH"/>
        </w:rPr>
        <w:t xml:space="preserve"> quelconque des raisons citées </w:t>
      </w:r>
      <w:r w:rsidR="00BA68D2" w:rsidRPr="00731644">
        <w:rPr>
          <w:lang w:val="fr-CH"/>
        </w:rPr>
        <w:t xml:space="preserve">précédemment </w:t>
      </w:r>
      <w:r w:rsidR="00AC7B74" w:rsidRPr="00731644">
        <w:rPr>
          <w:lang w:val="fr-CH"/>
        </w:rPr>
        <w:t>par un organisme de l</w:t>
      </w:r>
      <w:r w:rsidR="00425386" w:rsidRPr="00731644">
        <w:rPr>
          <w:lang w:val="fr-CH"/>
        </w:rPr>
        <w:t>’</w:t>
      </w:r>
      <w:r w:rsidR="00AC7B74" w:rsidRPr="00731644">
        <w:rPr>
          <w:lang w:val="fr-CH"/>
        </w:rPr>
        <w:t>État, un organe de l</w:t>
      </w:r>
      <w:r w:rsidR="00425386" w:rsidRPr="00731644">
        <w:rPr>
          <w:lang w:val="fr-CH"/>
        </w:rPr>
        <w:t>’</w:t>
      </w:r>
      <w:r w:rsidR="00AC7B74" w:rsidRPr="00731644">
        <w:rPr>
          <w:lang w:val="fr-CH"/>
        </w:rPr>
        <w:t>administration</w:t>
      </w:r>
      <w:r w:rsidR="00B4487F" w:rsidRPr="00731644">
        <w:rPr>
          <w:lang w:val="fr-CH"/>
        </w:rPr>
        <w:t xml:space="preserve"> centrale ou locale</w:t>
      </w:r>
      <w:r w:rsidR="00AC7B74" w:rsidRPr="00731644">
        <w:rPr>
          <w:lang w:val="fr-CH"/>
        </w:rPr>
        <w:t>, une entreprise publique</w:t>
      </w:r>
      <w:r w:rsidR="00605006" w:rsidRPr="00731644">
        <w:rPr>
          <w:lang w:val="fr-CH"/>
        </w:rPr>
        <w:t xml:space="preserve"> ou une </w:t>
      </w:r>
      <w:r w:rsidR="00AC7B74" w:rsidRPr="00731644">
        <w:rPr>
          <w:lang w:val="fr-CH"/>
        </w:rPr>
        <w:t xml:space="preserve">autre personne morale investie de </w:t>
      </w:r>
      <w:r w:rsidR="00605006" w:rsidRPr="00731644">
        <w:rPr>
          <w:lang w:val="fr-CH"/>
        </w:rPr>
        <w:t xml:space="preserve">la </w:t>
      </w:r>
      <w:r w:rsidR="00A66512" w:rsidRPr="00731644">
        <w:rPr>
          <w:lang w:val="fr-CH"/>
        </w:rPr>
        <w:t>puissance</w:t>
      </w:r>
      <w:r w:rsidR="00605006" w:rsidRPr="00731644">
        <w:rPr>
          <w:lang w:val="fr-CH"/>
        </w:rPr>
        <w:t xml:space="preserve"> publique</w:t>
      </w:r>
      <w:r w:rsidR="00360A38" w:rsidRPr="00731644">
        <w:rPr>
          <w:lang w:val="fr-CH"/>
        </w:rPr>
        <w:t xml:space="preserve">, ou par </w:t>
      </w:r>
      <w:r w:rsidR="00E073B1" w:rsidRPr="00731644">
        <w:rPr>
          <w:lang w:val="fr-CH"/>
        </w:rPr>
        <w:t>quelque</w:t>
      </w:r>
      <w:r w:rsidR="00E045F1">
        <w:rPr>
          <w:lang w:val="fr-CH"/>
        </w:rPr>
        <w:t xml:space="preserve"> personne physique ou morale </w:t>
      </w:r>
      <w:r w:rsidR="00E073B1" w:rsidRPr="00731644">
        <w:rPr>
          <w:lang w:val="fr-CH"/>
        </w:rPr>
        <w:t>que ce soit</w:t>
      </w:r>
      <w:r w:rsidR="00F31DD5" w:rsidRPr="00731644">
        <w:rPr>
          <w:lang w:val="fr-CH"/>
        </w:rPr>
        <w:t>;</w:t>
      </w:r>
      <w:r w:rsidR="00360A38" w:rsidRPr="00731644">
        <w:rPr>
          <w:lang w:val="fr-CH"/>
        </w:rPr>
        <w:t xml:space="preserve"> le principe que le consentement de la personne victime de discrimination n</w:t>
      </w:r>
      <w:r w:rsidR="00425386" w:rsidRPr="00731644">
        <w:rPr>
          <w:lang w:val="fr-CH"/>
        </w:rPr>
        <w:t>’</w:t>
      </w:r>
      <w:r w:rsidR="00360A38" w:rsidRPr="00731644">
        <w:rPr>
          <w:lang w:val="fr-CH"/>
        </w:rPr>
        <w:t>exonère pas de sa responsabilité la personne</w:t>
      </w:r>
      <w:r w:rsidR="00F31DD5" w:rsidRPr="00731644">
        <w:rPr>
          <w:lang w:val="fr-CH"/>
        </w:rPr>
        <w:t xml:space="preserve"> </w:t>
      </w:r>
      <w:r w:rsidR="00360A38" w:rsidRPr="00731644">
        <w:rPr>
          <w:lang w:val="fr-CH"/>
        </w:rPr>
        <w:t>qui exerce cette discrimination ou qui en encourage l</w:t>
      </w:r>
      <w:r w:rsidR="00425386" w:rsidRPr="00731644">
        <w:rPr>
          <w:lang w:val="fr-CH"/>
        </w:rPr>
        <w:t>’</w:t>
      </w:r>
      <w:r w:rsidR="00360A38" w:rsidRPr="00731644">
        <w:rPr>
          <w:lang w:val="fr-CH"/>
        </w:rPr>
        <w:t>exercice</w:t>
      </w:r>
      <w:r w:rsidR="00F31DD5" w:rsidRPr="00731644">
        <w:rPr>
          <w:lang w:val="fr-CH"/>
        </w:rPr>
        <w:t>;</w:t>
      </w:r>
      <w:r w:rsidR="00360A38" w:rsidRPr="00731644">
        <w:rPr>
          <w:lang w:val="fr-CH"/>
        </w:rPr>
        <w:t xml:space="preserve"> le principe de l</w:t>
      </w:r>
      <w:r w:rsidR="00425386" w:rsidRPr="00731644">
        <w:rPr>
          <w:lang w:val="fr-CH"/>
        </w:rPr>
        <w:t>’</w:t>
      </w:r>
      <w:r w:rsidR="00360A38" w:rsidRPr="00731644">
        <w:rPr>
          <w:lang w:val="fr-CH"/>
        </w:rPr>
        <w:t xml:space="preserve">application générale de la loi à toutes </w:t>
      </w:r>
      <w:r w:rsidR="00CB7658" w:rsidRPr="00731644">
        <w:rPr>
          <w:lang w:val="fr-CH"/>
        </w:rPr>
        <w:t>les personnes</w:t>
      </w:r>
      <w:r w:rsidR="00360A38" w:rsidRPr="00731644">
        <w:rPr>
          <w:lang w:val="fr-CH"/>
        </w:rPr>
        <w:t xml:space="preserve"> physiques et morales qui relèvent de </w:t>
      </w:r>
      <w:r w:rsidR="00E77303" w:rsidRPr="00731644">
        <w:rPr>
          <w:lang w:val="fr-CH"/>
        </w:rPr>
        <w:t>l</w:t>
      </w:r>
      <w:r w:rsidR="00425386" w:rsidRPr="00731644">
        <w:rPr>
          <w:lang w:val="fr-CH"/>
        </w:rPr>
        <w:t>’</w:t>
      </w:r>
      <w:r w:rsidR="00E77303" w:rsidRPr="00731644">
        <w:rPr>
          <w:lang w:val="fr-CH"/>
        </w:rPr>
        <w:t>autorité</w:t>
      </w:r>
      <w:r w:rsidR="00360A38" w:rsidRPr="00731644">
        <w:rPr>
          <w:lang w:val="fr-CH"/>
        </w:rPr>
        <w:t xml:space="preserve"> de l</w:t>
      </w:r>
      <w:r w:rsidR="00425386" w:rsidRPr="00731644">
        <w:rPr>
          <w:lang w:val="fr-CH"/>
        </w:rPr>
        <w:t>’</w:t>
      </w:r>
      <w:r w:rsidR="00360A38" w:rsidRPr="00731644">
        <w:rPr>
          <w:lang w:val="fr-CH"/>
        </w:rPr>
        <w:t>État du Monténégro.</w:t>
      </w:r>
    </w:p>
    <w:p w:rsidR="007A774E" w:rsidRPr="00731644" w:rsidRDefault="00963C89" w:rsidP="00E139B1">
      <w:pPr>
        <w:pStyle w:val="SingleTxtG"/>
        <w:keepNext/>
        <w:rPr>
          <w:lang w:val="fr-CH"/>
        </w:rPr>
      </w:pPr>
      <w:r w:rsidRPr="00731644">
        <w:rPr>
          <w:lang w:val="fr-CH"/>
        </w:rPr>
        <w:t>40</w:t>
      </w:r>
      <w:r w:rsidR="004103DC" w:rsidRPr="00731644">
        <w:rPr>
          <w:lang w:val="fr-CH"/>
        </w:rPr>
        <w:t>.</w:t>
      </w:r>
      <w:r w:rsidR="004103DC" w:rsidRPr="00731644">
        <w:rPr>
          <w:lang w:val="fr-CH"/>
        </w:rPr>
        <w:tab/>
      </w:r>
      <w:r w:rsidR="00360A38" w:rsidRPr="00731644">
        <w:rPr>
          <w:lang w:val="fr-CH"/>
        </w:rPr>
        <w:t xml:space="preserve">Innovation sans précédent dans la législation monténégrine, cette loi instaure un système de protection judiciaire </w:t>
      </w:r>
      <w:r w:rsidR="00E77303" w:rsidRPr="00731644">
        <w:rPr>
          <w:lang w:val="fr-CH"/>
        </w:rPr>
        <w:t>en autorisant</w:t>
      </w:r>
      <w:r w:rsidR="00360A38" w:rsidRPr="00731644">
        <w:rPr>
          <w:lang w:val="fr-CH"/>
        </w:rPr>
        <w:t xml:space="preserve"> la victime d</w:t>
      </w:r>
      <w:r w:rsidR="00425386" w:rsidRPr="00731644">
        <w:rPr>
          <w:lang w:val="fr-CH"/>
        </w:rPr>
        <w:t>’</w:t>
      </w:r>
      <w:r w:rsidR="00360A38" w:rsidRPr="00731644">
        <w:rPr>
          <w:lang w:val="fr-CH"/>
        </w:rPr>
        <w:t xml:space="preserve">une discrimination </w:t>
      </w:r>
      <w:r w:rsidR="00E77303" w:rsidRPr="00731644">
        <w:rPr>
          <w:lang w:val="fr-CH"/>
        </w:rPr>
        <w:t>à</w:t>
      </w:r>
      <w:r w:rsidR="00360A38" w:rsidRPr="00731644">
        <w:rPr>
          <w:lang w:val="fr-CH"/>
        </w:rPr>
        <w:t xml:space="preserve"> </w:t>
      </w:r>
      <w:r w:rsidR="00A66512" w:rsidRPr="00731644">
        <w:rPr>
          <w:lang w:val="fr-CH"/>
        </w:rPr>
        <w:t>engager</w:t>
      </w:r>
      <w:r w:rsidR="00360A38" w:rsidRPr="00731644">
        <w:rPr>
          <w:lang w:val="fr-CH"/>
        </w:rPr>
        <w:t xml:space="preserve"> une action pour exiger</w:t>
      </w:r>
      <w:r w:rsidR="00F31DD5" w:rsidRPr="00731644">
        <w:rPr>
          <w:lang w:val="fr-CH"/>
        </w:rPr>
        <w:t>:</w:t>
      </w:r>
      <w:r w:rsidR="00360A38" w:rsidRPr="00731644">
        <w:rPr>
          <w:lang w:val="fr-CH"/>
        </w:rPr>
        <w:t xml:space="preserve"> </w:t>
      </w:r>
    </w:p>
    <w:p w:rsidR="007A774E" w:rsidRPr="00731644" w:rsidRDefault="004103DC" w:rsidP="004103DC">
      <w:pPr>
        <w:pStyle w:val="SingleTxtG"/>
        <w:ind w:firstLine="567"/>
        <w:rPr>
          <w:lang w:val="fr-CH"/>
        </w:rPr>
      </w:pPr>
      <w:r w:rsidRPr="00731644">
        <w:rPr>
          <w:lang w:val="fr-CH"/>
        </w:rPr>
        <w:t>1)</w:t>
      </w:r>
      <w:r w:rsidR="007A774E" w:rsidRPr="00731644">
        <w:rPr>
          <w:lang w:val="fr-CH"/>
        </w:rPr>
        <w:tab/>
      </w:r>
      <w:r w:rsidR="00360A38" w:rsidRPr="00731644">
        <w:rPr>
          <w:lang w:val="fr-CH"/>
        </w:rPr>
        <w:t xml:space="preserve">La reconnaissance </w:t>
      </w:r>
      <w:r w:rsidR="00E073B1" w:rsidRPr="00731644">
        <w:rPr>
          <w:lang w:val="fr-CH"/>
        </w:rPr>
        <w:t>de la discrimination que</w:t>
      </w:r>
      <w:r w:rsidR="00360A38" w:rsidRPr="00731644">
        <w:rPr>
          <w:lang w:val="fr-CH"/>
        </w:rPr>
        <w:t xml:space="preserve"> le défendeur </w:t>
      </w:r>
      <w:r w:rsidR="00E073B1" w:rsidRPr="00731644">
        <w:rPr>
          <w:lang w:val="fr-CH"/>
        </w:rPr>
        <w:t>lui a fait subir</w:t>
      </w:r>
      <w:r w:rsidR="00F31DD5" w:rsidRPr="00731644">
        <w:rPr>
          <w:lang w:val="fr-CH"/>
        </w:rPr>
        <w:t>;</w:t>
      </w:r>
    </w:p>
    <w:p w:rsidR="002B705C" w:rsidRPr="00731644" w:rsidRDefault="007A774E" w:rsidP="004103DC">
      <w:pPr>
        <w:pStyle w:val="SingleTxtG"/>
        <w:ind w:firstLine="567"/>
        <w:rPr>
          <w:lang w:val="fr-CH"/>
        </w:rPr>
      </w:pPr>
      <w:r w:rsidRPr="00731644">
        <w:rPr>
          <w:lang w:val="fr-CH"/>
        </w:rPr>
        <w:t>2</w:t>
      </w:r>
      <w:r w:rsidR="004103DC" w:rsidRPr="00731644">
        <w:rPr>
          <w:lang w:val="fr-CH"/>
        </w:rPr>
        <w:t>)</w:t>
      </w:r>
      <w:r w:rsidR="00AB7403" w:rsidRPr="00731644">
        <w:rPr>
          <w:lang w:val="fr-CH"/>
        </w:rPr>
        <w:tab/>
      </w:r>
      <w:r w:rsidR="002B705C" w:rsidRPr="00731644">
        <w:rPr>
          <w:lang w:val="fr-CH"/>
        </w:rPr>
        <w:t>L</w:t>
      </w:r>
      <w:r w:rsidR="00425386" w:rsidRPr="00731644">
        <w:rPr>
          <w:lang w:val="fr-CH"/>
        </w:rPr>
        <w:t>’</w:t>
      </w:r>
      <w:r w:rsidR="002B705C" w:rsidRPr="00731644">
        <w:rPr>
          <w:lang w:val="fr-CH"/>
        </w:rPr>
        <w:t xml:space="preserve">interdiction </w:t>
      </w:r>
      <w:r w:rsidR="00237D58" w:rsidRPr="00731644">
        <w:rPr>
          <w:lang w:val="fr-CH"/>
        </w:rPr>
        <w:t>de</w:t>
      </w:r>
      <w:r w:rsidR="002B705C" w:rsidRPr="00731644">
        <w:rPr>
          <w:lang w:val="fr-CH"/>
        </w:rPr>
        <w:t xml:space="preserve"> l</w:t>
      </w:r>
      <w:r w:rsidR="00425386" w:rsidRPr="00731644">
        <w:rPr>
          <w:lang w:val="fr-CH"/>
        </w:rPr>
        <w:t>’</w:t>
      </w:r>
      <w:r w:rsidR="002B705C" w:rsidRPr="00731644">
        <w:rPr>
          <w:lang w:val="fr-CH"/>
        </w:rPr>
        <w:t>activité qui comporte un risque de discrimination, c</w:t>
      </w:r>
      <w:r w:rsidR="00425386" w:rsidRPr="00731644">
        <w:rPr>
          <w:lang w:val="fr-CH"/>
        </w:rPr>
        <w:t>’</w:t>
      </w:r>
      <w:r w:rsidR="002B705C" w:rsidRPr="00731644">
        <w:rPr>
          <w:lang w:val="fr-CH"/>
        </w:rPr>
        <w:t xml:space="preserve">est-à-dire </w:t>
      </w:r>
      <w:r w:rsidR="00237D58" w:rsidRPr="00731644">
        <w:rPr>
          <w:lang w:val="fr-CH"/>
        </w:rPr>
        <w:t>d</w:t>
      </w:r>
      <w:r w:rsidR="00425386" w:rsidRPr="00731644">
        <w:rPr>
          <w:lang w:val="fr-CH"/>
        </w:rPr>
        <w:t>’</w:t>
      </w:r>
      <w:r w:rsidR="00237D58" w:rsidRPr="00731644">
        <w:rPr>
          <w:lang w:val="fr-CH"/>
        </w:rPr>
        <w:t>une répétition de</w:t>
      </w:r>
      <w:r w:rsidR="002B705C" w:rsidRPr="00731644">
        <w:rPr>
          <w:lang w:val="fr-CH"/>
        </w:rPr>
        <w:t xml:space="preserve"> l</w:t>
      </w:r>
      <w:r w:rsidR="00425386" w:rsidRPr="00731644">
        <w:rPr>
          <w:lang w:val="fr-CH"/>
        </w:rPr>
        <w:t>’</w:t>
      </w:r>
      <w:r w:rsidR="002B705C" w:rsidRPr="00731644">
        <w:rPr>
          <w:lang w:val="fr-CH"/>
        </w:rPr>
        <w:t>activité discriminatoire</w:t>
      </w:r>
      <w:r w:rsidR="00F31DD5" w:rsidRPr="00731644">
        <w:rPr>
          <w:lang w:val="fr-CH"/>
        </w:rPr>
        <w:t xml:space="preserve">; </w:t>
      </w:r>
    </w:p>
    <w:p w:rsidR="007A774E" w:rsidRPr="00731644" w:rsidRDefault="007A774E" w:rsidP="004103DC">
      <w:pPr>
        <w:pStyle w:val="SingleTxtG"/>
        <w:ind w:firstLine="567"/>
        <w:rPr>
          <w:lang w:val="fr-CH"/>
        </w:rPr>
      </w:pPr>
      <w:r w:rsidRPr="00731644">
        <w:rPr>
          <w:lang w:val="fr-CH"/>
        </w:rPr>
        <w:t>3</w:t>
      </w:r>
      <w:r w:rsidR="00C30D4F" w:rsidRPr="00731644">
        <w:rPr>
          <w:lang w:val="fr-CH"/>
        </w:rPr>
        <w:t>)</w:t>
      </w:r>
      <w:r w:rsidRPr="00731644">
        <w:rPr>
          <w:lang w:val="fr-CH"/>
        </w:rPr>
        <w:tab/>
      </w:r>
      <w:r w:rsidR="002B705C" w:rsidRPr="00731644">
        <w:rPr>
          <w:lang w:val="fr-CH"/>
        </w:rPr>
        <w:t>Un dédommagement conforme à la loi</w:t>
      </w:r>
      <w:r w:rsidR="00F31DD5" w:rsidRPr="00731644">
        <w:rPr>
          <w:lang w:val="fr-CH"/>
        </w:rPr>
        <w:t>;</w:t>
      </w:r>
      <w:r w:rsidR="002B705C" w:rsidRPr="00731644">
        <w:rPr>
          <w:lang w:val="fr-CH"/>
        </w:rPr>
        <w:t xml:space="preserve"> </w:t>
      </w:r>
    </w:p>
    <w:p w:rsidR="007A774E" w:rsidRPr="00731644" w:rsidRDefault="007A774E" w:rsidP="00FD0046">
      <w:pPr>
        <w:pStyle w:val="SingleTxtG"/>
        <w:ind w:firstLine="567"/>
        <w:rPr>
          <w:lang w:val="fr-CH"/>
        </w:rPr>
      </w:pPr>
      <w:r w:rsidRPr="00731644">
        <w:rPr>
          <w:lang w:val="fr-CH"/>
        </w:rPr>
        <w:t>4</w:t>
      </w:r>
      <w:r w:rsidR="00C30D4F" w:rsidRPr="00731644">
        <w:rPr>
          <w:lang w:val="fr-CH"/>
        </w:rPr>
        <w:t>)</w:t>
      </w:r>
      <w:r w:rsidRPr="00731644">
        <w:rPr>
          <w:lang w:val="fr-CH"/>
        </w:rPr>
        <w:tab/>
      </w:r>
      <w:r w:rsidR="002B705C" w:rsidRPr="00731644">
        <w:rPr>
          <w:lang w:val="fr-CH"/>
        </w:rPr>
        <w:t>Si la discrimination a été exercée par le biais d</w:t>
      </w:r>
      <w:r w:rsidR="00425386" w:rsidRPr="00731644">
        <w:rPr>
          <w:lang w:val="fr-CH"/>
        </w:rPr>
        <w:t>’</w:t>
      </w:r>
      <w:r w:rsidR="002B705C" w:rsidRPr="00731644">
        <w:rPr>
          <w:lang w:val="fr-CH"/>
        </w:rPr>
        <w:t xml:space="preserve">un média, </w:t>
      </w:r>
      <w:r w:rsidR="00E073B1" w:rsidRPr="00731644">
        <w:rPr>
          <w:lang w:val="fr-CH"/>
        </w:rPr>
        <w:t xml:space="preserve">la </w:t>
      </w:r>
      <w:r w:rsidR="002B705C" w:rsidRPr="00731644">
        <w:rPr>
          <w:lang w:val="fr-CH"/>
        </w:rPr>
        <w:t>publication dans ce média</w:t>
      </w:r>
      <w:r w:rsidR="00E77303" w:rsidRPr="00731644">
        <w:rPr>
          <w:lang w:val="fr-CH"/>
        </w:rPr>
        <w:t>,</w:t>
      </w:r>
      <w:r w:rsidR="002B705C" w:rsidRPr="00731644">
        <w:rPr>
          <w:lang w:val="fr-CH"/>
        </w:rPr>
        <w:t xml:space="preserve"> </w:t>
      </w:r>
      <w:r w:rsidR="00E77303" w:rsidRPr="00731644">
        <w:rPr>
          <w:lang w:val="fr-CH"/>
        </w:rPr>
        <w:t xml:space="preserve">aux frais du défendeur, </w:t>
      </w:r>
      <w:r w:rsidR="002B705C" w:rsidRPr="00731644">
        <w:rPr>
          <w:lang w:val="fr-CH"/>
        </w:rPr>
        <w:t xml:space="preserve">du jugement </w:t>
      </w:r>
      <w:r w:rsidR="00E073B1" w:rsidRPr="00731644">
        <w:rPr>
          <w:lang w:val="fr-CH"/>
        </w:rPr>
        <w:t>établi</w:t>
      </w:r>
      <w:r w:rsidR="002B705C" w:rsidRPr="00731644">
        <w:rPr>
          <w:lang w:val="fr-CH"/>
        </w:rPr>
        <w:t xml:space="preserve">ssant </w:t>
      </w:r>
      <w:r w:rsidR="00E073B1" w:rsidRPr="00731644">
        <w:rPr>
          <w:lang w:val="fr-CH"/>
        </w:rPr>
        <w:t>l</w:t>
      </w:r>
      <w:r w:rsidR="00425386" w:rsidRPr="00731644">
        <w:rPr>
          <w:lang w:val="fr-CH"/>
        </w:rPr>
        <w:t>’</w:t>
      </w:r>
      <w:r w:rsidR="00E073B1" w:rsidRPr="00731644">
        <w:rPr>
          <w:lang w:val="fr-CH"/>
        </w:rPr>
        <w:t xml:space="preserve">existence </w:t>
      </w:r>
      <w:r w:rsidR="00237D58" w:rsidRPr="00731644">
        <w:rPr>
          <w:lang w:val="fr-CH"/>
        </w:rPr>
        <w:t>de la</w:t>
      </w:r>
      <w:r w:rsidR="002B705C" w:rsidRPr="00731644">
        <w:rPr>
          <w:lang w:val="fr-CH"/>
        </w:rPr>
        <w:t xml:space="preserve"> discrimination</w:t>
      </w:r>
      <w:r w:rsidR="00B569C5" w:rsidRPr="00731644">
        <w:rPr>
          <w:lang w:val="fr-CH"/>
        </w:rPr>
        <w:t>.</w:t>
      </w:r>
      <w:r w:rsidR="002B705C" w:rsidRPr="00731644">
        <w:rPr>
          <w:lang w:val="fr-CH"/>
        </w:rPr>
        <w:t xml:space="preserve"> </w:t>
      </w:r>
    </w:p>
    <w:p w:rsidR="007A774E" w:rsidRPr="00731644" w:rsidRDefault="00C30D4F" w:rsidP="007A774E">
      <w:pPr>
        <w:pStyle w:val="SingleTxtG"/>
        <w:rPr>
          <w:lang w:val="fr-CH"/>
        </w:rPr>
      </w:pPr>
      <w:r w:rsidRPr="00731644">
        <w:rPr>
          <w:lang w:val="fr-CH"/>
        </w:rPr>
        <w:t>4</w:t>
      </w:r>
      <w:r w:rsidR="000228C3" w:rsidRPr="00731644">
        <w:rPr>
          <w:lang w:val="fr-CH"/>
        </w:rPr>
        <w:t>1</w:t>
      </w:r>
      <w:r w:rsidRPr="00731644">
        <w:rPr>
          <w:lang w:val="fr-CH"/>
        </w:rPr>
        <w:t>.</w:t>
      </w:r>
      <w:r w:rsidRPr="00731644">
        <w:rPr>
          <w:lang w:val="fr-CH"/>
        </w:rPr>
        <w:tab/>
      </w:r>
      <w:r w:rsidR="00A60A4B" w:rsidRPr="00731644">
        <w:rPr>
          <w:lang w:val="fr-CH"/>
        </w:rPr>
        <w:t>L</w:t>
      </w:r>
      <w:r w:rsidR="00425386" w:rsidRPr="00731644">
        <w:rPr>
          <w:lang w:val="fr-CH"/>
        </w:rPr>
        <w:t>’</w:t>
      </w:r>
      <w:r w:rsidR="007A774E" w:rsidRPr="00731644">
        <w:rPr>
          <w:lang w:val="fr-CH"/>
        </w:rPr>
        <w:t>institution</w:t>
      </w:r>
      <w:r w:rsidR="00A60A4B" w:rsidRPr="00731644">
        <w:rPr>
          <w:lang w:val="fr-CH"/>
        </w:rPr>
        <w:t xml:space="preserve"> garante de</w:t>
      </w:r>
      <w:r w:rsidR="00F31DD5" w:rsidRPr="00731644">
        <w:rPr>
          <w:lang w:val="fr-CH"/>
        </w:rPr>
        <w:t xml:space="preserve"> </w:t>
      </w:r>
      <w:r w:rsidR="00A60A4B" w:rsidRPr="00731644">
        <w:rPr>
          <w:lang w:val="fr-CH"/>
        </w:rPr>
        <w:t>la protection contre la</w:t>
      </w:r>
      <w:r w:rsidR="007A774E" w:rsidRPr="00731644">
        <w:rPr>
          <w:lang w:val="fr-CH"/>
        </w:rPr>
        <w:t xml:space="preserve"> discrimination </w:t>
      </w:r>
      <w:r w:rsidR="00A60A4B" w:rsidRPr="00731644">
        <w:rPr>
          <w:lang w:val="fr-CH"/>
        </w:rPr>
        <w:t xml:space="preserve">est </w:t>
      </w:r>
      <w:r w:rsidR="00783DCB" w:rsidRPr="00731644">
        <w:rPr>
          <w:lang w:val="fr-CH"/>
        </w:rPr>
        <w:t>le</w:t>
      </w:r>
      <w:r w:rsidR="00A60A4B" w:rsidRPr="00731644">
        <w:rPr>
          <w:lang w:val="fr-CH"/>
        </w:rPr>
        <w:t xml:space="preserve"> Protecteur des droits de l</w:t>
      </w:r>
      <w:r w:rsidR="00425386" w:rsidRPr="00731644">
        <w:rPr>
          <w:lang w:val="fr-CH"/>
        </w:rPr>
        <w:t>’</w:t>
      </w:r>
      <w:r w:rsidR="00A60A4B" w:rsidRPr="00731644">
        <w:rPr>
          <w:lang w:val="fr-CH"/>
        </w:rPr>
        <w:t>homme et des libertés, à qui peut s</w:t>
      </w:r>
      <w:r w:rsidR="00425386" w:rsidRPr="00731644">
        <w:rPr>
          <w:lang w:val="fr-CH"/>
        </w:rPr>
        <w:t>’</w:t>
      </w:r>
      <w:r w:rsidR="00A60A4B" w:rsidRPr="00731644">
        <w:rPr>
          <w:lang w:val="fr-CH"/>
        </w:rPr>
        <w:t>adresser quiconque se juge victime d</w:t>
      </w:r>
      <w:r w:rsidR="00425386" w:rsidRPr="00731644">
        <w:rPr>
          <w:lang w:val="fr-CH"/>
        </w:rPr>
        <w:t>’</w:t>
      </w:r>
      <w:r w:rsidR="00A60A4B" w:rsidRPr="00731644">
        <w:rPr>
          <w:lang w:val="fr-CH"/>
        </w:rPr>
        <w:t>un acte, d</w:t>
      </w:r>
      <w:r w:rsidR="00425386" w:rsidRPr="00731644">
        <w:rPr>
          <w:lang w:val="fr-CH"/>
        </w:rPr>
        <w:t>’</w:t>
      </w:r>
      <w:r w:rsidR="00A60A4B" w:rsidRPr="00731644">
        <w:rPr>
          <w:lang w:val="fr-CH"/>
        </w:rPr>
        <w:t>une initiative ou d</w:t>
      </w:r>
      <w:r w:rsidR="00425386" w:rsidRPr="00731644">
        <w:rPr>
          <w:lang w:val="fr-CH"/>
        </w:rPr>
        <w:t>’</w:t>
      </w:r>
      <w:r w:rsidR="00A60A4B" w:rsidRPr="00731644">
        <w:rPr>
          <w:lang w:val="fr-CH"/>
        </w:rPr>
        <w:t>une omission d</w:t>
      </w:r>
      <w:r w:rsidR="00425386" w:rsidRPr="00731644">
        <w:rPr>
          <w:lang w:val="fr-CH"/>
        </w:rPr>
        <w:t>’</w:t>
      </w:r>
      <w:r w:rsidR="00A60A4B" w:rsidRPr="00731644">
        <w:rPr>
          <w:lang w:val="fr-CH"/>
        </w:rPr>
        <w:t>une autorité ou d</w:t>
      </w:r>
      <w:r w:rsidR="00425386" w:rsidRPr="00731644">
        <w:rPr>
          <w:lang w:val="fr-CH"/>
        </w:rPr>
        <w:t>’</w:t>
      </w:r>
      <w:r w:rsidR="00A60A4B" w:rsidRPr="00731644">
        <w:rPr>
          <w:lang w:val="fr-CH"/>
        </w:rPr>
        <w:t xml:space="preserve">une </w:t>
      </w:r>
      <w:r w:rsidR="00237D58" w:rsidRPr="00731644">
        <w:rPr>
          <w:lang w:val="fr-CH"/>
        </w:rPr>
        <w:t xml:space="preserve">autre </w:t>
      </w:r>
      <w:r w:rsidR="00A66512" w:rsidRPr="00731644">
        <w:rPr>
          <w:lang w:val="fr-CH"/>
        </w:rPr>
        <w:t>personne</w:t>
      </w:r>
      <w:r w:rsidR="00A60A4B" w:rsidRPr="00731644">
        <w:rPr>
          <w:lang w:val="fr-CH"/>
        </w:rPr>
        <w:t xml:space="preserve"> morale</w:t>
      </w:r>
      <w:r w:rsidR="00237D58" w:rsidRPr="00731644">
        <w:rPr>
          <w:lang w:val="fr-CH"/>
        </w:rPr>
        <w:t xml:space="preserve"> ou physique</w:t>
      </w:r>
      <w:r w:rsidR="00A60A4B" w:rsidRPr="00731644">
        <w:rPr>
          <w:lang w:val="fr-CH"/>
        </w:rPr>
        <w:t>.</w:t>
      </w:r>
      <w:r w:rsidR="00F31DD5" w:rsidRPr="00731644">
        <w:rPr>
          <w:lang w:val="fr-CH"/>
        </w:rPr>
        <w:t xml:space="preserve"> </w:t>
      </w:r>
      <w:r w:rsidR="00A60A4B" w:rsidRPr="00731644">
        <w:rPr>
          <w:lang w:val="fr-CH"/>
        </w:rPr>
        <w:t xml:space="preserve">La plainte peut également être déposée par des organisations ou des particuliers qui </w:t>
      </w:r>
      <w:r w:rsidR="00237D58" w:rsidRPr="00731644">
        <w:rPr>
          <w:lang w:val="fr-CH"/>
        </w:rPr>
        <w:t>militent en faveur des</w:t>
      </w:r>
      <w:r w:rsidR="00A60A4B" w:rsidRPr="00731644">
        <w:rPr>
          <w:lang w:val="fr-CH"/>
        </w:rPr>
        <w:t xml:space="preserve"> droits de l</w:t>
      </w:r>
      <w:r w:rsidR="00425386" w:rsidRPr="00731644">
        <w:rPr>
          <w:lang w:val="fr-CH"/>
        </w:rPr>
        <w:t>’</w:t>
      </w:r>
      <w:r w:rsidR="00A60A4B" w:rsidRPr="00731644">
        <w:rPr>
          <w:lang w:val="fr-CH"/>
        </w:rPr>
        <w:t xml:space="preserve">homme, avec le consentement de la personne ou du groupe concernés. </w:t>
      </w:r>
      <w:r w:rsidR="00C977C0" w:rsidRPr="00731644">
        <w:rPr>
          <w:lang w:val="fr-CH"/>
        </w:rPr>
        <w:t>L</w:t>
      </w:r>
      <w:r w:rsidR="00A60A4B" w:rsidRPr="00731644">
        <w:rPr>
          <w:lang w:val="fr-CH"/>
        </w:rPr>
        <w:t xml:space="preserve">es plaintes reçoivent </w:t>
      </w:r>
      <w:r w:rsidR="00C977C0" w:rsidRPr="00731644">
        <w:rPr>
          <w:lang w:val="fr-CH"/>
        </w:rPr>
        <w:t>d</w:t>
      </w:r>
      <w:r w:rsidR="00A60A4B" w:rsidRPr="00731644">
        <w:rPr>
          <w:lang w:val="fr-CH"/>
        </w:rPr>
        <w:t xml:space="preserve">es suites </w:t>
      </w:r>
      <w:r w:rsidR="00C977C0" w:rsidRPr="00731644">
        <w:rPr>
          <w:lang w:val="fr-CH"/>
        </w:rPr>
        <w:t>conformes aux</w:t>
      </w:r>
      <w:r w:rsidR="00A60A4B" w:rsidRPr="00731644">
        <w:rPr>
          <w:lang w:val="fr-CH"/>
        </w:rPr>
        <w:t xml:space="preserve"> règles qui gouvernent l</w:t>
      </w:r>
      <w:r w:rsidR="00425386" w:rsidRPr="00731644">
        <w:rPr>
          <w:lang w:val="fr-CH"/>
        </w:rPr>
        <w:t>’</w:t>
      </w:r>
      <w:r w:rsidR="00A60A4B" w:rsidRPr="00731644">
        <w:rPr>
          <w:lang w:val="fr-CH"/>
        </w:rPr>
        <w:t>activité du Protecteur des droits de l</w:t>
      </w:r>
      <w:r w:rsidR="00425386" w:rsidRPr="00731644">
        <w:rPr>
          <w:lang w:val="fr-CH"/>
        </w:rPr>
        <w:t>’</w:t>
      </w:r>
      <w:r w:rsidR="00A60A4B" w:rsidRPr="00731644">
        <w:rPr>
          <w:lang w:val="fr-CH"/>
        </w:rPr>
        <w:t xml:space="preserve">homme et des libertés. </w:t>
      </w:r>
    </w:p>
    <w:p w:rsidR="00FB7C0A" w:rsidRPr="00731644" w:rsidRDefault="00C30D4F" w:rsidP="007A774E">
      <w:pPr>
        <w:pStyle w:val="SingleTxtG"/>
        <w:rPr>
          <w:lang w:val="fr-CH"/>
        </w:rPr>
      </w:pPr>
      <w:r w:rsidRPr="00731644">
        <w:rPr>
          <w:lang w:val="fr-CH"/>
        </w:rPr>
        <w:t>4</w:t>
      </w:r>
      <w:r w:rsidR="000228C3" w:rsidRPr="00731644">
        <w:rPr>
          <w:lang w:val="fr-CH"/>
        </w:rPr>
        <w:t>2</w:t>
      </w:r>
      <w:r w:rsidRPr="00731644">
        <w:rPr>
          <w:lang w:val="fr-CH"/>
        </w:rPr>
        <w:t>.</w:t>
      </w:r>
      <w:r w:rsidRPr="00731644">
        <w:rPr>
          <w:lang w:val="fr-CH"/>
        </w:rPr>
        <w:tab/>
      </w:r>
      <w:r w:rsidR="00A60A4B" w:rsidRPr="00731644">
        <w:rPr>
          <w:lang w:val="fr-CH"/>
        </w:rPr>
        <w:t>De plus, les organes publics d</w:t>
      </w:r>
      <w:r w:rsidR="00425386" w:rsidRPr="00731644">
        <w:rPr>
          <w:lang w:val="fr-CH"/>
        </w:rPr>
        <w:t>’</w:t>
      </w:r>
      <w:r w:rsidR="00A60A4B" w:rsidRPr="00731644">
        <w:rPr>
          <w:lang w:val="fr-CH"/>
        </w:rPr>
        <w:t xml:space="preserve">inspection peuvent et doivent donner suite aux </w:t>
      </w:r>
      <w:r w:rsidR="00FB7C0A" w:rsidRPr="00731644">
        <w:rPr>
          <w:lang w:val="fr-CH"/>
        </w:rPr>
        <w:t xml:space="preserve">cas signalés de discrimination </w:t>
      </w:r>
      <w:r w:rsidR="00237D58" w:rsidRPr="00731644">
        <w:rPr>
          <w:lang w:val="fr-CH"/>
        </w:rPr>
        <w:t>en</w:t>
      </w:r>
      <w:r w:rsidR="00FB7C0A" w:rsidRPr="00731644">
        <w:rPr>
          <w:lang w:val="fr-CH"/>
        </w:rPr>
        <w:t xml:space="preserve"> matière de travail et d</w:t>
      </w:r>
      <w:r w:rsidR="00425386" w:rsidRPr="00731644">
        <w:rPr>
          <w:lang w:val="fr-CH"/>
        </w:rPr>
        <w:t>’</w:t>
      </w:r>
      <w:r w:rsidR="00FB7C0A" w:rsidRPr="00731644">
        <w:rPr>
          <w:lang w:val="fr-CH"/>
        </w:rPr>
        <w:t xml:space="preserve">emploi, de sécurité </w:t>
      </w:r>
      <w:r w:rsidR="00C977C0" w:rsidRPr="00731644">
        <w:rPr>
          <w:lang w:val="fr-CH"/>
        </w:rPr>
        <w:t>sur le lieu de travail</w:t>
      </w:r>
      <w:r w:rsidR="007A774E" w:rsidRPr="00731644">
        <w:rPr>
          <w:lang w:val="fr-CH"/>
        </w:rPr>
        <w:t xml:space="preserve">, </w:t>
      </w:r>
      <w:r w:rsidR="00FB7C0A" w:rsidRPr="00731644">
        <w:rPr>
          <w:lang w:val="fr-CH"/>
        </w:rPr>
        <w:t>de santé, d</w:t>
      </w:r>
      <w:r w:rsidR="00425386" w:rsidRPr="00731644">
        <w:rPr>
          <w:lang w:val="fr-CH"/>
        </w:rPr>
        <w:t>’</w:t>
      </w:r>
      <w:r w:rsidR="00FB7C0A" w:rsidRPr="00731644">
        <w:rPr>
          <w:lang w:val="fr-CH"/>
        </w:rPr>
        <w:t>é</w:t>
      </w:r>
      <w:r w:rsidR="007A774E" w:rsidRPr="00731644">
        <w:rPr>
          <w:lang w:val="fr-CH"/>
        </w:rPr>
        <w:t xml:space="preserve">ducation, </w:t>
      </w:r>
      <w:r w:rsidR="00FB7C0A" w:rsidRPr="00731644">
        <w:rPr>
          <w:lang w:val="fr-CH"/>
        </w:rPr>
        <w:t xml:space="preserve">de </w:t>
      </w:r>
      <w:r w:rsidR="007A774E" w:rsidRPr="00731644">
        <w:rPr>
          <w:lang w:val="fr-CH"/>
        </w:rPr>
        <w:t xml:space="preserve">construction, </w:t>
      </w:r>
      <w:r w:rsidR="00FB7C0A" w:rsidRPr="00731644">
        <w:rPr>
          <w:lang w:val="fr-CH"/>
        </w:rPr>
        <w:t xml:space="preserve">de </w:t>
      </w:r>
      <w:r w:rsidR="007A774E" w:rsidRPr="00731644">
        <w:rPr>
          <w:lang w:val="fr-CH"/>
        </w:rPr>
        <w:t>transport</w:t>
      </w:r>
      <w:r w:rsidR="00FB7C0A" w:rsidRPr="00731644">
        <w:rPr>
          <w:lang w:val="fr-CH"/>
        </w:rPr>
        <w:t xml:space="preserve"> et de </w:t>
      </w:r>
      <w:r w:rsidR="007A774E" w:rsidRPr="00731644">
        <w:rPr>
          <w:lang w:val="fr-CH"/>
        </w:rPr>
        <w:t>tourism</w:t>
      </w:r>
      <w:r w:rsidR="00FB7C0A" w:rsidRPr="00731644">
        <w:rPr>
          <w:lang w:val="fr-CH"/>
        </w:rPr>
        <w:t>e</w:t>
      </w:r>
      <w:r w:rsidR="007A774E" w:rsidRPr="00731644">
        <w:rPr>
          <w:lang w:val="fr-CH"/>
        </w:rPr>
        <w:t xml:space="preserve"> </w:t>
      </w:r>
      <w:r w:rsidR="00FB7C0A" w:rsidRPr="00731644">
        <w:rPr>
          <w:lang w:val="fr-CH"/>
        </w:rPr>
        <w:t>ainsi que dans les autres domaines soumis à inspection, conformément à la loi pertinente.</w:t>
      </w:r>
      <w:r w:rsidR="00F31DD5" w:rsidRPr="00731644">
        <w:rPr>
          <w:lang w:val="fr-CH"/>
        </w:rPr>
        <w:t xml:space="preserve"> </w:t>
      </w:r>
    </w:p>
    <w:p w:rsidR="007A774E" w:rsidRPr="00731644" w:rsidRDefault="00C30D4F" w:rsidP="007A774E">
      <w:pPr>
        <w:pStyle w:val="SingleTxtG"/>
        <w:rPr>
          <w:lang w:val="fr-CH"/>
        </w:rPr>
      </w:pPr>
      <w:r w:rsidRPr="00731644">
        <w:rPr>
          <w:lang w:val="fr-CH"/>
        </w:rPr>
        <w:t>4</w:t>
      </w:r>
      <w:r w:rsidR="000228C3" w:rsidRPr="00731644">
        <w:rPr>
          <w:lang w:val="fr-CH"/>
        </w:rPr>
        <w:t>3</w:t>
      </w:r>
      <w:r w:rsidRPr="00731644">
        <w:rPr>
          <w:lang w:val="fr-CH"/>
        </w:rPr>
        <w:t>.</w:t>
      </w:r>
      <w:r w:rsidRPr="00731644">
        <w:rPr>
          <w:lang w:val="fr-CH"/>
        </w:rPr>
        <w:tab/>
      </w:r>
      <w:r w:rsidR="00FB7C0A" w:rsidRPr="00731644">
        <w:rPr>
          <w:lang w:val="fr-CH"/>
        </w:rPr>
        <w:t xml:space="preserve">La loi énonce également un certain nombre de sanctions </w:t>
      </w:r>
      <w:r w:rsidR="00C977C0" w:rsidRPr="00731644">
        <w:rPr>
          <w:lang w:val="fr-CH"/>
        </w:rPr>
        <w:t>qui répriment</w:t>
      </w:r>
      <w:r w:rsidR="00FB7C0A" w:rsidRPr="00731644">
        <w:rPr>
          <w:lang w:val="fr-CH"/>
        </w:rPr>
        <w:t xml:space="preserve"> des infractions de gravité moyenne – refus de fournir un service public</w:t>
      </w:r>
      <w:r w:rsidR="00F31DD5" w:rsidRPr="00731644">
        <w:rPr>
          <w:lang w:val="fr-CH"/>
        </w:rPr>
        <w:t xml:space="preserve">; </w:t>
      </w:r>
      <w:r w:rsidR="00FB7C0A" w:rsidRPr="00731644">
        <w:rPr>
          <w:lang w:val="fr-CH"/>
        </w:rPr>
        <w:t>assujettissement de la prestation d</w:t>
      </w:r>
      <w:r w:rsidR="00425386" w:rsidRPr="00731644">
        <w:rPr>
          <w:lang w:val="fr-CH"/>
        </w:rPr>
        <w:t>’</w:t>
      </w:r>
      <w:r w:rsidR="00FB7C0A" w:rsidRPr="00731644">
        <w:rPr>
          <w:lang w:val="fr-CH"/>
        </w:rPr>
        <w:t>un</w:t>
      </w:r>
      <w:r w:rsidR="007A774E" w:rsidRPr="00731644">
        <w:rPr>
          <w:lang w:val="fr-CH"/>
        </w:rPr>
        <w:t xml:space="preserve"> service </w:t>
      </w:r>
      <w:r w:rsidR="00FB7C0A" w:rsidRPr="00731644">
        <w:rPr>
          <w:lang w:val="fr-CH"/>
        </w:rPr>
        <w:t>à des conditions qui ne sont pas</w:t>
      </w:r>
      <w:r w:rsidR="00F31DD5" w:rsidRPr="00731644">
        <w:rPr>
          <w:lang w:val="fr-CH"/>
        </w:rPr>
        <w:t xml:space="preserve"> </w:t>
      </w:r>
      <w:r w:rsidR="00FB7C0A" w:rsidRPr="00731644">
        <w:rPr>
          <w:lang w:val="fr-CH"/>
        </w:rPr>
        <w:t>imposées à d</w:t>
      </w:r>
      <w:r w:rsidR="00425386" w:rsidRPr="00731644">
        <w:rPr>
          <w:lang w:val="fr-CH"/>
        </w:rPr>
        <w:t>’</w:t>
      </w:r>
      <w:r w:rsidR="002675AE">
        <w:rPr>
          <w:lang w:val="fr-CH"/>
        </w:rPr>
        <w:t>autres personnes</w:t>
      </w:r>
      <w:r w:rsidR="00FB7C0A" w:rsidRPr="00731644">
        <w:rPr>
          <w:lang w:val="fr-CH"/>
        </w:rPr>
        <w:t>, ou retard délibéré d</w:t>
      </w:r>
      <w:r w:rsidR="00C977C0" w:rsidRPr="00731644">
        <w:rPr>
          <w:lang w:val="fr-CH"/>
        </w:rPr>
        <w:t>e</w:t>
      </w:r>
      <w:r w:rsidR="00FB7C0A" w:rsidRPr="00731644">
        <w:rPr>
          <w:lang w:val="fr-CH"/>
        </w:rPr>
        <w:t xml:space="preserve"> la prestation d</w:t>
      </w:r>
      <w:r w:rsidR="00425386" w:rsidRPr="00731644">
        <w:rPr>
          <w:lang w:val="fr-CH"/>
        </w:rPr>
        <w:t>’</w:t>
      </w:r>
      <w:r w:rsidR="00FB7C0A" w:rsidRPr="00731644">
        <w:rPr>
          <w:lang w:val="fr-CH"/>
        </w:rPr>
        <w:t xml:space="preserve">un service alors que la personne ou le groupe </w:t>
      </w:r>
      <w:r w:rsidR="00B569C5" w:rsidRPr="00731644">
        <w:rPr>
          <w:lang w:val="fr-CH"/>
        </w:rPr>
        <w:t>de personnes</w:t>
      </w:r>
      <w:r w:rsidR="00FB7C0A" w:rsidRPr="00731644">
        <w:rPr>
          <w:lang w:val="fr-CH"/>
        </w:rPr>
        <w:t xml:space="preserve"> </w:t>
      </w:r>
      <w:r w:rsidR="00154E0B" w:rsidRPr="00731644">
        <w:rPr>
          <w:lang w:val="fr-CH"/>
        </w:rPr>
        <w:t>a demandé à bénéficier de ce service avant une autre personne et remplit les conditions requises à cette fin</w:t>
      </w:r>
      <w:r w:rsidR="00F31DD5" w:rsidRPr="00731644">
        <w:rPr>
          <w:lang w:val="fr-CH"/>
        </w:rPr>
        <w:t>;</w:t>
      </w:r>
      <w:r w:rsidR="00154E0B" w:rsidRPr="00731644">
        <w:rPr>
          <w:lang w:val="fr-CH"/>
        </w:rPr>
        <w:t xml:space="preserve"> le fait d</w:t>
      </w:r>
      <w:r w:rsidR="00425386" w:rsidRPr="00731644">
        <w:rPr>
          <w:lang w:val="fr-CH"/>
        </w:rPr>
        <w:t>’</w:t>
      </w:r>
      <w:r w:rsidR="00154E0B" w:rsidRPr="00731644">
        <w:rPr>
          <w:lang w:val="fr-CH"/>
        </w:rPr>
        <w:t>empêcher, de restreindre ou d</w:t>
      </w:r>
      <w:r w:rsidR="00425386" w:rsidRPr="00731644">
        <w:rPr>
          <w:lang w:val="fr-CH"/>
        </w:rPr>
        <w:t>’</w:t>
      </w:r>
      <w:r w:rsidR="00154E0B" w:rsidRPr="00731644">
        <w:rPr>
          <w:lang w:val="fr-CH"/>
        </w:rPr>
        <w:t>entraver l</w:t>
      </w:r>
      <w:r w:rsidR="00425386" w:rsidRPr="00731644">
        <w:rPr>
          <w:lang w:val="fr-CH"/>
        </w:rPr>
        <w:t>’</w:t>
      </w:r>
      <w:r w:rsidR="00154E0B" w:rsidRPr="00731644">
        <w:rPr>
          <w:lang w:val="fr-CH"/>
        </w:rPr>
        <w:t xml:space="preserve">accès </w:t>
      </w:r>
      <w:r w:rsidR="00B569C5" w:rsidRPr="00731644">
        <w:rPr>
          <w:lang w:val="fr-CH"/>
        </w:rPr>
        <w:t>des personnes</w:t>
      </w:r>
      <w:r w:rsidR="00C977C0" w:rsidRPr="00731644">
        <w:rPr>
          <w:lang w:val="fr-CH"/>
        </w:rPr>
        <w:t xml:space="preserve"> à mobilité réduite et </w:t>
      </w:r>
      <w:r w:rsidR="00B569C5" w:rsidRPr="00731644">
        <w:rPr>
          <w:lang w:val="fr-CH"/>
        </w:rPr>
        <w:t>des personnes</w:t>
      </w:r>
      <w:r w:rsidR="00C977C0" w:rsidRPr="00731644">
        <w:rPr>
          <w:lang w:val="fr-CH"/>
        </w:rPr>
        <w:t xml:space="preserve"> handicapées</w:t>
      </w:r>
      <w:r w:rsidR="00F31DD5" w:rsidRPr="00731644">
        <w:rPr>
          <w:lang w:val="fr-CH"/>
        </w:rPr>
        <w:t xml:space="preserve"> </w:t>
      </w:r>
      <w:r w:rsidR="00154E0B" w:rsidRPr="00731644">
        <w:rPr>
          <w:lang w:val="fr-CH"/>
        </w:rPr>
        <w:t>à des installations ou des espaces publics</w:t>
      </w:r>
      <w:r w:rsidR="00F31DD5" w:rsidRPr="00731644">
        <w:rPr>
          <w:lang w:val="fr-CH"/>
        </w:rPr>
        <w:t xml:space="preserve">; </w:t>
      </w:r>
      <w:r w:rsidR="00154E0B" w:rsidRPr="00731644">
        <w:rPr>
          <w:lang w:val="fr-CH"/>
        </w:rPr>
        <w:t>le dépôt d</w:t>
      </w:r>
      <w:r w:rsidR="00425386" w:rsidRPr="00731644">
        <w:rPr>
          <w:lang w:val="fr-CH"/>
        </w:rPr>
        <w:t>’</w:t>
      </w:r>
      <w:r w:rsidR="00154E0B" w:rsidRPr="00731644">
        <w:rPr>
          <w:lang w:val="fr-CH"/>
        </w:rPr>
        <w:t xml:space="preserve">une plainte sans le consentement de la personne ou du groupe </w:t>
      </w:r>
      <w:r w:rsidR="00B569C5" w:rsidRPr="00731644">
        <w:rPr>
          <w:lang w:val="fr-CH"/>
        </w:rPr>
        <w:t>de personnes</w:t>
      </w:r>
      <w:r w:rsidR="00154E0B" w:rsidRPr="00731644">
        <w:rPr>
          <w:lang w:val="fr-CH"/>
        </w:rPr>
        <w:t xml:space="preserve"> victimes de discrimination</w:t>
      </w:r>
      <w:r w:rsidR="00F31DD5" w:rsidRPr="00731644">
        <w:rPr>
          <w:lang w:val="fr-CH"/>
        </w:rPr>
        <w:t xml:space="preserve">; </w:t>
      </w:r>
      <w:r w:rsidR="00154E0B" w:rsidRPr="00731644">
        <w:rPr>
          <w:lang w:val="fr-CH"/>
        </w:rPr>
        <w:t>l</w:t>
      </w:r>
      <w:r w:rsidR="00425386" w:rsidRPr="00731644">
        <w:rPr>
          <w:lang w:val="fr-CH"/>
        </w:rPr>
        <w:t>’</w:t>
      </w:r>
      <w:r w:rsidR="00C977C0" w:rsidRPr="00731644">
        <w:rPr>
          <w:lang w:val="fr-CH"/>
        </w:rPr>
        <w:t xml:space="preserve">absence </w:t>
      </w:r>
      <w:r w:rsidR="00154E0B" w:rsidRPr="00731644">
        <w:rPr>
          <w:lang w:val="fr-CH"/>
        </w:rPr>
        <w:t>de données relatives à tous les cas signalés de discrimination ou la communication tardive de ces données</w:t>
      </w:r>
      <w:r w:rsidR="00F31DD5" w:rsidRPr="00731644">
        <w:rPr>
          <w:lang w:val="fr-CH"/>
        </w:rPr>
        <w:t>;</w:t>
      </w:r>
      <w:r w:rsidR="007A774E" w:rsidRPr="00731644">
        <w:rPr>
          <w:lang w:val="fr-CH"/>
        </w:rPr>
        <w:t xml:space="preserve"> </w:t>
      </w:r>
      <w:r w:rsidR="00154E0B" w:rsidRPr="00731644">
        <w:rPr>
          <w:lang w:val="fr-CH"/>
        </w:rPr>
        <w:t>l</w:t>
      </w:r>
      <w:r w:rsidR="00425386" w:rsidRPr="00731644">
        <w:rPr>
          <w:lang w:val="fr-CH"/>
        </w:rPr>
        <w:t>’</w:t>
      </w:r>
      <w:r w:rsidR="00154E0B" w:rsidRPr="00731644">
        <w:rPr>
          <w:lang w:val="fr-CH"/>
        </w:rPr>
        <w:t>absence d</w:t>
      </w:r>
      <w:r w:rsidR="00425386" w:rsidRPr="00731644">
        <w:rPr>
          <w:lang w:val="fr-CH"/>
        </w:rPr>
        <w:t>’</w:t>
      </w:r>
      <w:r w:rsidR="00154E0B" w:rsidRPr="00731644">
        <w:rPr>
          <w:lang w:val="fr-CH"/>
        </w:rPr>
        <w:t xml:space="preserve">un registre </w:t>
      </w:r>
      <w:r w:rsidR="00C977C0" w:rsidRPr="00731644">
        <w:rPr>
          <w:lang w:val="fr-CH"/>
        </w:rPr>
        <w:t xml:space="preserve">distinct </w:t>
      </w:r>
      <w:r w:rsidR="00154E0B" w:rsidRPr="00731644">
        <w:rPr>
          <w:lang w:val="fr-CH"/>
        </w:rPr>
        <w:t xml:space="preserve">des plaintes pour discrimination, et </w:t>
      </w:r>
      <w:r w:rsidR="003A05FF" w:rsidRPr="00731644">
        <w:rPr>
          <w:lang w:val="fr-CH"/>
        </w:rPr>
        <w:t>l</w:t>
      </w:r>
      <w:r w:rsidR="00154E0B" w:rsidRPr="00731644">
        <w:rPr>
          <w:lang w:val="fr-CH"/>
        </w:rPr>
        <w:t xml:space="preserve">a non-communication ou la communication tardive </w:t>
      </w:r>
      <w:r w:rsidR="003A05FF" w:rsidRPr="00731644">
        <w:rPr>
          <w:lang w:val="fr-CH"/>
        </w:rPr>
        <w:t xml:space="preserve">des renseignements </w:t>
      </w:r>
      <w:r w:rsidR="0081072B" w:rsidRPr="00731644">
        <w:rPr>
          <w:lang w:val="fr-CH"/>
        </w:rPr>
        <w:t>qu</w:t>
      </w:r>
      <w:r w:rsidR="00425386" w:rsidRPr="00731644">
        <w:rPr>
          <w:lang w:val="fr-CH"/>
        </w:rPr>
        <w:t>’</w:t>
      </w:r>
      <w:r w:rsidR="0081072B" w:rsidRPr="00731644">
        <w:rPr>
          <w:lang w:val="fr-CH"/>
        </w:rPr>
        <w:t>il contient</w:t>
      </w:r>
      <w:r w:rsidR="003A05FF" w:rsidRPr="00731644">
        <w:rPr>
          <w:lang w:val="fr-CH"/>
        </w:rPr>
        <w:t xml:space="preserve"> au Protecteur des droits de l</w:t>
      </w:r>
      <w:r w:rsidR="00425386" w:rsidRPr="00731644">
        <w:rPr>
          <w:lang w:val="fr-CH"/>
        </w:rPr>
        <w:t>’</w:t>
      </w:r>
      <w:r w:rsidR="003A05FF" w:rsidRPr="00731644">
        <w:rPr>
          <w:lang w:val="fr-CH"/>
        </w:rPr>
        <w:t>homme et des libertés. La personne morale et la personne physique au service de celle-ci qui sont reconnues coupables d</w:t>
      </w:r>
      <w:r w:rsidR="00425386" w:rsidRPr="00731644">
        <w:rPr>
          <w:lang w:val="fr-CH"/>
        </w:rPr>
        <w:t>’</w:t>
      </w:r>
      <w:r w:rsidR="003A05FF" w:rsidRPr="00731644">
        <w:rPr>
          <w:lang w:val="fr-CH"/>
        </w:rPr>
        <w:t>une des ces infractions sont punies d</w:t>
      </w:r>
      <w:r w:rsidR="00425386" w:rsidRPr="00731644">
        <w:rPr>
          <w:lang w:val="fr-CH"/>
        </w:rPr>
        <w:t>’</w:t>
      </w:r>
      <w:r w:rsidR="003A05FF" w:rsidRPr="00731644">
        <w:rPr>
          <w:lang w:val="fr-CH"/>
        </w:rPr>
        <w:t xml:space="preserve">une amende égale à 20 fois le salaire minimum au Monténégro </w:t>
      </w:r>
      <w:r w:rsidR="007A774E" w:rsidRPr="00731644">
        <w:rPr>
          <w:lang w:val="fr-CH"/>
        </w:rPr>
        <w:t>(</w:t>
      </w:r>
      <w:r w:rsidR="00425386" w:rsidRPr="00731644">
        <w:rPr>
          <w:lang w:val="fr-CH"/>
        </w:rPr>
        <w:t>€ </w:t>
      </w:r>
      <w:r w:rsidR="007A774E" w:rsidRPr="00731644">
        <w:rPr>
          <w:lang w:val="fr-CH"/>
        </w:rPr>
        <w:t>1</w:t>
      </w:r>
      <w:r w:rsidR="00E139B1">
        <w:rPr>
          <w:lang w:val="fr-CH"/>
        </w:rPr>
        <w:t> </w:t>
      </w:r>
      <w:r w:rsidR="007A774E" w:rsidRPr="00731644">
        <w:rPr>
          <w:lang w:val="fr-CH"/>
        </w:rPr>
        <w:t xml:space="preserve">100 </w:t>
      </w:r>
      <w:r w:rsidR="003A05FF" w:rsidRPr="00731644">
        <w:rPr>
          <w:lang w:val="fr-CH"/>
        </w:rPr>
        <w:t>environ</w:t>
      </w:r>
      <w:r w:rsidR="007A774E" w:rsidRPr="00731644">
        <w:rPr>
          <w:lang w:val="fr-CH"/>
        </w:rPr>
        <w:t>).</w:t>
      </w:r>
    </w:p>
    <w:p w:rsidR="007A774E" w:rsidRPr="00731644" w:rsidRDefault="00C30D4F" w:rsidP="00C15A9A">
      <w:pPr>
        <w:pStyle w:val="SingleTxtG"/>
        <w:rPr>
          <w:lang w:val="fr-CH"/>
        </w:rPr>
      </w:pPr>
      <w:r w:rsidRPr="00731644">
        <w:rPr>
          <w:lang w:val="fr-CH"/>
        </w:rPr>
        <w:t>4</w:t>
      </w:r>
      <w:r w:rsidR="000228C3" w:rsidRPr="00731644">
        <w:rPr>
          <w:lang w:val="fr-CH"/>
        </w:rPr>
        <w:t>4</w:t>
      </w:r>
      <w:r w:rsidRPr="00731644">
        <w:rPr>
          <w:lang w:val="fr-CH"/>
        </w:rPr>
        <w:t>.</w:t>
      </w:r>
      <w:r w:rsidRPr="00731644">
        <w:rPr>
          <w:lang w:val="fr-CH"/>
        </w:rPr>
        <w:tab/>
      </w:r>
      <w:r w:rsidR="000A7ED3" w:rsidRPr="00731644">
        <w:rPr>
          <w:lang w:val="fr-CH"/>
        </w:rPr>
        <w:t xml:space="preserve">Conformément </w:t>
      </w:r>
      <w:r w:rsidR="00FC3369">
        <w:rPr>
          <w:lang w:val="fr-CH"/>
        </w:rPr>
        <w:t>au paragraphe 3 de</w:t>
      </w:r>
      <w:r w:rsidR="000A7ED3" w:rsidRPr="00731644">
        <w:rPr>
          <w:lang w:val="fr-CH"/>
        </w:rPr>
        <w:t xml:space="preserve"> </w:t>
      </w:r>
      <w:r w:rsidR="00374D76" w:rsidRPr="00731644">
        <w:rPr>
          <w:lang w:val="fr-CH"/>
        </w:rPr>
        <w:t>l</w:t>
      </w:r>
      <w:r w:rsidR="00425386" w:rsidRPr="00731644">
        <w:rPr>
          <w:lang w:val="fr-CH"/>
        </w:rPr>
        <w:t>’</w:t>
      </w:r>
      <w:r w:rsidR="001753EC">
        <w:rPr>
          <w:lang w:val="fr-CH"/>
        </w:rPr>
        <w:t>article </w:t>
      </w:r>
      <w:r w:rsidR="007A774E" w:rsidRPr="00731644">
        <w:rPr>
          <w:lang w:val="fr-CH"/>
        </w:rPr>
        <w:t>33</w:t>
      </w:r>
      <w:r w:rsidR="00FC3369">
        <w:rPr>
          <w:lang w:val="fr-CH"/>
        </w:rPr>
        <w:t xml:space="preserve"> </w:t>
      </w:r>
      <w:r w:rsidR="000A7ED3" w:rsidRPr="00731644">
        <w:rPr>
          <w:lang w:val="fr-CH"/>
        </w:rPr>
        <w:t xml:space="preserve">de la </w:t>
      </w:r>
      <w:r w:rsidR="000A7ED3" w:rsidRPr="005E7B4F">
        <w:rPr>
          <w:iCs/>
          <w:lang w:val="fr-CH"/>
        </w:rPr>
        <w:t>loi relative à l</w:t>
      </w:r>
      <w:r w:rsidR="00425386" w:rsidRPr="005E7B4F">
        <w:rPr>
          <w:iCs/>
          <w:lang w:val="fr-CH"/>
        </w:rPr>
        <w:t>’</w:t>
      </w:r>
      <w:r w:rsidR="000A7ED3" w:rsidRPr="005E7B4F">
        <w:rPr>
          <w:iCs/>
          <w:lang w:val="fr-CH"/>
        </w:rPr>
        <w:t>interdiction de la discrimination</w:t>
      </w:r>
      <w:r w:rsidR="000A7ED3" w:rsidRPr="00731644">
        <w:rPr>
          <w:lang w:val="fr-CH"/>
        </w:rPr>
        <w:t>, l</w:t>
      </w:r>
      <w:r w:rsidR="0081072B" w:rsidRPr="00731644">
        <w:rPr>
          <w:lang w:val="fr-CH"/>
        </w:rPr>
        <w:t>e</w:t>
      </w:r>
      <w:r w:rsidR="000A7ED3" w:rsidRPr="00731644">
        <w:rPr>
          <w:lang w:val="fr-CH"/>
        </w:rPr>
        <w:t xml:space="preserve"> Ministère des droits de l</w:t>
      </w:r>
      <w:r w:rsidR="00425386" w:rsidRPr="00731644">
        <w:rPr>
          <w:lang w:val="fr-CH"/>
        </w:rPr>
        <w:t>’</w:t>
      </w:r>
      <w:r w:rsidR="000A7ED3" w:rsidRPr="00731644">
        <w:rPr>
          <w:lang w:val="fr-CH"/>
        </w:rPr>
        <w:t xml:space="preserve">homme et des minorités a </w:t>
      </w:r>
      <w:r w:rsidR="00237D58" w:rsidRPr="00731644">
        <w:rPr>
          <w:lang w:val="fr-CH"/>
        </w:rPr>
        <w:t xml:space="preserve">spécifié </w:t>
      </w:r>
      <w:r w:rsidR="006320E5" w:rsidRPr="00731644">
        <w:rPr>
          <w:lang w:val="fr-CH"/>
        </w:rPr>
        <w:t>dans</w:t>
      </w:r>
      <w:r w:rsidR="00237D58" w:rsidRPr="00731644">
        <w:rPr>
          <w:lang w:val="fr-CH"/>
        </w:rPr>
        <w:t xml:space="preserve"> un règlement</w:t>
      </w:r>
      <w:r w:rsidR="000A7ED3" w:rsidRPr="00731644">
        <w:rPr>
          <w:lang w:val="fr-CH"/>
        </w:rPr>
        <w:t xml:space="preserve"> </w:t>
      </w:r>
      <w:r w:rsidR="00237D58" w:rsidRPr="00731644">
        <w:rPr>
          <w:lang w:val="fr-CH"/>
        </w:rPr>
        <w:t>le</w:t>
      </w:r>
      <w:r w:rsidR="000A7ED3" w:rsidRPr="00731644">
        <w:rPr>
          <w:lang w:val="fr-CH"/>
        </w:rPr>
        <w:t xml:space="preserve"> contenu des registres de tous les cas signalés de discrimination</w:t>
      </w:r>
      <w:r w:rsidR="00F31DD5" w:rsidRPr="00731644">
        <w:rPr>
          <w:lang w:val="fr-CH"/>
        </w:rPr>
        <w:t xml:space="preserve"> </w:t>
      </w:r>
      <w:r w:rsidR="000A7ED3" w:rsidRPr="00731644">
        <w:rPr>
          <w:lang w:val="fr-CH"/>
        </w:rPr>
        <w:t>et la manière de les tenir</w:t>
      </w:r>
      <w:r w:rsidR="007A774E" w:rsidRPr="00731644">
        <w:rPr>
          <w:lang w:val="fr-CH"/>
        </w:rPr>
        <w:t>.</w:t>
      </w:r>
      <w:r w:rsidR="000A7ED3" w:rsidRPr="00731644">
        <w:rPr>
          <w:lang w:val="fr-CH"/>
        </w:rPr>
        <w:t xml:space="preserve"> Le règlement prescrit dans le détail le contenu et le mode </w:t>
      </w:r>
      <w:r w:rsidR="00FF0442" w:rsidRPr="00731644">
        <w:rPr>
          <w:lang w:val="fr-CH"/>
        </w:rPr>
        <w:t xml:space="preserve">de tenue </w:t>
      </w:r>
      <w:r w:rsidR="000A7ED3" w:rsidRPr="00731644">
        <w:rPr>
          <w:lang w:val="fr-CH"/>
        </w:rPr>
        <w:t xml:space="preserve">des registres des cas de discrimination </w:t>
      </w:r>
      <w:r w:rsidR="00FF0442" w:rsidRPr="00731644">
        <w:rPr>
          <w:lang w:val="fr-CH"/>
        </w:rPr>
        <w:t xml:space="preserve">par </w:t>
      </w:r>
      <w:r w:rsidR="000A7ED3" w:rsidRPr="00731644">
        <w:rPr>
          <w:lang w:val="fr-CH"/>
        </w:rPr>
        <w:t>les tribunaux, les organes d</w:t>
      </w:r>
      <w:r w:rsidR="00425386" w:rsidRPr="00731644">
        <w:rPr>
          <w:lang w:val="fr-CH"/>
        </w:rPr>
        <w:t>’</w:t>
      </w:r>
      <w:r w:rsidR="000A7ED3" w:rsidRPr="00731644">
        <w:rPr>
          <w:lang w:val="fr-CH"/>
        </w:rPr>
        <w:t xml:space="preserve">inspection et les autorités disciplinaires, </w:t>
      </w:r>
      <w:r w:rsidR="006320E5" w:rsidRPr="00731644">
        <w:rPr>
          <w:lang w:val="fr-CH"/>
        </w:rPr>
        <w:t>lesquels</w:t>
      </w:r>
      <w:r w:rsidR="000A7ED3" w:rsidRPr="00731644">
        <w:rPr>
          <w:lang w:val="fr-CH"/>
        </w:rPr>
        <w:t xml:space="preserve"> </w:t>
      </w:r>
      <w:r w:rsidR="00237D58" w:rsidRPr="00731644">
        <w:rPr>
          <w:lang w:val="fr-CH"/>
        </w:rPr>
        <w:t>doivent</w:t>
      </w:r>
      <w:r w:rsidR="000A7ED3" w:rsidRPr="00731644">
        <w:rPr>
          <w:lang w:val="fr-CH"/>
        </w:rPr>
        <w:t xml:space="preserve"> communiquer les données au Protecteur des droits de l</w:t>
      </w:r>
      <w:r w:rsidR="00425386" w:rsidRPr="00731644">
        <w:rPr>
          <w:lang w:val="fr-CH"/>
        </w:rPr>
        <w:t>’</w:t>
      </w:r>
      <w:r w:rsidR="000A7ED3" w:rsidRPr="00731644">
        <w:rPr>
          <w:lang w:val="fr-CH"/>
        </w:rPr>
        <w:t>homme et de libertés.</w:t>
      </w:r>
    </w:p>
    <w:p w:rsidR="007A774E" w:rsidRPr="00731644" w:rsidRDefault="00C30D4F" w:rsidP="00841EC0">
      <w:pPr>
        <w:pStyle w:val="SingleTxtG"/>
        <w:rPr>
          <w:lang w:val="fr-CH"/>
        </w:rPr>
      </w:pPr>
      <w:r w:rsidRPr="00731644">
        <w:rPr>
          <w:lang w:val="fr-CH"/>
        </w:rPr>
        <w:t>4</w:t>
      </w:r>
      <w:r w:rsidR="000228C3" w:rsidRPr="00731644">
        <w:rPr>
          <w:lang w:val="fr-CH"/>
        </w:rPr>
        <w:t>5</w:t>
      </w:r>
      <w:r w:rsidRPr="00731644">
        <w:rPr>
          <w:lang w:val="fr-CH"/>
        </w:rPr>
        <w:t>.</w:t>
      </w:r>
      <w:r w:rsidRPr="00731644">
        <w:rPr>
          <w:lang w:val="fr-CH"/>
        </w:rPr>
        <w:tab/>
      </w:r>
      <w:r w:rsidR="000A7ED3" w:rsidRPr="00731644">
        <w:rPr>
          <w:lang w:val="fr-CH"/>
        </w:rPr>
        <w:t>La</w:t>
      </w:r>
      <w:r w:rsidR="007A774E" w:rsidRPr="00731644">
        <w:rPr>
          <w:lang w:val="fr-CH"/>
        </w:rPr>
        <w:t xml:space="preserve"> Constitution </w:t>
      </w:r>
      <w:r w:rsidR="006320E5" w:rsidRPr="00731644">
        <w:rPr>
          <w:lang w:val="fr-CH"/>
        </w:rPr>
        <w:t>énonce les</w:t>
      </w:r>
      <w:r w:rsidR="000A7ED3" w:rsidRPr="00731644">
        <w:rPr>
          <w:lang w:val="fr-CH"/>
        </w:rPr>
        <w:t xml:space="preserve"> langue</w:t>
      </w:r>
      <w:r w:rsidR="006320E5" w:rsidRPr="00731644">
        <w:rPr>
          <w:lang w:val="fr-CH"/>
        </w:rPr>
        <w:t>s</w:t>
      </w:r>
      <w:r w:rsidR="000A7ED3" w:rsidRPr="00731644">
        <w:rPr>
          <w:lang w:val="fr-CH"/>
        </w:rPr>
        <w:t xml:space="preserve"> et </w:t>
      </w:r>
      <w:r w:rsidR="006320E5" w:rsidRPr="00731644">
        <w:rPr>
          <w:lang w:val="fr-CH"/>
        </w:rPr>
        <w:t>l</w:t>
      </w:r>
      <w:r w:rsidR="000A7ED3" w:rsidRPr="00731644">
        <w:rPr>
          <w:lang w:val="fr-CH"/>
        </w:rPr>
        <w:t>e</w:t>
      </w:r>
      <w:r w:rsidR="006320E5" w:rsidRPr="00731644">
        <w:rPr>
          <w:lang w:val="fr-CH"/>
        </w:rPr>
        <w:t xml:space="preserve">s </w:t>
      </w:r>
      <w:r w:rsidR="00FF0442" w:rsidRPr="00731644">
        <w:rPr>
          <w:lang w:val="fr-CH"/>
        </w:rPr>
        <w:t>alphabet</w:t>
      </w:r>
      <w:r w:rsidR="006320E5" w:rsidRPr="00731644">
        <w:rPr>
          <w:lang w:val="fr-CH"/>
        </w:rPr>
        <w:t>s</w:t>
      </w:r>
      <w:r w:rsidR="000A7ED3" w:rsidRPr="00731644">
        <w:rPr>
          <w:lang w:val="fr-CH"/>
        </w:rPr>
        <w:t xml:space="preserve"> </w:t>
      </w:r>
      <w:r w:rsidR="00A66512" w:rsidRPr="00731644">
        <w:rPr>
          <w:lang w:val="fr-CH"/>
        </w:rPr>
        <w:t>officiel</w:t>
      </w:r>
      <w:r w:rsidR="006320E5" w:rsidRPr="00731644">
        <w:rPr>
          <w:lang w:val="fr-CH"/>
        </w:rPr>
        <w:t>lement en usage</w:t>
      </w:r>
      <w:r w:rsidR="000A7ED3" w:rsidRPr="00731644">
        <w:rPr>
          <w:lang w:val="fr-CH"/>
        </w:rPr>
        <w:t xml:space="preserve">, </w:t>
      </w:r>
      <w:r w:rsidR="006320E5" w:rsidRPr="00731644">
        <w:rPr>
          <w:lang w:val="fr-CH"/>
        </w:rPr>
        <w:t xml:space="preserve">parmi lesquels figurent les langues </w:t>
      </w:r>
      <w:r w:rsidR="000A7ED3" w:rsidRPr="00731644">
        <w:rPr>
          <w:lang w:val="fr-CH"/>
        </w:rPr>
        <w:t>des groupes ethniques qu</w:t>
      </w:r>
      <w:r w:rsidR="00425386" w:rsidRPr="00731644">
        <w:rPr>
          <w:lang w:val="fr-CH"/>
        </w:rPr>
        <w:t>’</w:t>
      </w:r>
      <w:r w:rsidR="000A7ED3" w:rsidRPr="00731644">
        <w:rPr>
          <w:lang w:val="fr-CH"/>
        </w:rPr>
        <w:t>elle</w:t>
      </w:r>
      <w:r w:rsidR="00F31DD5" w:rsidRPr="00731644">
        <w:rPr>
          <w:lang w:val="fr-CH"/>
        </w:rPr>
        <w:t xml:space="preserve"> </w:t>
      </w:r>
      <w:r w:rsidR="000A7ED3" w:rsidRPr="00731644">
        <w:rPr>
          <w:lang w:val="fr-CH"/>
        </w:rPr>
        <w:t>énumère</w:t>
      </w:r>
      <w:r w:rsidR="007A774E" w:rsidRPr="00731644">
        <w:rPr>
          <w:lang w:val="fr-CH"/>
        </w:rPr>
        <w:t xml:space="preserve"> (</w:t>
      </w:r>
      <w:r w:rsidR="00F31DD5" w:rsidRPr="00731644">
        <w:rPr>
          <w:lang w:val="fr-CH"/>
        </w:rPr>
        <w:t>art. </w:t>
      </w:r>
      <w:r w:rsidR="007A774E" w:rsidRPr="00731644">
        <w:rPr>
          <w:lang w:val="fr-CH"/>
        </w:rPr>
        <w:t>13)</w:t>
      </w:r>
      <w:r w:rsidR="000228C3" w:rsidRPr="00731644">
        <w:rPr>
          <w:rStyle w:val="FootnoteReference"/>
          <w:lang w:val="fr-CH"/>
        </w:rPr>
        <w:footnoteReference w:id="9"/>
      </w:r>
      <w:r w:rsidR="000A7ED3" w:rsidRPr="00731644">
        <w:rPr>
          <w:lang w:val="fr-CH"/>
        </w:rPr>
        <w:t>.</w:t>
      </w:r>
      <w:r w:rsidR="007A774E" w:rsidRPr="00731644">
        <w:rPr>
          <w:lang w:val="fr-CH"/>
        </w:rPr>
        <w:t xml:space="preserve"> </w:t>
      </w:r>
      <w:r w:rsidR="004A0AFA" w:rsidRPr="00731644">
        <w:rPr>
          <w:lang w:val="fr-CH"/>
        </w:rPr>
        <w:t>Elle prescrit également un certain nombre de garanties procédurales pour la protection de la dignité, de la liberté, de la sécurité</w:t>
      </w:r>
      <w:r w:rsidR="009B74D3" w:rsidRPr="00731644">
        <w:rPr>
          <w:lang w:val="fr-CH"/>
        </w:rPr>
        <w:t xml:space="preserve"> et </w:t>
      </w:r>
      <w:r w:rsidR="00FF0442" w:rsidRPr="00731644">
        <w:rPr>
          <w:lang w:val="fr-CH"/>
        </w:rPr>
        <w:t>d</w:t>
      </w:r>
      <w:r w:rsidR="004A0AFA" w:rsidRPr="00731644">
        <w:rPr>
          <w:lang w:val="fr-CH"/>
        </w:rPr>
        <w:t>e l</w:t>
      </w:r>
      <w:r w:rsidR="00425386" w:rsidRPr="00731644">
        <w:rPr>
          <w:lang w:val="fr-CH"/>
        </w:rPr>
        <w:t>’</w:t>
      </w:r>
      <w:r w:rsidR="004A0AFA" w:rsidRPr="00731644">
        <w:rPr>
          <w:lang w:val="fr-CH"/>
        </w:rPr>
        <w:t xml:space="preserve">intégrité physique et </w:t>
      </w:r>
      <w:r w:rsidR="009B74D3" w:rsidRPr="00731644">
        <w:rPr>
          <w:lang w:val="fr-CH"/>
        </w:rPr>
        <w:t>morale</w:t>
      </w:r>
      <w:r w:rsidR="004A0AFA" w:rsidRPr="00731644">
        <w:rPr>
          <w:lang w:val="fr-CH"/>
        </w:rPr>
        <w:t> de cha</w:t>
      </w:r>
      <w:r w:rsidR="00FF0442" w:rsidRPr="00731644">
        <w:rPr>
          <w:lang w:val="fr-CH"/>
        </w:rPr>
        <w:t>cun</w:t>
      </w:r>
      <w:r w:rsidR="00F31DD5" w:rsidRPr="00731644">
        <w:rPr>
          <w:lang w:val="fr-CH"/>
        </w:rPr>
        <w:t>;</w:t>
      </w:r>
      <w:r w:rsidR="006320E5" w:rsidRPr="00731644">
        <w:rPr>
          <w:lang w:val="fr-CH"/>
        </w:rPr>
        <w:t xml:space="preserve"> ces garanties</w:t>
      </w:r>
      <w:r w:rsidR="004A0AFA" w:rsidRPr="00731644">
        <w:rPr>
          <w:lang w:val="fr-CH"/>
        </w:rPr>
        <w:t xml:space="preserve"> correspondent </w:t>
      </w:r>
      <w:r w:rsidR="00FF0442" w:rsidRPr="00731644">
        <w:rPr>
          <w:lang w:val="fr-CH"/>
        </w:rPr>
        <w:t>pour l</w:t>
      </w:r>
      <w:r w:rsidR="00425386" w:rsidRPr="00731644">
        <w:rPr>
          <w:lang w:val="fr-CH"/>
        </w:rPr>
        <w:t>’</w:t>
      </w:r>
      <w:r w:rsidR="004A0AFA" w:rsidRPr="00731644">
        <w:rPr>
          <w:lang w:val="fr-CH"/>
        </w:rPr>
        <w:t>essentiel aux normes internationales de protection des droits de l</w:t>
      </w:r>
      <w:r w:rsidR="00425386" w:rsidRPr="00731644">
        <w:rPr>
          <w:lang w:val="fr-CH"/>
        </w:rPr>
        <w:t>’</w:t>
      </w:r>
      <w:r w:rsidR="004A0AFA" w:rsidRPr="00731644">
        <w:rPr>
          <w:lang w:val="fr-CH"/>
        </w:rPr>
        <w:t>homme et des libertés.</w:t>
      </w:r>
      <w:r w:rsidR="00FF0442" w:rsidRPr="00731644">
        <w:rPr>
          <w:lang w:val="fr-CH"/>
        </w:rPr>
        <w:t xml:space="preserve"> </w:t>
      </w:r>
      <w:r w:rsidR="004A0AFA" w:rsidRPr="00731644">
        <w:rPr>
          <w:lang w:val="fr-CH"/>
        </w:rPr>
        <w:t>Elle assure le respect de la vie privée</w:t>
      </w:r>
      <w:r w:rsidR="00FF0442" w:rsidRPr="00731644">
        <w:rPr>
          <w:lang w:val="fr-CH"/>
        </w:rPr>
        <w:t>,</w:t>
      </w:r>
      <w:r w:rsidR="004A0AFA" w:rsidRPr="00731644">
        <w:rPr>
          <w:lang w:val="fr-CH"/>
        </w:rPr>
        <w:t xml:space="preserve"> et en particulier la protection des données personnelles</w:t>
      </w:r>
      <w:r w:rsidR="007A774E" w:rsidRPr="00731644">
        <w:rPr>
          <w:lang w:val="fr-CH"/>
        </w:rPr>
        <w:t>,</w:t>
      </w:r>
      <w:r w:rsidR="004A0AFA" w:rsidRPr="00731644">
        <w:rPr>
          <w:lang w:val="fr-CH"/>
        </w:rPr>
        <w:t xml:space="preserve"> et reconnaît le droit à l</w:t>
      </w:r>
      <w:r w:rsidR="00425386" w:rsidRPr="00731644">
        <w:rPr>
          <w:lang w:val="fr-CH"/>
        </w:rPr>
        <w:t>’</w:t>
      </w:r>
      <w:r w:rsidR="004A0AFA" w:rsidRPr="00731644">
        <w:rPr>
          <w:lang w:val="fr-CH"/>
        </w:rPr>
        <w:t xml:space="preserve">asile </w:t>
      </w:r>
      <w:r w:rsidR="00B569C5" w:rsidRPr="00731644">
        <w:rPr>
          <w:lang w:val="fr-CH"/>
        </w:rPr>
        <w:t>des personnes</w:t>
      </w:r>
      <w:r w:rsidR="004A0AFA" w:rsidRPr="00731644">
        <w:rPr>
          <w:lang w:val="fr-CH"/>
        </w:rPr>
        <w:t xml:space="preserve"> qui ont de raisons de craindre d</w:t>
      </w:r>
      <w:r w:rsidR="00425386" w:rsidRPr="00731644">
        <w:rPr>
          <w:lang w:val="fr-CH"/>
        </w:rPr>
        <w:t>’</w:t>
      </w:r>
      <w:r w:rsidR="004A0AFA" w:rsidRPr="00731644">
        <w:rPr>
          <w:lang w:val="fr-CH"/>
        </w:rPr>
        <w:t xml:space="preserve">être persécutées en raison de leur </w:t>
      </w:r>
      <w:r w:rsidR="007A774E" w:rsidRPr="00731644">
        <w:rPr>
          <w:lang w:val="fr-CH"/>
        </w:rPr>
        <w:t xml:space="preserve">race, </w:t>
      </w:r>
      <w:r w:rsidR="004A0AFA" w:rsidRPr="00731644">
        <w:rPr>
          <w:lang w:val="fr-CH"/>
        </w:rPr>
        <w:t xml:space="preserve">de leur </w:t>
      </w:r>
      <w:r w:rsidR="007A774E" w:rsidRPr="00731644">
        <w:rPr>
          <w:lang w:val="fr-CH"/>
        </w:rPr>
        <w:t xml:space="preserve">langue, </w:t>
      </w:r>
      <w:r w:rsidR="004A0AFA" w:rsidRPr="00731644">
        <w:rPr>
          <w:lang w:val="fr-CH"/>
        </w:rPr>
        <w:t xml:space="preserve">de leur </w:t>
      </w:r>
      <w:r w:rsidR="007A774E" w:rsidRPr="00731644">
        <w:rPr>
          <w:lang w:val="fr-CH"/>
        </w:rPr>
        <w:t>religion</w:t>
      </w:r>
      <w:r w:rsidR="004A0AFA" w:rsidRPr="00731644">
        <w:rPr>
          <w:lang w:val="fr-CH"/>
        </w:rPr>
        <w:t>, de</w:t>
      </w:r>
      <w:r w:rsidR="00FF0442" w:rsidRPr="00731644">
        <w:rPr>
          <w:lang w:val="fr-CH"/>
        </w:rPr>
        <w:t xml:space="preserve"> </w:t>
      </w:r>
      <w:r w:rsidR="004A0AFA" w:rsidRPr="00731644">
        <w:rPr>
          <w:lang w:val="fr-CH"/>
        </w:rPr>
        <w:t>leur appartenance à une nation ou à un groupe</w:t>
      </w:r>
      <w:r w:rsidR="00F31DD5" w:rsidRPr="00731644">
        <w:rPr>
          <w:lang w:val="fr-CH"/>
        </w:rPr>
        <w:t xml:space="preserve"> </w:t>
      </w:r>
      <w:r w:rsidR="004A0AFA" w:rsidRPr="00731644">
        <w:rPr>
          <w:lang w:val="fr-CH"/>
        </w:rPr>
        <w:t xml:space="preserve">ou de leurs </w:t>
      </w:r>
      <w:r w:rsidR="007A774E" w:rsidRPr="00731644">
        <w:rPr>
          <w:lang w:val="fr-CH"/>
        </w:rPr>
        <w:t>opinion</w:t>
      </w:r>
      <w:r w:rsidR="004A0AFA" w:rsidRPr="00731644">
        <w:rPr>
          <w:lang w:val="fr-CH"/>
        </w:rPr>
        <w:t>s politiques</w:t>
      </w:r>
      <w:r w:rsidR="007A774E" w:rsidRPr="00731644">
        <w:rPr>
          <w:lang w:val="fr-CH"/>
        </w:rPr>
        <w:t xml:space="preserve"> (</w:t>
      </w:r>
      <w:r w:rsidR="00F31DD5" w:rsidRPr="00731644">
        <w:rPr>
          <w:lang w:val="fr-CH"/>
        </w:rPr>
        <w:t>art. </w:t>
      </w:r>
      <w:r w:rsidR="007A774E" w:rsidRPr="00731644">
        <w:rPr>
          <w:lang w:val="fr-CH"/>
        </w:rPr>
        <w:t xml:space="preserve">44). </w:t>
      </w:r>
      <w:r w:rsidR="004A0AFA" w:rsidRPr="00731644">
        <w:rPr>
          <w:lang w:val="fr-CH"/>
        </w:rPr>
        <w:t xml:space="preserve">Un étranger ne peut être reconduit dans un pays où, à cause de sa </w:t>
      </w:r>
      <w:r w:rsidR="007A774E" w:rsidRPr="00731644">
        <w:rPr>
          <w:lang w:val="fr-CH"/>
        </w:rPr>
        <w:t xml:space="preserve">race, </w:t>
      </w:r>
      <w:r w:rsidR="006320E5" w:rsidRPr="00731644">
        <w:rPr>
          <w:lang w:val="fr-CH"/>
        </w:rPr>
        <w:t xml:space="preserve">de </w:t>
      </w:r>
      <w:r w:rsidR="004A0AFA" w:rsidRPr="00731644">
        <w:rPr>
          <w:lang w:val="fr-CH"/>
        </w:rPr>
        <w:t xml:space="preserve">sa </w:t>
      </w:r>
      <w:r w:rsidR="007A774E" w:rsidRPr="00731644">
        <w:rPr>
          <w:lang w:val="fr-CH"/>
        </w:rPr>
        <w:t xml:space="preserve">religion, </w:t>
      </w:r>
      <w:r w:rsidR="006320E5" w:rsidRPr="00731644">
        <w:rPr>
          <w:lang w:val="fr-CH"/>
        </w:rPr>
        <w:t xml:space="preserve">de </w:t>
      </w:r>
      <w:r w:rsidR="004A0AFA" w:rsidRPr="00731644">
        <w:rPr>
          <w:lang w:val="fr-CH"/>
        </w:rPr>
        <w:t xml:space="preserve">sa </w:t>
      </w:r>
      <w:r w:rsidR="007A774E" w:rsidRPr="00731644">
        <w:rPr>
          <w:lang w:val="fr-CH"/>
        </w:rPr>
        <w:t xml:space="preserve">langue </w:t>
      </w:r>
      <w:r w:rsidR="004A0AFA" w:rsidRPr="00731644">
        <w:rPr>
          <w:lang w:val="fr-CH"/>
        </w:rPr>
        <w:t xml:space="preserve">ou de sa </w:t>
      </w:r>
      <w:r w:rsidR="007A774E" w:rsidRPr="00731644">
        <w:rPr>
          <w:lang w:val="fr-CH"/>
        </w:rPr>
        <w:t>nationalit</w:t>
      </w:r>
      <w:r w:rsidR="004A0AFA" w:rsidRPr="00731644">
        <w:rPr>
          <w:lang w:val="fr-CH"/>
        </w:rPr>
        <w:t>é</w:t>
      </w:r>
      <w:r w:rsidR="007A774E" w:rsidRPr="00731644">
        <w:rPr>
          <w:lang w:val="fr-CH"/>
        </w:rPr>
        <w:t xml:space="preserve">, </w:t>
      </w:r>
      <w:r w:rsidR="004A0AFA" w:rsidRPr="00731644">
        <w:rPr>
          <w:lang w:val="fr-CH"/>
        </w:rPr>
        <w:t>il risque d</w:t>
      </w:r>
      <w:r w:rsidR="00425386" w:rsidRPr="00731644">
        <w:rPr>
          <w:lang w:val="fr-CH"/>
        </w:rPr>
        <w:t>’</w:t>
      </w:r>
      <w:r w:rsidR="004A0AFA" w:rsidRPr="00731644">
        <w:rPr>
          <w:lang w:val="fr-CH"/>
        </w:rPr>
        <w:t xml:space="preserve">être condamné à mort, torturé ou persécuté, </w:t>
      </w:r>
      <w:r w:rsidR="00AE0FF8" w:rsidRPr="00731644">
        <w:rPr>
          <w:lang w:val="fr-CH"/>
        </w:rPr>
        <w:t xml:space="preserve">ou de subir </w:t>
      </w:r>
      <w:r w:rsidR="004A0AFA" w:rsidRPr="00731644">
        <w:rPr>
          <w:lang w:val="fr-CH"/>
        </w:rPr>
        <w:t>des traitements inhumains ou dégradants</w:t>
      </w:r>
      <w:r w:rsidR="00AE0FF8" w:rsidRPr="00731644">
        <w:rPr>
          <w:lang w:val="fr-CH"/>
        </w:rPr>
        <w:t xml:space="preserve"> ou de graves violations des droits qui sont garantis par la Constitution du Monténégro. Un étranger ne peut être expulsé que sur la décision </w:t>
      </w:r>
      <w:r w:rsidR="00FF0442" w:rsidRPr="00731644">
        <w:rPr>
          <w:lang w:val="fr-CH"/>
        </w:rPr>
        <w:t>d</w:t>
      </w:r>
      <w:r w:rsidR="00425386" w:rsidRPr="00731644">
        <w:rPr>
          <w:lang w:val="fr-CH"/>
        </w:rPr>
        <w:t>’</w:t>
      </w:r>
      <w:r w:rsidR="00AE0FF8" w:rsidRPr="00731644">
        <w:rPr>
          <w:lang w:val="fr-CH"/>
        </w:rPr>
        <w:t>un organisme compétent</w:t>
      </w:r>
      <w:r w:rsidR="00FF0442" w:rsidRPr="00731644">
        <w:rPr>
          <w:lang w:val="fr-CH"/>
        </w:rPr>
        <w:t>, prise</w:t>
      </w:r>
      <w:r w:rsidR="00AE0FF8" w:rsidRPr="00731644">
        <w:rPr>
          <w:lang w:val="fr-CH"/>
        </w:rPr>
        <w:t xml:space="preserve"> dans les formes juridiques prescrites.</w:t>
      </w:r>
      <w:r w:rsidR="00F31DD5" w:rsidRPr="00731644">
        <w:rPr>
          <w:lang w:val="fr-CH"/>
        </w:rPr>
        <w:t xml:space="preserve"> </w:t>
      </w:r>
    </w:p>
    <w:p w:rsidR="007A774E" w:rsidRPr="00731644" w:rsidRDefault="000228C3" w:rsidP="007A774E">
      <w:pPr>
        <w:pStyle w:val="SingleTxtG"/>
        <w:rPr>
          <w:lang w:val="fr-CH"/>
        </w:rPr>
      </w:pPr>
      <w:r w:rsidRPr="00731644">
        <w:rPr>
          <w:lang w:val="fr-CH"/>
        </w:rPr>
        <w:t>46.</w:t>
      </w:r>
      <w:r w:rsidR="00C30D4F" w:rsidRPr="00731644">
        <w:rPr>
          <w:lang w:val="fr-CH"/>
        </w:rPr>
        <w:tab/>
      </w:r>
      <w:r w:rsidR="00AE0FF8" w:rsidRPr="00731644">
        <w:rPr>
          <w:lang w:val="fr-CH"/>
        </w:rPr>
        <w:t xml:space="preserve">Au chapitre </w:t>
      </w:r>
      <w:r w:rsidR="00206879" w:rsidRPr="00731644">
        <w:rPr>
          <w:lang w:val="fr-CH"/>
        </w:rPr>
        <w:t xml:space="preserve">3 </w:t>
      </w:r>
      <w:r w:rsidR="00AE0FF8" w:rsidRPr="00731644">
        <w:rPr>
          <w:lang w:val="fr-CH"/>
        </w:rPr>
        <w:t xml:space="preserve">du </w:t>
      </w:r>
      <w:r w:rsidR="00206879" w:rsidRPr="00731644">
        <w:rPr>
          <w:lang w:val="fr-CH"/>
        </w:rPr>
        <w:t>t</w:t>
      </w:r>
      <w:r w:rsidR="00AE0FF8" w:rsidRPr="00731644">
        <w:rPr>
          <w:lang w:val="fr-CH"/>
        </w:rPr>
        <w:t>itre</w:t>
      </w:r>
      <w:r w:rsidR="007A774E" w:rsidRPr="00731644">
        <w:rPr>
          <w:lang w:val="fr-CH"/>
        </w:rPr>
        <w:t xml:space="preserve"> II</w:t>
      </w:r>
      <w:r w:rsidR="00AE0FF8" w:rsidRPr="00731644">
        <w:rPr>
          <w:lang w:val="fr-CH"/>
        </w:rPr>
        <w:t>,</w:t>
      </w:r>
      <w:r w:rsidR="007A774E" w:rsidRPr="00731644">
        <w:rPr>
          <w:lang w:val="fr-CH"/>
        </w:rPr>
        <w:t xml:space="preserve"> </w:t>
      </w:r>
      <w:r w:rsidR="00AE0FF8" w:rsidRPr="00731644">
        <w:rPr>
          <w:lang w:val="fr-CH"/>
        </w:rPr>
        <w:t>la</w:t>
      </w:r>
      <w:r w:rsidR="007A774E" w:rsidRPr="00731644">
        <w:rPr>
          <w:lang w:val="fr-CH"/>
        </w:rPr>
        <w:t xml:space="preserve"> Constitution </w:t>
      </w:r>
      <w:r w:rsidR="00AE0FF8" w:rsidRPr="00731644">
        <w:rPr>
          <w:lang w:val="fr-CH"/>
        </w:rPr>
        <w:t xml:space="preserve">garantit la liberté de pensée, de </w:t>
      </w:r>
      <w:r w:rsidR="007A774E" w:rsidRPr="00731644">
        <w:rPr>
          <w:lang w:val="fr-CH"/>
        </w:rPr>
        <w:t xml:space="preserve">conscience </w:t>
      </w:r>
      <w:r w:rsidR="00AE0FF8" w:rsidRPr="00731644">
        <w:rPr>
          <w:lang w:val="fr-CH"/>
        </w:rPr>
        <w:t xml:space="preserve">et de </w:t>
      </w:r>
      <w:r w:rsidR="007A774E" w:rsidRPr="00731644">
        <w:rPr>
          <w:lang w:val="fr-CH"/>
        </w:rPr>
        <w:t xml:space="preserve">religion, </w:t>
      </w:r>
      <w:r w:rsidR="00AE0FF8" w:rsidRPr="00731644">
        <w:rPr>
          <w:lang w:val="fr-CH"/>
        </w:rPr>
        <w:t>la liberté d</w:t>
      </w:r>
      <w:r w:rsidR="00425386" w:rsidRPr="00731644">
        <w:rPr>
          <w:lang w:val="fr-CH"/>
        </w:rPr>
        <w:t>’</w:t>
      </w:r>
      <w:r w:rsidR="007A774E" w:rsidRPr="00731644">
        <w:rPr>
          <w:lang w:val="fr-CH"/>
        </w:rPr>
        <w:t>expression</w:t>
      </w:r>
      <w:r w:rsidR="00AE0FF8" w:rsidRPr="00731644">
        <w:rPr>
          <w:lang w:val="fr-CH"/>
        </w:rPr>
        <w:t xml:space="preserve"> (assortie d</w:t>
      </w:r>
      <w:r w:rsidR="00425386" w:rsidRPr="00731644">
        <w:rPr>
          <w:lang w:val="fr-CH"/>
        </w:rPr>
        <w:t>’</w:t>
      </w:r>
      <w:r w:rsidR="00AE0FF8" w:rsidRPr="00731644">
        <w:rPr>
          <w:lang w:val="fr-CH"/>
        </w:rPr>
        <w:t>une interdiction de la censure)</w:t>
      </w:r>
      <w:r w:rsidR="007A774E" w:rsidRPr="00731644">
        <w:rPr>
          <w:lang w:val="fr-CH"/>
        </w:rPr>
        <w:t xml:space="preserve">, </w:t>
      </w:r>
      <w:r w:rsidR="00AE0FF8" w:rsidRPr="00731644">
        <w:rPr>
          <w:lang w:val="fr-CH"/>
        </w:rPr>
        <w:t>la liberté d</w:t>
      </w:r>
      <w:r w:rsidR="00425386" w:rsidRPr="00731644">
        <w:rPr>
          <w:lang w:val="fr-CH"/>
        </w:rPr>
        <w:t>’</w:t>
      </w:r>
      <w:r w:rsidR="007A774E" w:rsidRPr="00731644">
        <w:rPr>
          <w:lang w:val="fr-CH"/>
        </w:rPr>
        <w:t xml:space="preserve">information, </w:t>
      </w:r>
      <w:r w:rsidR="00AE0FF8" w:rsidRPr="00731644">
        <w:rPr>
          <w:lang w:val="fr-CH"/>
        </w:rPr>
        <w:t>de réunion et d</w:t>
      </w:r>
      <w:r w:rsidR="00425386" w:rsidRPr="00731644">
        <w:rPr>
          <w:lang w:val="fr-CH"/>
        </w:rPr>
        <w:t>’</w:t>
      </w:r>
      <w:r w:rsidR="00AE0FF8" w:rsidRPr="00731644">
        <w:rPr>
          <w:lang w:val="fr-CH"/>
        </w:rPr>
        <w:t>a</w:t>
      </w:r>
      <w:r w:rsidR="007A774E" w:rsidRPr="00731644">
        <w:rPr>
          <w:lang w:val="fr-CH"/>
        </w:rPr>
        <w:t>ssociation</w:t>
      </w:r>
      <w:r w:rsidR="00AE0FF8" w:rsidRPr="00731644">
        <w:rPr>
          <w:lang w:val="fr-CH"/>
        </w:rPr>
        <w:t xml:space="preserve">, et le droit de saisir les organisations internationales aux fins de la protection des droits et </w:t>
      </w:r>
      <w:r w:rsidR="00206879" w:rsidRPr="00731644">
        <w:rPr>
          <w:lang w:val="fr-CH"/>
        </w:rPr>
        <w:t xml:space="preserve">des </w:t>
      </w:r>
      <w:r w:rsidR="00AE0FF8" w:rsidRPr="00731644">
        <w:rPr>
          <w:lang w:val="fr-CH"/>
        </w:rPr>
        <w:t>libertés qu</w:t>
      </w:r>
      <w:r w:rsidR="00425386" w:rsidRPr="00731644">
        <w:rPr>
          <w:lang w:val="fr-CH"/>
        </w:rPr>
        <w:t>’</w:t>
      </w:r>
      <w:r w:rsidR="00AE0FF8" w:rsidRPr="00731644">
        <w:rPr>
          <w:lang w:val="fr-CH"/>
        </w:rPr>
        <w:t>elle consacre.</w:t>
      </w:r>
      <w:r w:rsidR="00F31DD5" w:rsidRPr="00731644">
        <w:rPr>
          <w:lang w:val="fr-CH"/>
        </w:rPr>
        <w:t xml:space="preserve"> </w:t>
      </w:r>
    </w:p>
    <w:p w:rsidR="007A774E" w:rsidRPr="00731644" w:rsidRDefault="00262955" w:rsidP="00AC3225">
      <w:pPr>
        <w:pStyle w:val="SingleTxtG"/>
        <w:rPr>
          <w:lang w:val="fr-CH"/>
        </w:rPr>
      </w:pPr>
      <w:r w:rsidRPr="00731644">
        <w:rPr>
          <w:lang w:val="fr-CH"/>
        </w:rPr>
        <w:t>47</w:t>
      </w:r>
      <w:r w:rsidR="00C30D4F" w:rsidRPr="00731644">
        <w:rPr>
          <w:lang w:val="fr-CH"/>
        </w:rPr>
        <w:t>.</w:t>
      </w:r>
      <w:r w:rsidR="00C30D4F" w:rsidRPr="00731644">
        <w:rPr>
          <w:lang w:val="fr-CH"/>
        </w:rPr>
        <w:tab/>
      </w:r>
      <w:r w:rsidR="009B74D3" w:rsidRPr="00731644">
        <w:rPr>
          <w:lang w:val="fr-CH"/>
        </w:rPr>
        <w:t>Compte tenu des</w:t>
      </w:r>
      <w:r w:rsidR="00AE0FF8" w:rsidRPr="00731644">
        <w:rPr>
          <w:lang w:val="fr-CH"/>
        </w:rPr>
        <w:t xml:space="preserve"> droits </w:t>
      </w:r>
      <w:r w:rsidR="00206879" w:rsidRPr="00731644">
        <w:rPr>
          <w:lang w:val="fr-CH"/>
        </w:rPr>
        <w:t>dont elle assur</w:t>
      </w:r>
      <w:r w:rsidR="00AE0FF8" w:rsidRPr="00731644">
        <w:rPr>
          <w:lang w:val="fr-CH"/>
        </w:rPr>
        <w:t>e</w:t>
      </w:r>
      <w:r w:rsidR="00206879" w:rsidRPr="00731644">
        <w:rPr>
          <w:lang w:val="fr-CH"/>
        </w:rPr>
        <w:t xml:space="preserve"> le respect</w:t>
      </w:r>
      <w:r w:rsidR="00AE0FF8" w:rsidRPr="00731644">
        <w:rPr>
          <w:lang w:val="fr-CH"/>
        </w:rPr>
        <w:t xml:space="preserve">, la </w:t>
      </w:r>
      <w:r w:rsidR="007A774E" w:rsidRPr="00731644">
        <w:rPr>
          <w:lang w:val="fr-CH"/>
        </w:rPr>
        <w:t xml:space="preserve">Constitution </w:t>
      </w:r>
      <w:r w:rsidR="005F5113" w:rsidRPr="00731644">
        <w:rPr>
          <w:lang w:val="fr-CH"/>
        </w:rPr>
        <w:t>n</w:t>
      </w:r>
      <w:r w:rsidR="00425386" w:rsidRPr="00731644">
        <w:rPr>
          <w:lang w:val="fr-CH"/>
        </w:rPr>
        <w:t>’</w:t>
      </w:r>
      <w:r w:rsidR="005F5113" w:rsidRPr="00731644">
        <w:rPr>
          <w:lang w:val="fr-CH"/>
        </w:rPr>
        <w:t>autorise de restriction à la diffusion de l</w:t>
      </w:r>
      <w:r w:rsidR="00425386" w:rsidRPr="00731644">
        <w:rPr>
          <w:lang w:val="fr-CH"/>
        </w:rPr>
        <w:t>’</w:t>
      </w:r>
      <w:r w:rsidR="007A774E" w:rsidRPr="00731644">
        <w:rPr>
          <w:lang w:val="fr-CH"/>
        </w:rPr>
        <w:t xml:space="preserve">information </w:t>
      </w:r>
      <w:r w:rsidR="005F5113" w:rsidRPr="00731644">
        <w:rPr>
          <w:lang w:val="fr-CH"/>
        </w:rPr>
        <w:t xml:space="preserve">et des idées par les médias que si cela est nécessaire, notamment, pour éviter </w:t>
      </w:r>
      <w:r w:rsidR="00DD4CF0" w:rsidRPr="00731644">
        <w:rPr>
          <w:lang w:val="fr-CH"/>
        </w:rPr>
        <w:t>l</w:t>
      </w:r>
      <w:r w:rsidR="00425386" w:rsidRPr="00731644">
        <w:rPr>
          <w:lang w:val="fr-CH"/>
        </w:rPr>
        <w:t>’</w:t>
      </w:r>
      <w:r w:rsidR="00DD4CF0" w:rsidRPr="00731644">
        <w:rPr>
          <w:lang w:val="fr-CH"/>
        </w:rPr>
        <w:t>apologie</w:t>
      </w:r>
      <w:r w:rsidR="009B74D3" w:rsidRPr="00731644">
        <w:rPr>
          <w:lang w:val="fr-CH"/>
        </w:rPr>
        <w:t xml:space="preserve"> de la guerre, </w:t>
      </w:r>
      <w:r w:rsidR="005F5113" w:rsidRPr="00731644">
        <w:rPr>
          <w:lang w:val="fr-CH"/>
        </w:rPr>
        <w:t>l</w:t>
      </w:r>
      <w:r w:rsidR="00425386" w:rsidRPr="00731644">
        <w:rPr>
          <w:lang w:val="fr-CH"/>
        </w:rPr>
        <w:t>’</w:t>
      </w:r>
      <w:r w:rsidR="005F5113" w:rsidRPr="00731644">
        <w:rPr>
          <w:lang w:val="fr-CH"/>
        </w:rPr>
        <w:t>incitation à des actes violents ou criminels</w:t>
      </w:r>
      <w:r w:rsidR="007A774E" w:rsidRPr="00731644">
        <w:rPr>
          <w:lang w:val="fr-CH"/>
        </w:rPr>
        <w:t>,</w:t>
      </w:r>
      <w:r w:rsidR="005F5113" w:rsidRPr="00731644">
        <w:rPr>
          <w:lang w:val="fr-CH"/>
        </w:rPr>
        <w:t xml:space="preserve"> ou la</w:t>
      </w:r>
      <w:r w:rsidR="009B74D3" w:rsidRPr="00731644">
        <w:rPr>
          <w:lang w:val="fr-CH"/>
        </w:rPr>
        <w:t xml:space="preserve"> propagation </w:t>
      </w:r>
      <w:r w:rsidR="005F5113" w:rsidRPr="00731644">
        <w:rPr>
          <w:lang w:val="fr-CH"/>
        </w:rPr>
        <w:t>de</w:t>
      </w:r>
      <w:r w:rsidR="00F31DD5" w:rsidRPr="00731644">
        <w:rPr>
          <w:lang w:val="fr-CH"/>
        </w:rPr>
        <w:t xml:space="preserve"> </w:t>
      </w:r>
      <w:r w:rsidR="005F5113" w:rsidRPr="00731644">
        <w:rPr>
          <w:lang w:val="fr-CH"/>
        </w:rPr>
        <w:t>la haine ou de la discrimination raciales, ethniques ou religieuses</w:t>
      </w:r>
      <w:r w:rsidR="007A774E" w:rsidRPr="00731644">
        <w:rPr>
          <w:lang w:val="fr-CH"/>
        </w:rPr>
        <w:t xml:space="preserve">. </w:t>
      </w:r>
      <w:r w:rsidR="005F5113" w:rsidRPr="00731644">
        <w:rPr>
          <w:lang w:val="fr-CH"/>
        </w:rPr>
        <w:t xml:space="preserve">De même, </w:t>
      </w:r>
      <w:r w:rsidR="00374D76" w:rsidRPr="00731644">
        <w:rPr>
          <w:lang w:val="fr-CH"/>
        </w:rPr>
        <w:t>l</w:t>
      </w:r>
      <w:r w:rsidR="00425386" w:rsidRPr="00731644">
        <w:rPr>
          <w:lang w:val="fr-CH"/>
        </w:rPr>
        <w:t>’</w:t>
      </w:r>
      <w:r w:rsidR="001753EC">
        <w:rPr>
          <w:lang w:val="fr-CH"/>
        </w:rPr>
        <w:t>article </w:t>
      </w:r>
      <w:r w:rsidR="007A774E" w:rsidRPr="00731644">
        <w:rPr>
          <w:lang w:val="fr-CH"/>
        </w:rPr>
        <w:t xml:space="preserve">55 </w:t>
      </w:r>
      <w:r w:rsidR="005F5113" w:rsidRPr="00731644">
        <w:rPr>
          <w:lang w:val="fr-CH"/>
        </w:rPr>
        <w:t xml:space="preserve">prohibe les organisations politiques ou autres qui se proposent de </w:t>
      </w:r>
      <w:r w:rsidR="00DD4CF0" w:rsidRPr="00731644">
        <w:rPr>
          <w:lang w:val="fr-CH"/>
        </w:rPr>
        <w:t>renverser par la force</w:t>
      </w:r>
      <w:r w:rsidR="005F5113" w:rsidRPr="00731644">
        <w:rPr>
          <w:lang w:val="fr-CH"/>
        </w:rPr>
        <w:t xml:space="preserve"> l</w:t>
      </w:r>
      <w:r w:rsidR="00425386" w:rsidRPr="00731644">
        <w:rPr>
          <w:lang w:val="fr-CH"/>
        </w:rPr>
        <w:t>’</w:t>
      </w:r>
      <w:r w:rsidR="005F5113" w:rsidRPr="00731644">
        <w:rPr>
          <w:lang w:val="fr-CH"/>
        </w:rPr>
        <w:t>ordre constitutionnel, de violer l</w:t>
      </w:r>
      <w:r w:rsidR="00425386" w:rsidRPr="00731644">
        <w:rPr>
          <w:lang w:val="fr-CH"/>
        </w:rPr>
        <w:t>’</w:t>
      </w:r>
      <w:r w:rsidR="005F5113" w:rsidRPr="00731644">
        <w:rPr>
          <w:lang w:val="fr-CH"/>
        </w:rPr>
        <w:t>intégrité territoriale du pays, de porter atteinte aux droits et libertés garantis, ou d</w:t>
      </w:r>
      <w:r w:rsidR="00425386" w:rsidRPr="00731644">
        <w:rPr>
          <w:lang w:val="fr-CH"/>
        </w:rPr>
        <w:t>’</w:t>
      </w:r>
      <w:r w:rsidR="005F5113" w:rsidRPr="00731644">
        <w:rPr>
          <w:lang w:val="fr-CH"/>
        </w:rPr>
        <w:t>inciter à la haine ou à l</w:t>
      </w:r>
      <w:r w:rsidR="00425386" w:rsidRPr="00731644">
        <w:rPr>
          <w:lang w:val="fr-CH"/>
        </w:rPr>
        <w:t>’</w:t>
      </w:r>
      <w:r w:rsidR="005F5113" w:rsidRPr="00731644">
        <w:rPr>
          <w:lang w:val="fr-CH"/>
        </w:rPr>
        <w:t>intolérance nationale</w:t>
      </w:r>
      <w:r w:rsidR="00DD4CF0" w:rsidRPr="00731644">
        <w:rPr>
          <w:lang w:val="fr-CH"/>
        </w:rPr>
        <w:t>s</w:t>
      </w:r>
      <w:r w:rsidR="005F5113" w:rsidRPr="00731644">
        <w:rPr>
          <w:lang w:val="fr-CH"/>
        </w:rPr>
        <w:t>, raciale</w:t>
      </w:r>
      <w:r w:rsidR="00DD4CF0" w:rsidRPr="00731644">
        <w:rPr>
          <w:lang w:val="fr-CH"/>
        </w:rPr>
        <w:t>s</w:t>
      </w:r>
      <w:r w:rsidR="005F5113" w:rsidRPr="00731644">
        <w:rPr>
          <w:lang w:val="fr-CH"/>
        </w:rPr>
        <w:t>, religieuse</w:t>
      </w:r>
      <w:r w:rsidR="00DD4CF0" w:rsidRPr="00731644">
        <w:rPr>
          <w:lang w:val="fr-CH"/>
        </w:rPr>
        <w:t>s</w:t>
      </w:r>
      <w:r w:rsidR="005F5113" w:rsidRPr="00731644">
        <w:rPr>
          <w:lang w:val="fr-CH"/>
        </w:rPr>
        <w:t xml:space="preserve"> ou autre</w:t>
      </w:r>
      <w:r w:rsidR="00DD4CF0" w:rsidRPr="00731644">
        <w:rPr>
          <w:lang w:val="fr-CH"/>
        </w:rPr>
        <w:t>s</w:t>
      </w:r>
      <w:r w:rsidR="007A774E" w:rsidRPr="00731644">
        <w:rPr>
          <w:lang w:val="fr-CH"/>
        </w:rPr>
        <w:t>.</w:t>
      </w:r>
    </w:p>
    <w:p w:rsidR="007A774E" w:rsidRPr="00731644" w:rsidRDefault="00262955" w:rsidP="007A429C">
      <w:pPr>
        <w:pStyle w:val="SingleTxtG"/>
        <w:rPr>
          <w:lang w:val="fr-CH"/>
        </w:rPr>
      </w:pPr>
      <w:r w:rsidRPr="00731644">
        <w:rPr>
          <w:lang w:val="fr-CH"/>
        </w:rPr>
        <w:t>48</w:t>
      </w:r>
      <w:r w:rsidR="00C30D4F" w:rsidRPr="00731644">
        <w:rPr>
          <w:lang w:val="fr-CH"/>
        </w:rPr>
        <w:t>.</w:t>
      </w:r>
      <w:r w:rsidR="00C30D4F" w:rsidRPr="00731644">
        <w:rPr>
          <w:lang w:val="fr-CH"/>
        </w:rPr>
        <w:tab/>
      </w:r>
      <w:r w:rsidR="00351B12" w:rsidRPr="00731644">
        <w:rPr>
          <w:lang w:val="fr-CH"/>
        </w:rPr>
        <w:t xml:space="preserve">Dans un autre chapitre, </w:t>
      </w:r>
      <w:r w:rsidR="00B23ED5" w:rsidRPr="00731644">
        <w:rPr>
          <w:lang w:val="fr-CH"/>
        </w:rPr>
        <w:t xml:space="preserve">consacré </w:t>
      </w:r>
      <w:r w:rsidR="004473B7" w:rsidRPr="00731644">
        <w:rPr>
          <w:lang w:val="fr-CH"/>
        </w:rPr>
        <w:t>aux droits</w:t>
      </w:r>
      <w:r w:rsidR="00B23ED5" w:rsidRPr="00731644">
        <w:rPr>
          <w:lang w:val="fr-CH"/>
        </w:rPr>
        <w:t xml:space="preserve"> des minorités,</w:t>
      </w:r>
      <w:r w:rsidR="00F31DD5" w:rsidRPr="00731644">
        <w:rPr>
          <w:lang w:val="fr-CH"/>
        </w:rPr>
        <w:t xml:space="preserve"> </w:t>
      </w:r>
      <w:r w:rsidR="00351B12" w:rsidRPr="00731644">
        <w:rPr>
          <w:lang w:val="fr-CH"/>
        </w:rPr>
        <w:t>la</w:t>
      </w:r>
      <w:r w:rsidR="007A774E" w:rsidRPr="00731644">
        <w:rPr>
          <w:lang w:val="fr-CH"/>
        </w:rPr>
        <w:t xml:space="preserve"> Constitution </w:t>
      </w:r>
      <w:r w:rsidR="00351B12" w:rsidRPr="00731644">
        <w:rPr>
          <w:lang w:val="fr-CH"/>
        </w:rPr>
        <w:t>garantit</w:t>
      </w:r>
      <w:r w:rsidR="00F31DD5" w:rsidRPr="00731644">
        <w:rPr>
          <w:lang w:val="fr-CH"/>
        </w:rPr>
        <w:t>:</w:t>
      </w:r>
      <w:r w:rsidR="007A774E" w:rsidRPr="00731644">
        <w:rPr>
          <w:lang w:val="fr-CH"/>
        </w:rPr>
        <w:t xml:space="preserve"> </w:t>
      </w:r>
      <w:r w:rsidR="00351B12" w:rsidRPr="00731644">
        <w:rPr>
          <w:lang w:val="fr-CH"/>
        </w:rPr>
        <w:t>la</w:t>
      </w:r>
      <w:r w:rsidR="007A774E" w:rsidRPr="00731644">
        <w:rPr>
          <w:lang w:val="fr-CH"/>
        </w:rPr>
        <w:t xml:space="preserve"> protection </w:t>
      </w:r>
      <w:r w:rsidR="00351B12" w:rsidRPr="00731644">
        <w:rPr>
          <w:lang w:val="fr-CH"/>
        </w:rPr>
        <w:t>de l</w:t>
      </w:r>
      <w:r w:rsidR="00425386" w:rsidRPr="00731644">
        <w:rPr>
          <w:lang w:val="fr-CH"/>
        </w:rPr>
        <w:t>’</w:t>
      </w:r>
      <w:r w:rsidR="007A774E" w:rsidRPr="00731644">
        <w:rPr>
          <w:lang w:val="fr-CH"/>
        </w:rPr>
        <w:t>identit</w:t>
      </w:r>
      <w:r w:rsidR="00351B12" w:rsidRPr="00731644">
        <w:rPr>
          <w:lang w:val="fr-CH"/>
        </w:rPr>
        <w:t>é</w:t>
      </w:r>
      <w:r w:rsidR="007A774E" w:rsidRPr="00731644">
        <w:rPr>
          <w:lang w:val="fr-CH"/>
        </w:rPr>
        <w:t xml:space="preserve"> </w:t>
      </w:r>
      <w:r w:rsidR="00351B12" w:rsidRPr="00731644">
        <w:rPr>
          <w:lang w:val="fr-CH"/>
        </w:rPr>
        <w:t xml:space="preserve">des minorités </w:t>
      </w:r>
      <w:r w:rsidR="006968F9" w:rsidRPr="00731644">
        <w:rPr>
          <w:lang w:val="fr-CH"/>
        </w:rPr>
        <w:t>par</w:t>
      </w:r>
      <w:r w:rsidR="00351B12" w:rsidRPr="00731644">
        <w:rPr>
          <w:lang w:val="fr-CH"/>
        </w:rPr>
        <w:t xml:space="preserve"> </w:t>
      </w:r>
      <w:r w:rsidR="006968F9" w:rsidRPr="00731644">
        <w:rPr>
          <w:lang w:val="fr-CH"/>
        </w:rPr>
        <w:t>la m</w:t>
      </w:r>
      <w:r w:rsidR="00D87808" w:rsidRPr="00731644">
        <w:rPr>
          <w:lang w:val="fr-CH"/>
        </w:rPr>
        <w:t>a</w:t>
      </w:r>
      <w:r w:rsidR="006968F9" w:rsidRPr="00731644">
        <w:rPr>
          <w:lang w:val="fr-CH"/>
        </w:rPr>
        <w:t>nifestat</w:t>
      </w:r>
      <w:r w:rsidR="007A774E" w:rsidRPr="00731644">
        <w:rPr>
          <w:lang w:val="fr-CH"/>
        </w:rPr>
        <w:t>ion,</w:t>
      </w:r>
      <w:r w:rsidR="00351B12" w:rsidRPr="00731644">
        <w:rPr>
          <w:lang w:val="fr-CH"/>
        </w:rPr>
        <w:t xml:space="preserve"> la</w:t>
      </w:r>
      <w:r w:rsidR="007A774E" w:rsidRPr="00731644">
        <w:rPr>
          <w:lang w:val="fr-CH"/>
        </w:rPr>
        <w:t xml:space="preserve"> pr</w:t>
      </w:r>
      <w:r w:rsidR="00351B12" w:rsidRPr="00731644">
        <w:rPr>
          <w:lang w:val="fr-CH"/>
        </w:rPr>
        <w:t>é</w:t>
      </w:r>
      <w:r w:rsidR="007A774E" w:rsidRPr="00731644">
        <w:rPr>
          <w:lang w:val="fr-CH"/>
        </w:rPr>
        <w:t xml:space="preserve">servation, </w:t>
      </w:r>
      <w:r w:rsidR="00351B12" w:rsidRPr="00731644">
        <w:rPr>
          <w:lang w:val="fr-CH"/>
        </w:rPr>
        <w:t xml:space="preserve">la mise en valeur et </w:t>
      </w:r>
      <w:r w:rsidR="006968F9" w:rsidRPr="00731644">
        <w:rPr>
          <w:lang w:val="fr-CH"/>
        </w:rPr>
        <w:t>l</w:t>
      </w:r>
      <w:r w:rsidR="00425386" w:rsidRPr="00731644">
        <w:rPr>
          <w:lang w:val="fr-CH"/>
        </w:rPr>
        <w:t>’</w:t>
      </w:r>
      <w:r w:rsidR="006968F9" w:rsidRPr="00731644">
        <w:rPr>
          <w:lang w:val="fr-CH"/>
        </w:rPr>
        <w:t>expressio</w:t>
      </w:r>
      <w:r w:rsidR="00351B12" w:rsidRPr="00731644">
        <w:rPr>
          <w:lang w:val="fr-CH"/>
        </w:rPr>
        <w:t xml:space="preserve">n publique des </w:t>
      </w:r>
      <w:r w:rsidR="006968F9" w:rsidRPr="00731644">
        <w:rPr>
          <w:lang w:val="fr-CH"/>
        </w:rPr>
        <w:t>particular</w:t>
      </w:r>
      <w:r w:rsidR="00351B12" w:rsidRPr="00731644">
        <w:rPr>
          <w:lang w:val="fr-CH"/>
        </w:rPr>
        <w:t xml:space="preserve">ités </w:t>
      </w:r>
      <w:r w:rsidR="007A774E" w:rsidRPr="00731644">
        <w:rPr>
          <w:lang w:val="fr-CH"/>
        </w:rPr>
        <w:t>national</w:t>
      </w:r>
      <w:r w:rsidR="00351B12" w:rsidRPr="00731644">
        <w:rPr>
          <w:lang w:val="fr-CH"/>
        </w:rPr>
        <w:t>es</w:t>
      </w:r>
      <w:r w:rsidR="007A774E" w:rsidRPr="00731644">
        <w:rPr>
          <w:lang w:val="fr-CH"/>
        </w:rPr>
        <w:t>, ethni</w:t>
      </w:r>
      <w:r w:rsidR="00351B12" w:rsidRPr="00731644">
        <w:rPr>
          <w:lang w:val="fr-CH"/>
        </w:rPr>
        <w:t>ques, culturelles et</w:t>
      </w:r>
      <w:r w:rsidR="007A774E" w:rsidRPr="00731644">
        <w:rPr>
          <w:lang w:val="fr-CH"/>
        </w:rPr>
        <w:t xml:space="preserve"> religi</w:t>
      </w:r>
      <w:r w:rsidR="00351B12" w:rsidRPr="00731644">
        <w:rPr>
          <w:lang w:val="fr-CH"/>
        </w:rPr>
        <w:t>euses</w:t>
      </w:r>
      <w:r w:rsidR="00F31DD5" w:rsidRPr="00731644">
        <w:rPr>
          <w:lang w:val="fr-CH"/>
        </w:rPr>
        <w:t>;</w:t>
      </w:r>
      <w:r w:rsidR="007A774E" w:rsidRPr="00731644">
        <w:rPr>
          <w:lang w:val="fr-CH"/>
        </w:rPr>
        <w:t xml:space="preserve"> </w:t>
      </w:r>
      <w:r w:rsidR="00351B12" w:rsidRPr="00731644">
        <w:rPr>
          <w:lang w:val="fr-CH"/>
        </w:rPr>
        <w:t>le choix, l</w:t>
      </w:r>
      <w:r w:rsidR="00425386" w:rsidRPr="00731644">
        <w:rPr>
          <w:lang w:val="fr-CH"/>
        </w:rPr>
        <w:t>’</w:t>
      </w:r>
      <w:r w:rsidR="00351B12" w:rsidRPr="00731644">
        <w:rPr>
          <w:lang w:val="fr-CH"/>
        </w:rPr>
        <w:t xml:space="preserve">utilisation et </w:t>
      </w:r>
      <w:r w:rsidR="00D87808" w:rsidRPr="00731644">
        <w:rPr>
          <w:lang w:val="fr-CH"/>
        </w:rPr>
        <w:t>l</w:t>
      </w:r>
      <w:r w:rsidR="00425386" w:rsidRPr="00731644">
        <w:rPr>
          <w:lang w:val="fr-CH"/>
        </w:rPr>
        <w:t>’</w:t>
      </w:r>
      <w:r w:rsidR="00D87808" w:rsidRPr="00731644">
        <w:rPr>
          <w:lang w:val="fr-CH"/>
        </w:rPr>
        <w:t>exposition</w:t>
      </w:r>
      <w:r w:rsidR="00351B12" w:rsidRPr="00731644">
        <w:rPr>
          <w:lang w:val="fr-CH"/>
        </w:rPr>
        <w:t xml:space="preserve"> publi</w:t>
      </w:r>
      <w:r w:rsidR="00D87808" w:rsidRPr="00731644">
        <w:rPr>
          <w:lang w:val="fr-CH"/>
        </w:rPr>
        <w:t>que</w:t>
      </w:r>
      <w:r w:rsidR="00351B12" w:rsidRPr="00731644">
        <w:rPr>
          <w:lang w:val="fr-CH"/>
        </w:rPr>
        <w:t xml:space="preserve"> des symboles nationaux ainsi que la célébration des fêtes nationales</w:t>
      </w:r>
      <w:r w:rsidR="00F31DD5" w:rsidRPr="00731644">
        <w:rPr>
          <w:lang w:val="fr-CH"/>
        </w:rPr>
        <w:t>;</w:t>
      </w:r>
      <w:r w:rsidR="00351B12" w:rsidRPr="00731644">
        <w:rPr>
          <w:lang w:val="fr-CH"/>
        </w:rPr>
        <w:t xml:space="preserve"> l</w:t>
      </w:r>
      <w:r w:rsidR="00425386" w:rsidRPr="00731644">
        <w:rPr>
          <w:lang w:val="fr-CH"/>
        </w:rPr>
        <w:t>’</w:t>
      </w:r>
      <w:r w:rsidR="00351B12" w:rsidRPr="00731644">
        <w:rPr>
          <w:lang w:val="fr-CH"/>
        </w:rPr>
        <w:t>utilisation</w:t>
      </w:r>
      <w:r w:rsidR="00B23ED5" w:rsidRPr="00731644">
        <w:rPr>
          <w:lang w:val="fr-CH"/>
        </w:rPr>
        <w:t xml:space="preserve"> de la langue et de</w:t>
      </w:r>
      <w:r w:rsidR="00CC13F5" w:rsidRPr="00731644">
        <w:rPr>
          <w:lang w:val="fr-CH"/>
        </w:rPr>
        <w:t xml:space="preserve"> l</w:t>
      </w:r>
      <w:r w:rsidR="00425386" w:rsidRPr="00731644">
        <w:rPr>
          <w:lang w:val="fr-CH"/>
        </w:rPr>
        <w:t>’</w:t>
      </w:r>
      <w:r w:rsidR="00CC13F5" w:rsidRPr="00731644">
        <w:rPr>
          <w:lang w:val="fr-CH"/>
        </w:rPr>
        <w:t xml:space="preserve">alphabet </w:t>
      </w:r>
      <w:r w:rsidR="006968F9" w:rsidRPr="00731644">
        <w:rPr>
          <w:lang w:val="fr-CH"/>
        </w:rPr>
        <w:t xml:space="preserve">minoritaires </w:t>
      </w:r>
      <w:r w:rsidR="00B23ED5" w:rsidRPr="00731644">
        <w:rPr>
          <w:lang w:val="fr-CH"/>
        </w:rPr>
        <w:t>dans les communications privées</w:t>
      </w:r>
      <w:r w:rsidR="00CC13F5" w:rsidRPr="00731644">
        <w:rPr>
          <w:lang w:val="fr-CH"/>
        </w:rPr>
        <w:t>,</w:t>
      </w:r>
      <w:r w:rsidR="00B23ED5" w:rsidRPr="00731644">
        <w:rPr>
          <w:lang w:val="fr-CH"/>
        </w:rPr>
        <w:t xml:space="preserve"> publiques et officielles</w:t>
      </w:r>
      <w:r w:rsidR="00F31DD5" w:rsidRPr="00731644">
        <w:rPr>
          <w:lang w:val="fr-CH"/>
        </w:rPr>
        <w:t>;</w:t>
      </w:r>
      <w:r w:rsidR="00B23ED5" w:rsidRPr="00731644">
        <w:rPr>
          <w:lang w:val="fr-CH"/>
        </w:rPr>
        <w:t xml:space="preserve"> l</w:t>
      </w:r>
      <w:r w:rsidR="00425386" w:rsidRPr="00731644">
        <w:rPr>
          <w:lang w:val="fr-CH"/>
        </w:rPr>
        <w:t>’</w:t>
      </w:r>
      <w:r w:rsidR="00CC13F5" w:rsidRPr="00731644">
        <w:rPr>
          <w:lang w:val="fr-CH"/>
        </w:rPr>
        <w:t>utilisation de la langue minoritaire dans l</w:t>
      </w:r>
      <w:r w:rsidR="00425386" w:rsidRPr="00731644">
        <w:rPr>
          <w:lang w:val="fr-CH"/>
        </w:rPr>
        <w:t>’</w:t>
      </w:r>
      <w:r w:rsidR="00CC13F5" w:rsidRPr="00731644">
        <w:rPr>
          <w:lang w:val="fr-CH"/>
        </w:rPr>
        <w:t>enseignement</w:t>
      </w:r>
      <w:r w:rsidR="007A774E" w:rsidRPr="00731644">
        <w:rPr>
          <w:lang w:val="fr-CH"/>
        </w:rPr>
        <w:t xml:space="preserve"> </w:t>
      </w:r>
      <w:r w:rsidR="00B23ED5" w:rsidRPr="00731644">
        <w:rPr>
          <w:lang w:val="fr-CH"/>
        </w:rPr>
        <w:t>public et dans les programmes d</w:t>
      </w:r>
      <w:r w:rsidR="00425386" w:rsidRPr="00731644">
        <w:rPr>
          <w:lang w:val="fr-CH"/>
        </w:rPr>
        <w:t>’</w:t>
      </w:r>
      <w:r w:rsidR="00B23ED5" w:rsidRPr="00731644">
        <w:rPr>
          <w:lang w:val="fr-CH"/>
        </w:rPr>
        <w:t xml:space="preserve">études qui portent </w:t>
      </w:r>
      <w:r w:rsidR="00A66512" w:rsidRPr="00731644">
        <w:rPr>
          <w:lang w:val="fr-CH"/>
        </w:rPr>
        <w:t>notamment</w:t>
      </w:r>
      <w:r w:rsidR="00B23ED5" w:rsidRPr="00731644">
        <w:rPr>
          <w:lang w:val="fr-CH"/>
        </w:rPr>
        <w:t xml:space="preserve"> sur l</w:t>
      </w:r>
      <w:r w:rsidR="00425386" w:rsidRPr="00731644">
        <w:rPr>
          <w:lang w:val="fr-CH"/>
        </w:rPr>
        <w:t>’</w:t>
      </w:r>
      <w:r w:rsidR="00B23ED5" w:rsidRPr="00731644">
        <w:rPr>
          <w:lang w:val="fr-CH"/>
        </w:rPr>
        <w:t>histoire et la culture des peuples et autres groupes ethniques minoritaires</w:t>
      </w:r>
      <w:r w:rsidR="00F31DD5" w:rsidRPr="00731644">
        <w:rPr>
          <w:lang w:val="fr-CH"/>
        </w:rPr>
        <w:t>;</w:t>
      </w:r>
      <w:r w:rsidR="00B23ED5" w:rsidRPr="00731644">
        <w:rPr>
          <w:lang w:val="fr-CH"/>
        </w:rPr>
        <w:t xml:space="preserve"> le droit</w:t>
      </w:r>
      <w:r w:rsidR="006968F9" w:rsidRPr="00731644">
        <w:rPr>
          <w:lang w:val="fr-CH"/>
        </w:rPr>
        <w:t xml:space="preserve"> des minorités et autres communautés ethniques minoritaires</w:t>
      </w:r>
      <w:r w:rsidR="00B23ED5" w:rsidRPr="00731644">
        <w:rPr>
          <w:lang w:val="fr-CH"/>
        </w:rPr>
        <w:t xml:space="preserve">, dans les zones où </w:t>
      </w:r>
      <w:r w:rsidR="006968F9" w:rsidRPr="00731644">
        <w:rPr>
          <w:lang w:val="fr-CH"/>
        </w:rPr>
        <w:t xml:space="preserve">elles </w:t>
      </w:r>
      <w:r w:rsidR="00B23ED5" w:rsidRPr="00731644">
        <w:rPr>
          <w:lang w:val="fr-CH"/>
        </w:rPr>
        <w:t>forment une part appréciable de la population, d</w:t>
      </w:r>
      <w:r w:rsidR="00425386" w:rsidRPr="00731644">
        <w:rPr>
          <w:lang w:val="fr-CH"/>
        </w:rPr>
        <w:t>’</w:t>
      </w:r>
      <w:r w:rsidR="00B23ED5" w:rsidRPr="00731644">
        <w:rPr>
          <w:lang w:val="fr-CH"/>
        </w:rPr>
        <w:t xml:space="preserve">utiliser </w:t>
      </w:r>
      <w:r w:rsidR="00CC13F5" w:rsidRPr="00731644">
        <w:rPr>
          <w:lang w:val="fr-CH"/>
        </w:rPr>
        <w:t>leur</w:t>
      </w:r>
      <w:r w:rsidR="00B23ED5" w:rsidRPr="00731644">
        <w:rPr>
          <w:lang w:val="fr-CH"/>
        </w:rPr>
        <w:t xml:space="preserve"> langue </w:t>
      </w:r>
      <w:r w:rsidR="006B3A11" w:rsidRPr="00731644">
        <w:rPr>
          <w:lang w:val="fr-CH"/>
        </w:rPr>
        <w:t xml:space="preserve">dans les </w:t>
      </w:r>
      <w:r w:rsidR="00DD4CF0" w:rsidRPr="00731644">
        <w:rPr>
          <w:lang w:val="fr-CH"/>
        </w:rPr>
        <w:t xml:space="preserve">débats et </w:t>
      </w:r>
      <w:r w:rsidR="00CC13F5" w:rsidRPr="00731644">
        <w:rPr>
          <w:lang w:val="fr-CH"/>
        </w:rPr>
        <w:t>t</w:t>
      </w:r>
      <w:r w:rsidR="006B3A11" w:rsidRPr="00731644">
        <w:rPr>
          <w:lang w:val="fr-CH"/>
        </w:rPr>
        <w:t>ravaux des</w:t>
      </w:r>
      <w:r w:rsidR="00B23ED5" w:rsidRPr="00731644">
        <w:rPr>
          <w:lang w:val="fr-CH"/>
        </w:rPr>
        <w:t xml:space="preserve"> </w:t>
      </w:r>
      <w:r w:rsidR="006B3A11" w:rsidRPr="00731644">
        <w:rPr>
          <w:lang w:val="fr-CH"/>
        </w:rPr>
        <w:t>autorités locales autonomes, des organismes publics et des organes judiciaires</w:t>
      </w:r>
      <w:r w:rsidR="00F31DD5" w:rsidRPr="00731644">
        <w:rPr>
          <w:lang w:val="fr-CH"/>
        </w:rPr>
        <w:t xml:space="preserve">; </w:t>
      </w:r>
      <w:r w:rsidR="006B3A11" w:rsidRPr="00731644">
        <w:rPr>
          <w:lang w:val="fr-CH"/>
        </w:rPr>
        <w:t>le</w:t>
      </w:r>
      <w:r w:rsidR="00DD4CF0" w:rsidRPr="00731644">
        <w:rPr>
          <w:lang w:val="fr-CH"/>
        </w:rPr>
        <w:t>ur</w:t>
      </w:r>
      <w:r w:rsidR="006B3A11" w:rsidRPr="00731644">
        <w:rPr>
          <w:lang w:val="fr-CH"/>
        </w:rPr>
        <w:t xml:space="preserve"> droit de créer des associations éducatives, culturelles et religieuses avec le soutien financier de l</w:t>
      </w:r>
      <w:r w:rsidR="00425386" w:rsidRPr="00731644">
        <w:rPr>
          <w:lang w:val="fr-CH"/>
        </w:rPr>
        <w:t>’</w:t>
      </w:r>
      <w:r w:rsidR="006B3A11" w:rsidRPr="00731644">
        <w:rPr>
          <w:lang w:val="fr-CH"/>
        </w:rPr>
        <w:t>État</w:t>
      </w:r>
      <w:r w:rsidR="00F31DD5" w:rsidRPr="00731644">
        <w:rPr>
          <w:lang w:val="fr-CH"/>
        </w:rPr>
        <w:t>;</w:t>
      </w:r>
      <w:r w:rsidR="006B3A11" w:rsidRPr="00731644">
        <w:rPr>
          <w:lang w:val="fr-CH"/>
        </w:rPr>
        <w:t xml:space="preserve"> le</w:t>
      </w:r>
      <w:r w:rsidR="00DD4CF0" w:rsidRPr="00731644">
        <w:rPr>
          <w:lang w:val="fr-CH"/>
        </w:rPr>
        <w:t>ur</w:t>
      </w:r>
      <w:r w:rsidR="006B3A11" w:rsidRPr="00731644">
        <w:rPr>
          <w:lang w:val="fr-CH"/>
        </w:rPr>
        <w:t xml:space="preserve"> droit d</w:t>
      </w:r>
      <w:r w:rsidR="00425386" w:rsidRPr="00731644">
        <w:rPr>
          <w:lang w:val="fr-CH"/>
        </w:rPr>
        <w:t>’</w:t>
      </w:r>
      <w:r w:rsidR="006B3A11" w:rsidRPr="00731644">
        <w:rPr>
          <w:lang w:val="fr-CH"/>
        </w:rPr>
        <w:t xml:space="preserve">écrire dans les documents officiels les prénoms et les </w:t>
      </w:r>
      <w:r w:rsidR="00A66512" w:rsidRPr="00731644">
        <w:rPr>
          <w:lang w:val="fr-CH"/>
        </w:rPr>
        <w:t>patronymes</w:t>
      </w:r>
      <w:r w:rsidR="006B3A11" w:rsidRPr="00731644">
        <w:rPr>
          <w:lang w:val="fr-CH"/>
        </w:rPr>
        <w:t xml:space="preserve"> dans la langue minoritaire et avec les caractères de celle-ci</w:t>
      </w:r>
      <w:r w:rsidR="00F31DD5" w:rsidRPr="00731644">
        <w:rPr>
          <w:lang w:val="fr-CH"/>
        </w:rPr>
        <w:t>;</w:t>
      </w:r>
      <w:r w:rsidR="007A774E" w:rsidRPr="00731644">
        <w:rPr>
          <w:lang w:val="fr-CH"/>
        </w:rPr>
        <w:t xml:space="preserve"> </w:t>
      </w:r>
      <w:r w:rsidR="006B3A11" w:rsidRPr="00731644">
        <w:rPr>
          <w:lang w:val="fr-CH"/>
        </w:rPr>
        <w:t xml:space="preserve">le droit, dans les </w:t>
      </w:r>
      <w:r w:rsidR="00DD4CF0" w:rsidRPr="00731644">
        <w:rPr>
          <w:lang w:val="fr-CH"/>
        </w:rPr>
        <w:t>région</w:t>
      </w:r>
      <w:r w:rsidR="006B3A11" w:rsidRPr="00731644">
        <w:rPr>
          <w:lang w:val="fr-CH"/>
        </w:rPr>
        <w:t>s où les nations ou autres groupes ethniques minoritaires constituent une part appréciable de la population,</w:t>
      </w:r>
      <w:r w:rsidR="00F31DD5" w:rsidRPr="00731644">
        <w:rPr>
          <w:lang w:val="fr-CH"/>
        </w:rPr>
        <w:t xml:space="preserve"> </w:t>
      </w:r>
      <w:r w:rsidR="006B3A11" w:rsidRPr="00731644">
        <w:rPr>
          <w:lang w:val="fr-CH"/>
        </w:rPr>
        <w:t>d</w:t>
      </w:r>
      <w:r w:rsidR="00425386" w:rsidRPr="00731644">
        <w:rPr>
          <w:lang w:val="fr-CH"/>
        </w:rPr>
        <w:t>’</w:t>
      </w:r>
      <w:r w:rsidR="006B3A11" w:rsidRPr="00731644">
        <w:rPr>
          <w:lang w:val="fr-CH"/>
        </w:rPr>
        <w:t>écrire dans leur langue</w:t>
      </w:r>
      <w:r w:rsidR="002877AE" w:rsidRPr="00731644">
        <w:rPr>
          <w:lang w:val="fr-CH"/>
        </w:rPr>
        <w:t xml:space="preserve"> </w:t>
      </w:r>
      <w:r w:rsidR="006B3A11" w:rsidRPr="00731644">
        <w:rPr>
          <w:lang w:val="fr-CH"/>
        </w:rPr>
        <w:t>les noms locaux traditionnels, les noms des rues et des localités</w:t>
      </w:r>
      <w:r w:rsidR="002877AE" w:rsidRPr="00731644">
        <w:rPr>
          <w:lang w:val="fr-CH"/>
        </w:rPr>
        <w:t>, et les autres toponymes</w:t>
      </w:r>
      <w:r w:rsidR="00F31DD5" w:rsidRPr="00731644">
        <w:rPr>
          <w:lang w:val="fr-CH"/>
        </w:rPr>
        <w:t>;</w:t>
      </w:r>
      <w:r w:rsidR="007A774E" w:rsidRPr="00731644">
        <w:rPr>
          <w:lang w:val="fr-CH"/>
        </w:rPr>
        <w:t xml:space="preserve"> </w:t>
      </w:r>
      <w:r w:rsidR="002877AE" w:rsidRPr="00731644">
        <w:rPr>
          <w:lang w:val="fr-CH"/>
        </w:rPr>
        <w:t xml:space="preserve">une </w:t>
      </w:r>
      <w:r w:rsidR="00856ACE" w:rsidRPr="00731644">
        <w:rPr>
          <w:lang w:val="fr-CH"/>
        </w:rPr>
        <w:t xml:space="preserve">véritable </w:t>
      </w:r>
      <w:r w:rsidR="002877AE" w:rsidRPr="00731644">
        <w:rPr>
          <w:lang w:val="fr-CH"/>
        </w:rPr>
        <w:t xml:space="preserve">représentation au Parlement </w:t>
      </w:r>
      <w:r w:rsidR="00CB080D" w:rsidRPr="00731644">
        <w:rPr>
          <w:lang w:val="fr-CH"/>
        </w:rPr>
        <w:t>et dans l</w:t>
      </w:r>
      <w:r w:rsidR="002877AE" w:rsidRPr="00731644">
        <w:rPr>
          <w:lang w:val="fr-CH"/>
        </w:rPr>
        <w:t>es assemblées des</w:t>
      </w:r>
      <w:r w:rsidR="00CB080D" w:rsidRPr="00731644">
        <w:rPr>
          <w:lang w:val="fr-CH"/>
        </w:rPr>
        <w:t xml:space="preserve"> collectivités</w:t>
      </w:r>
      <w:r w:rsidR="002877AE" w:rsidRPr="00731644">
        <w:rPr>
          <w:lang w:val="fr-CH"/>
        </w:rPr>
        <w:t xml:space="preserve"> local</w:t>
      </w:r>
      <w:r w:rsidR="00CB080D" w:rsidRPr="00731644">
        <w:rPr>
          <w:lang w:val="fr-CH"/>
        </w:rPr>
        <w:t>e</w:t>
      </w:r>
      <w:r w:rsidR="002877AE" w:rsidRPr="00731644">
        <w:rPr>
          <w:lang w:val="fr-CH"/>
        </w:rPr>
        <w:t>s autonomes où les nations ou autres groupes ethniques minoritaires forment une part appréciable de la population, conformément au principe de l</w:t>
      </w:r>
      <w:r w:rsidR="00425386" w:rsidRPr="00731644">
        <w:rPr>
          <w:lang w:val="fr-CH"/>
        </w:rPr>
        <w:t>’</w:t>
      </w:r>
      <w:r w:rsidR="002877AE" w:rsidRPr="00731644">
        <w:rPr>
          <w:lang w:val="fr-CH"/>
        </w:rPr>
        <w:t>action positive</w:t>
      </w:r>
      <w:r w:rsidR="00F31DD5" w:rsidRPr="00731644">
        <w:rPr>
          <w:lang w:val="fr-CH"/>
        </w:rPr>
        <w:t>;</w:t>
      </w:r>
      <w:r w:rsidR="007A774E" w:rsidRPr="00731644">
        <w:rPr>
          <w:lang w:val="fr-CH"/>
        </w:rPr>
        <w:t xml:space="preserve"> </w:t>
      </w:r>
      <w:r w:rsidR="002877AE" w:rsidRPr="00731644">
        <w:rPr>
          <w:lang w:val="fr-CH"/>
        </w:rPr>
        <w:t>une représentation proportionnelle des minorités dans les services publics, les organes de l</w:t>
      </w:r>
      <w:r w:rsidR="00425386" w:rsidRPr="00731644">
        <w:rPr>
          <w:lang w:val="fr-CH"/>
        </w:rPr>
        <w:t>’</w:t>
      </w:r>
      <w:r w:rsidR="002877AE" w:rsidRPr="00731644">
        <w:rPr>
          <w:lang w:val="fr-CH"/>
        </w:rPr>
        <w:t xml:space="preserve">État et ceux des </w:t>
      </w:r>
      <w:r w:rsidR="00CB080D" w:rsidRPr="00731644">
        <w:rPr>
          <w:lang w:val="fr-CH"/>
        </w:rPr>
        <w:t>collectivités locales</w:t>
      </w:r>
      <w:r w:rsidR="002877AE" w:rsidRPr="00731644">
        <w:rPr>
          <w:lang w:val="fr-CH"/>
        </w:rPr>
        <w:t xml:space="preserve"> autonomes</w:t>
      </w:r>
      <w:r w:rsidR="00F31DD5" w:rsidRPr="00731644">
        <w:rPr>
          <w:lang w:val="fr-CH"/>
        </w:rPr>
        <w:t>;</w:t>
      </w:r>
      <w:r w:rsidR="007A774E" w:rsidRPr="00731644">
        <w:rPr>
          <w:lang w:val="fr-CH"/>
        </w:rPr>
        <w:t xml:space="preserve"> </w:t>
      </w:r>
      <w:r w:rsidR="002877AE" w:rsidRPr="00731644">
        <w:rPr>
          <w:lang w:val="fr-CH"/>
        </w:rPr>
        <w:t xml:space="preserve">le droit des minorités de recevoir des </w:t>
      </w:r>
      <w:r w:rsidR="007A774E" w:rsidRPr="00731644">
        <w:rPr>
          <w:lang w:val="fr-CH"/>
        </w:rPr>
        <w:t>information</w:t>
      </w:r>
      <w:r w:rsidR="002877AE" w:rsidRPr="00731644">
        <w:rPr>
          <w:lang w:val="fr-CH"/>
        </w:rPr>
        <w:t>s</w:t>
      </w:r>
      <w:r w:rsidR="007A774E" w:rsidRPr="00731644">
        <w:rPr>
          <w:lang w:val="fr-CH"/>
        </w:rPr>
        <w:t xml:space="preserve"> </w:t>
      </w:r>
      <w:r w:rsidR="002877AE" w:rsidRPr="00731644">
        <w:rPr>
          <w:lang w:val="fr-CH"/>
        </w:rPr>
        <w:t>dans leur propre</w:t>
      </w:r>
      <w:r w:rsidR="007A774E" w:rsidRPr="00731644">
        <w:rPr>
          <w:lang w:val="fr-CH"/>
        </w:rPr>
        <w:t xml:space="preserve"> langue</w:t>
      </w:r>
      <w:r w:rsidR="00F31DD5" w:rsidRPr="00731644">
        <w:rPr>
          <w:lang w:val="fr-CH"/>
        </w:rPr>
        <w:t>;</w:t>
      </w:r>
      <w:r w:rsidR="007A774E" w:rsidRPr="00731644">
        <w:rPr>
          <w:lang w:val="fr-CH"/>
        </w:rPr>
        <w:t xml:space="preserve"> </w:t>
      </w:r>
      <w:r w:rsidR="002877AE" w:rsidRPr="00731644">
        <w:rPr>
          <w:lang w:val="fr-CH"/>
        </w:rPr>
        <w:t>leur droit de nouer et d</w:t>
      </w:r>
      <w:r w:rsidR="00425386" w:rsidRPr="00731644">
        <w:rPr>
          <w:lang w:val="fr-CH"/>
        </w:rPr>
        <w:t>’</w:t>
      </w:r>
      <w:r w:rsidR="002877AE" w:rsidRPr="00731644">
        <w:rPr>
          <w:lang w:val="fr-CH"/>
        </w:rPr>
        <w:t xml:space="preserve">entretenir des </w:t>
      </w:r>
      <w:r w:rsidR="007A774E" w:rsidRPr="00731644">
        <w:rPr>
          <w:lang w:val="fr-CH"/>
        </w:rPr>
        <w:t xml:space="preserve">contacts </w:t>
      </w:r>
      <w:r w:rsidR="002877AE" w:rsidRPr="00731644">
        <w:rPr>
          <w:lang w:val="fr-CH"/>
        </w:rPr>
        <w:t>avec des citoyens et des a</w:t>
      </w:r>
      <w:r w:rsidR="007A774E" w:rsidRPr="00731644">
        <w:rPr>
          <w:lang w:val="fr-CH"/>
        </w:rPr>
        <w:t xml:space="preserve">ssociations </w:t>
      </w:r>
      <w:r w:rsidR="002877AE" w:rsidRPr="00731644">
        <w:rPr>
          <w:lang w:val="fr-CH"/>
        </w:rPr>
        <w:t xml:space="preserve">extérieurs au Monténégro </w:t>
      </w:r>
      <w:r w:rsidR="007E58DD" w:rsidRPr="00731644">
        <w:rPr>
          <w:lang w:val="fr-CH"/>
        </w:rPr>
        <w:t>avec qui</w:t>
      </w:r>
      <w:r w:rsidR="002877AE" w:rsidRPr="00731644">
        <w:rPr>
          <w:lang w:val="fr-CH"/>
        </w:rPr>
        <w:t xml:space="preserve"> elles partagent </w:t>
      </w:r>
      <w:r w:rsidR="007E58DD" w:rsidRPr="00731644">
        <w:rPr>
          <w:lang w:val="fr-CH"/>
        </w:rPr>
        <w:t xml:space="preserve">une </w:t>
      </w:r>
      <w:r w:rsidR="002877AE" w:rsidRPr="00731644">
        <w:rPr>
          <w:lang w:val="fr-CH"/>
        </w:rPr>
        <w:t xml:space="preserve">origine nationale et </w:t>
      </w:r>
      <w:r w:rsidR="00A66512" w:rsidRPr="00731644">
        <w:rPr>
          <w:lang w:val="fr-CH"/>
        </w:rPr>
        <w:t>ethnique</w:t>
      </w:r>
      <w:r w:rsidR="002877AE" w:rsidRPr="00731644">
        <w:rPr>
          <w:lang w:val="fr-CH"/>
        </w:rPr>
        <w:t xml:space="preserve">, </w:t>
      </w:r>
      <w:r w:rsidR="007E58DD" w:rsidRPr="00731644">
        <w:rPr>
          <w:lang w:val="fr-CH"/>
        </w:rPr>
        <w:t>un</w:t>
      </w:r>
      <w:r w:rsidR="002877AE" w:rsidRPr="00731644">
        <w:rPr>
          <w:lang w:val="fr-CH"/>
        </w:rPr>
        <w:t xml:space="preserve"> patrimoine culturel et historique ainsi que </w:t>
      </w:r>
      <w:r w:rsidR="007E58DD" w:rsidRPr="00731644">
        <w:rPr>
          <w:lang w:val="fr-CH"/>
        </w:rPr>
        <w:t>d</w:t>
      </w:r>
      <w:r w:rsidR="002877AE" w:rsidRPr="00731644">
        <w:rPr>
          <w:lang w:val="fr-CH"/>
        </w:rPr>
        <w:t xml:space="preserve">es convictions religieuses </w:t>
      </w:r>
      <w:r w:rsidR="007E58DD" w:rsidRPr="00731644">
        <w:rPr>
          <w:lang w:val="fr-CH"/>
        </w:rPr>
        <w:t>communs</w:t>
      </w:r>
      <w:r w:rsidR="00F31DD5" w:rsidRPr="00731644">
        <w:rPr>
          <w:lang w:val="fr-CH"/>
        </w:rPr>
        <w:t>;</w:t>
      </w:r>
      <w:r w:rsidR="007A774E" w:rsidRPr="00731644">
        <w:rPr>
          <w:lang w:val="fr-CH"/>
        </w:rPr>
        <w:t xml:space="preserve"> </w:t>
      </w:r>
      <w:r w:rsidR="002877AE" w:rsidRPr="00731644">
        <w:rPr>
          <w:lang w:val="fr-CH"/>
        </w:rPr>
        <w:t>leur droit de mettre en pla</w:t>
      </w:r>
      <w:r w:rsidR="00303B20" w:rsidRPr="00731644">
        <w:rPr>
          <w:lang w:val="fr-CH"/>
        </w:rPr>
        <w:t>c</w:t>
      </w:r>
      <w:r w:rsidR="002877AE" w:rsidRPr="00731644">
        <w:rPr>
          <w:lang w:val="fr-CH"/>
        </w:rPr>
        <w:t xml:space="preserve">e des conseils </w:t>
      </w:r>
      <w:r w:rsidR="00303B20" w:rsidRPr="00731644">
        <w:rPr>
          <w:lang w:val="fr-CH"/>
        </w:rPr>
        <w:t>pour la</w:t>
      </w:r>
      <w:r w:rsidR="007A774E" w:rsidRPr="00731644">
        <w:rPr>
          <w:lang w:val="fr-CH"/>
        </w:rPr>
        <w:t xml:space="preserve"> protection </w:t>
      </w:r>
      <w:r w:rsidR="00303B20" w:rsidRPr="00731644">
        <w:rPr>
          <w:lang w:val="fr-CH"/>
        </w:rPr>
        <w:t>et la</w:t>
      </w:r>
      <w:r w:rsidR="007A774E" w:rsidRPr="00731644">
        <w:rPr>
          <w:lang w:val="fr-CH"/>
        </w:rPr>
        <w:t xml:space="preserve"> promotion </w:t>
      </w:r>
      <w:r w:rsidR="00303B20" w:rsidRPr="00731644">
        <w:rPr>
          <w:lang w:val="fr-CH"/>
        </w:rPr>
        <w:t xml:space="preserve">de droits </w:t>
      </w:r>
      <w:r w:rsidR="00A66512" w:rsidRPr="00731644">
        <w:rPr>
          <w:lang w:val="fr-CH"/>
        </w:rPr>
        <w:t>particuliers</w:t>
      </w:r>
      <w:r w:rsidR="00303B20" w:rsidRPr="00731644">
        <w:rPr>
          <w:lang w:val="fr-CH"/>
        </w:rPr>
        <w:t xml:space="preserve">. </w:t>
      </w:r>
    </w:p>
    <w:p w:rsidR="00834E44" w:rsidRPr="00731644" w:rsidRDefault="00262955" w:rsidP="007A774E">
      <w:pPr>
        <w:pStyle w:val="SingleTxtG"/>
        <w:rPr>
          <w:lang w:val="fr-CH"/>
        </w:rPr>
      </w:pPr>
      <w:r w:rsidRPr="00731644">
        <w:rPr>
          <w:lang w:val="fr-CH"/>
        </w:rPr>
        <w:t>49.</w:t>
      </w:r>
      <w:r w:rsidR="00C30D4F" w:rsidRPr="00731644">
        <w:rPr>
          <w:lang w:val="fr-CH"/>
        </w:rPr>
        <w:tab/>
      </w:r>
      <w:r w:rsidR="00834E44" w:rsidRPr="00731644">
        <w:rPr>
          <w:lang w:val="fr-CH"/>
        </w:rPr>
        <w:t>L</w:t>
      </w:r>
      <w:r w:rsidR="00425386" w:rsidRPr="00731644">
        <w:rPr>
          <w:lang w:val="fr-CH"/>
        </w:rPr>
        <w:t>’</w:t>
      </w:r>
      <w:r w:rsidR="001753EC">
        <w:rPr>
          <w:lang w:val="fr-CH"/>
        </w:rPr>
        <w:t>article </w:t>
      </w:r>
      <w:r w:rsidR="007A774E" w:rsidRPr="00731644">
        <w:rPr>
          <w:lang w:val="fr-CH"/>
        </w:rPr>
        <w:t xml:space="preserve">80 </w:t>
      </w:r>
      <w:r w:rsidR="00834E44" w:rsidRPr="00731644">
        <w:rPr>
          <w:lang w:val="fr-CH"/>
        </w:rPr>
        <w:t>de la</w:t>
      </w:r>
      <w:r w:rsidR="007A774E" w:rsidRPr="00731644">
        <w:rPr>
          <w:lang w:val="fr-CH"/>
        </w:rPr>
        <w:t xml:space="preserve"> Constitution prohib</w:t>
      </w:r>
      <w:r w:rsidR="00834E44" w:rsidRPr="00731644">
        <w:rPr>
          <w:lang w:val="fr-CH"/>
        </w:rPr>
        <w:t>e l</w:t>
      </w:r>
      <w:r w:rsidR="00425386" w:rsidRPr="00731644">
        <w:rPr>
          <w:lang w:val="fr-CH"/>
        </w:rPr>
        <w:t>’</w:t>
      </w:r>
      <w:r w:rsidR="007A774E" w:rsidRPr="00731644">
        <w:rPr>
          <w:lang w:val="fr-CH"/>
        </w:rPr>
        <w:t xml:space="preserve">assimilation </w:t>
      </w:r>
      <w:r w:rsidR="00834E44" w:rsidRPr="00731644">
        <w:rPr>
          <w:lang w:val="fr-CH"/>
        </w:rPr>
        <w:t xml:space="preserve">forcée des minorités et autres </w:t>
      </w:r>
      <w:r w:rsidR="00A66512" w:rsidRPr="00731644">
        <w:rPr>
          <w:lang w:val="fr-CH"/>
        </w:rPr>
        <w:t>communautés</w:t>
      </w:r>
      <w:r w:rsidR="00834E44" w:rsidRPr="00731644">
        <w:rPr>
          <w:lang w:val="fr-CH"/>
        </w:rPr>
        <w:t xml:space="preserve"> ethniques minoritaires</w:t>
      </w:r>
      <w:r w:rsidR="00F31DD5" w:rsidRPr="00731644">
        <w:rPr>
          <w:lang w:val="fr-CH"/>
        </w:rPr>
        <w:t>;</w:t>
      </w:r>
      <w:r w:rsidR="00834E44" w:rsidRPr="00731644">
        <w:rPr>
          <w:lang w:val="fr-CH"/>
        </w:rPr>
        <w:t xml:space="preserve"> l</w:t>
      </w:r>
      <w:r w:rsidR="00425386" w:rsidRPr="00731644">
        <w:rPr>
          <w:lang w:val="fr-CH"/>
        </w:rPr>
        <w:t>’</w:t>
      </w:r>
      <w:r w:rsidR="00834E44" w:rsidRPr="00731644">
        <w:rPr>
          <w:lang w:val="fr-CH"/>
        </w:rPr>
        <w:t xml:space="preserve">État est tenu de protéger </w:t>
      </w:r>
      <w:r w:rsidR="00CB7658" w:rsidRPr="00731644">
        <w:rPr>
          <w:lang w:val="fr-CH"/>
        </w:rPr>
        <w:t>les personnes</w:t>
      </w:r>
      <w:r w:rsidR="00834E44" w:rsidRPr="00731644">
        <w:rPr>
          <w:lang w:val="fr-CH"/>
        </w:rPr>
        <w:t xml:space="preserve"> qui en font partie contre toute forme d</w:t>
      </w:r>
      <w:r w:rsidR="00425386" w:rsidRPr="00731644">
        <w:rPr>
          <w:lang w:val="fr-CH"/>
        </w:rPr>
        <w:t>’</w:t>
      </w:r>
      <w:r w:rsidR="00834E44" w:rsidRPr="00731644">
        <w:rPr>
          <w:lang w:val="fr-CH"/>
        </w:rPr>
        <w:t xml:space="preserve">assimilation forcée. </w:t>
      </w:r>
    </w:p>
    <w:p w:rsidR="007A774E" w:rsidRPr="00731644" w:rsidRDefault="00262955" w:rsidP="007A774E">
      <w:pPr>
        <w:pStyle w:val="SingleTxtG"/>
        <w:rPr>
          <w:lang w:val="fr-CH"/>
        </w:rPr>
      </w:pPr>
      <w:r w:rsidRPr="00731644">
        <w:rPr>
          <w:lang w:val="fr-CH"/>
        </w:rPr>
        <w:t>50.</w:t>
      </w:r>
      <w:r w:rsidRPr="00731644">
        <w:rPr>
          <w:lang w:val="fr-CH"/>
        </w:rPr>
        <w:tab/>
      </w:r>
      <w:r w:rsidR="001B5032" w:rsidRPr="00731644">
        <w:rPr>
          <w:lang w:val="fr-CH"/>
        </w:rPr>
        <w:t>En vertu de l</w:t>
      </w:r>
      <w:r w:rsidR="00834E44" w:rsidRPr="00731644">
        <w:rPr>
          <w:lang w:val="fr-CH"/>
        </w:rPr>
        <w:t>a</w:t>
      </w:r>
      <w:r w:rsidR="007A774E" w:rsidRPr="00731644">
        <w:rPr>
          <w:lang w:val="fr-CH"/>
        </w:rPr>
        <w:t xml:space="preserve"> Constitution</w:t>
      </w:r>
      <w:r w:rsidR="001B5032" w:rsidRPr="00731644">
        <w:rPr>
          <w:lang w:val="fr-CH"/>
        </w:rPr>
        <w:t xml:space="preserve">, </w:t>
      </w:r>
      <w:r w:rsidR="00CB080D" w:rsidRPr="00731644">
        <w:rPr>
          <w:lang w:val="fr-CH"/>
        </w:rPr>
        <w:t>le</w:t>
      </w:r>
      <w:r w:rsidR="00834E44" w:rsidRPr="00731644">
        <w:rPr>
          <w:lang w:val="fr-CH"/>
        </w:rPr>
        <w:t xml:space="preserve"> Protecteur des droits de l</w:t>
      </w:r>
      <w:r w:rsidR="00425386" w:rsidRPr="00731644">
        <w:rPr>
          <w:lang w:val="fr-CH"/>
        </w:rPr>
        <w:t>’</w:t>
      </w:r>
      <w:r w:rsidR="00834E44" w:rsidRPr="00731644">
        <w:rPr>
          <w:lang w:val="fr-CH"/>
        </w:rPr>
        <w:t xml:space="preserve">homme et des libertés </w:t>
      </w:r>
      <w:r w:rsidR="001B5032" w:rsidRPr="00731644">
        <w:rPr>
          <w:lang w:val="fr-CH"/>
        </w:rPr>
        <w:t>est</w:t>
      </w:r>
      <w:r w:rsidR="00834E44" w:rsidRPr="00731644">
        <w:rPr>
          <w:lang w:val="fr-CH"/>
        </w:rPr>
        <w:t xml:space="preserve"> un organe indépendant et autonome qui prend des mesures </w:t>
      </w:r>
      <w:r w:rsidR="001B5032" w:rsidRPr="00731644">
        <w:rPr>
          <w:lang w:val="fr-CH"/>
        </w:rPr>
        <w:t>pour protéger</w:t>
      </w:r>
      <w:r w:rsidR="00834E44" w:rsidRPr="00731644">
        <w:rPr>
          <w:lang w:val="fr-CH"/>
        </w:rPr>
        <w:t xml:space="preserve"> ces droits et libertés. Ses fonctions, qui se fondent sur la </w:t>
      </w:r>
      <w:r w:rsidR="007A774E" w:rsidRPr="00731644">
        <w:rPr>
          <w:lang w:val="fr-CH"/>
        </w:rPr>
        <w:t xml:space="preserve">Constitution, </w:t>
      </w:r>
      <w:r w:rsidR="00834E44" w:rsidRPr="00731644">
        <w:rPr>
          <w:lang w:val="fr-CH"/>
        </w:rPr>
        <w:t>la loi et les accords internationaux ratifiés par le Monténégro, respectent les principes de justice et d</w:t>
      </w:r>
      <w:r w:rsidR="00425386" w:rsidRPr="00731644">
        <w:rPr>
          <w:lang w:val="fr-CH"/>
        </w:rPr>
        <w:t>’</w:t>
      </w:r>
      <w:r w:rsidR="00834E44" w:rsidRPr="00731644">
        <w:rPr>
          <w:lang w:val="fr-CH"/>
        </w:rPr>
        <w:t xml:space="preserve">équité. </w:t>
      </w:r>
    </w:p>
    <w:p w:rsidR="007A774E" w:rsidRPr="00731644" w:rsidRDefault="00262955" w:rsidP="00D36622">
      <w:pPr>
        <w:pStyle w:val="SingleTxtG"/>
        <w:rPr>
          <w:lang w:val="fr-CH"/>
        </w:rPr>
      </w:pPr>
      <w:r w:rsidRPr="00731644">
        <w:rPr>
          <w:lang w:val="fr-CH"/>
        </w:rPr>
        <w:t>51.</w:t>
      </w:r>
      <w:r w:rsidRPr="00731644">
        <w:rPr>
          <w:lang w:val="fr-CH"/>
        </w:rPr>
        <w:tab/>
      </w:r>
      <w:r w:rsidR="00CB080D" w:rsidRPr="00731644">
        <w:rPr>
          <w:lang w:val="fr-CH"/>
        </w:rPr>
        <w:t>D</w:t>
      </w:r>
      <w:r w:rsidR="00425386" w:rsidRPr="00731644">
        <w:rPr>
          <w:lang w:val="fr-CH"/>
        </w:rPr>
        <w:t>’</w:t>
      </w:r>
      <w:r w:rsidR="00834E44" w:rsidRPr="00731644">
        <w:rPr>
          <w:lang w:val="fr-CH"/>
        </w:rPr>
        <w:t>après son rapport d</w:t>
      </w:r>
      <w:r w:rsidR="00425386" w:rsidRPr="00731644">
        <w:rPr>
          <w:lang w:val="fr-CH"/>
        </w:rPr>
        <w:t>’</w:t>
      </w:r>
      <w:r w:rsidR="00834E44" w:rsidRPr="00731644">
        <w:rPr>
          <w:lang w:val="fr-CH"/>
        </w:rPr>
        <w:t>activité, le Protecteur des droits de l</w:t>
      </w:r>
      <w:r w:rsidR="00425386" w:rsidRPr="00731644">
        <w:rPr>
          <w:lang w:val="fr-CH"/>
        </w:rPr>
        <w:t>’</w:t>
      </w:r>
      <w:r w:rsidR="00834E44" w:rsidRPr="00731644">
        <w:rPr>
          <w:lang w:val="fr-CH"/>
        </w:rPr>
        <w:t xml:space="preserve">homme et des libertés a, en </w:t>
      </w:r>
      <w:r w:rsidR="007A774E" w:rsidRPr="00731644">
        <w:rPr>
          <w:lang w:val="fr-CH"/>
        </w:rPr>
        <w:t>2010</w:t>
      </w:r>
      <w:r w:rsidR="00834E44" w:rsidRPr="00731644">
        <w:rPr>
          <w:lang w:val="fr-CH"/>
        </w:rPr>
        <w:t>,</w:t>
      </w:r>
      <w:r w:rsidR="007A774E" w:rsidRPr="00731644">
        <w:rPr>
          <w:lang w:val="fr-CH"/>
        </w:rPr>
        <w:t xml:space="preserve"> </w:t>
      </w:r>
      <w:r w:rsidR="00834E44" w:rsidRPr="00731644">
        <w:rPr>
          <w:lang w:val="fr-CH"/>
        </w:rPr>
        <w:t>ré</w:t>
      </w:r>
      <w:r w:rsidR="001B5032" w:rsidRPr="00731644">
        <w:rPr>
          <w:lang w:val="fr-CH"/>
        </w:rPr>
        <w:t>glé</w:t>
      </w:r>
      <w:r w:rsidR="00834E44" w:rsidRPr="00731644">
        <w:rPr>
          <w:lang w:val="fr-CH"/>
        </w:rPr>
        <w:t xml:space="preserve"> </w:t>
      </w:r>
      <w:r w:rsidR="007A774E" w:rsidRPr="00731644">
        <w:rPr>
          <w:lang w:val="fr-CH"/>
        </w:rPr>
        <w:t xml:space="preserve">15 </w:t>
      </w:r>
      <w:r w:rsidR="001B5032" w:rsidRPr="00731644">
        <w:rPr>
          <w:lang w:val="fr-CH"/>
        </w:rPr>
        <w:t>affaires dans lesquelles les plaignants</w:t>
      </w:r>
      <w:r w:rsidR="00834E44" w:rsidRPr="00731644">
        <w:rPr>
          <w:lang w:val="fr-CH"/>
        </w:rPr>
        <w:t xml:space="preserve"> invoquaient l</w:t>
      </w:r>
      <w:r w:rsidR="00425386" w:rsidRPr="00731644">
        <w:rPr>
          <w:lang w:val="fr-CH"/>
        </w:rPr>
        <w:t>’</w:t>
      </w:r>
      <w:r w:rsidR="00834E44" w:rsidRPr="00731644">
        <w:rPr>
          <w:lang w:val="fr-CH"/>
        </w:rPr>
        <w:t xml:space="preserve">interdiction de la discrimination. Depuis </w:t>
      </w:r>
      <w:r w:rsidR="0029451C" w:rsidRPr="00731644">
        <w:rPr>
          <w:lang w:val="fr-CH"/>
        </w:rPr>
        <w:t xml:space="preserve">le 14 août 2010, </w:t>
      </w:r>
      <w:r w:rsidR="00834E44" w:rsidRPr="00731644">
        <w:rPr>
          <w:lang w:val="fr-CH"/>
        </w:rPr>
        <w:t>date d</w:t>
      </w:r>
      <w:r w:rsidR="00425386" w:rsidRPr="00731644">
        <w:rPr>
          <w:lang w:val="fr-CH"/>
        </w:rPr>
        <w:t>’</w:t>
      </w:r>
      <w:r w:rsidR="00834E44" w:rsidRPr="00731644">
        <w:rPr>
          <w:lang w:val="fr-CH"/>
        </w:rPr>
        <w:t>entrée en vigueur de la loi relative à cette interdiction, le Protecteur des droits de l</w:t>
      </w:r>
      <w:r w:rsidR="00425386" w:rsidRPr="00731644">
        <w:rPr>
          <w:lang w:val="fr-CH"/>
        </w:rPr>
        <w:t>’</w:t>
      </w:r>
      <w:r w:rsidR="00834E44" w:rsidRPr="00731644">
        <w:rPr>
          <w:lang w:val="fr-CH"/>
        </w:rPr>
        <w:t xml:space="preserve">homme et des libertés a reçu sept plaintes pour discrimination </w:t>
      </w:r>
      <w:r w:rsidR="0029451C" w:rsidRPr="00731644">
        <w:rPr>
          <w:lang w:val="fr-CH"/>
        </w:rPr>
        <w:t xml:space="preserve">due </w:t>
      </w:r>
      <w:r w:rsidR="00834E44" w:rsidRPr="00731644">
        <w:rPr>
          <w:lang w:val="fr-CH"/>
        </w:rPr>
        <w:t xml:space="preserve">à la nationalité </w:t>
      </w:r>
      <w:r w:rsidR="007436F2" w:rsidRPr="00731644">
        <w:rPr>
          <w:lang w:val="fr-CH"/>
        </w:rPr>
        <w:t xml:space="preserve">(quatre plaintes) </w:t>
      </w:r>
      <w:r w:rsidR="0029451C" w:rsidRPr="00731644">
        <w:rPr>
          <w:lang w:val="fr-CH"/>
        </w:rPr>
        <w:t>ou</w:t>
      </w:r>
      <w:r w:rsidR="00834E44" w:rsidRPr="00731644">
        <w:rPr>
          <w:lang w:val="fr-CH"/>
        </w:rPr>
        <w:t xml:space="preserve"> </w:t>
      </w:r>
      <w:r w:rsidR="0029451C" w:rsidRPr="00731644">
        <w:rPr>
          <w:lang w:val="fr-CH"/>
        </w:rPr>
        <w:t>à</w:t>
      </w:r>
      <w:r w:rsidR="00834E44" w:rsidRPr="00731644">
        <w:rPr>
          <w:lang w:val="fr-CH"/>
        </w:rPr>
        <w:t xml:space="preserve"> la langue</w:t>
      </w:r>
      <w:r w:rsidR="007436F2" w:rsidRPr="00731644">
        <w:rPr>
          <w:lang w:val="fr-CH"/>
        </w:rPr>
        <w:t xml:space="preserve"> (trois plaintes)</w:t>
      </w:r>
      <w:r w:rsidR="00834E44" w:rsidRPr="00731644">
        <w:rPr>
          <w:lang w:val="fr-CH"/>
        </w:rPr>
        <w:t>.</w:t>
      </w:r>
      <w:r w:rsidR="00F31DD5" w:rsidRPr="00731644">
        <w:rPr>
          <w:lang w:val="fr-CH"/>
        </w:rPr>
        <w:t xml:space="preserve"> </w:t>
      </w:r>
      <w:r w:rsidR="0029451C" w:rsidRPr="00731644">
        <w:rPr>
          <w:lang w:val="fr-CH"/>
        </w:rPr>
        <w:t>Six</w:t>
      </w:r>
      <w:r w:rsidR="007436F2" w:rsidRPr="00731644">
        <w:rPr>
          <w:lang w:val="fr-CH"/>
        </w:rPr>
        <w:t xml:space="preserve"> procédure</w:t>
      </w:r>
      <w:r w:rsidR="0029451C" w:rsidRPr="00731644">
        <w:rPr>
          <w:lang w:val="fr-CH"/>
        </w:rPr>
        <w:t>s</w:t>
      </w:r>
      <w:r w:rsidR="007436F2" w:rsidRPr="00731644">
        <w:rPr>
          <w:lang w:val="fr-CH"/>
        </w:rPr>
        <w:t xml:space="preserve"> </w:t>
      </w:r>
      <w:r w:rsidR="0029451C" w:rsidRPr="00731644">
        <w:rPr>
          <w:lang w:val="fr-CH"/>
        </w:rPr>
        <w:t>sont terminées</w:t>
      </w:r>
      <w:r w:rsidR="00374D76" w:rsidRPr="00731644">
        <w:rPr>
          <w:lang w:val="fr-CH"/>
        </w:rPr>
        <w:t xml:space="preserve"> </w:t>
      </w:r>
      <w:r w:rsidR="0029451C" w:rsidRPr="00731644">
        <w:rPr>
          <w:lang w:val="fr-CH"/>
        </w:rPr>
        <w:t>et</w:t>
      </w:r>
      <w:r w:rsidR="007436F2" w:rsidRPr="00731644">
        <w:rPr>
          <w:lang w:val="fr-CH"/>
        </w:rPr>
        <w:t xml:space="preserve"> une affaire était encore en cours à la fin de </w:t>
      </w:r>
      <w:r w:rsidR="007A774E" w:rsidRPr="00731644">
        <w:rPr>
          <w:lang w:val="fr-CH"/>
        </w:rPr>
        <w:t xml:space="preserve">2010. </w:t>
      </w:r>
      <w:r w:rsidR="0029451C" w:rsidRPr="00731644">
        <w:rPr>
          <w:lang w:val="fr-CH"/>
        </w:rPr>
        <w:t>D</w:t>
      </w:r>
      <w:r w:rsidR="007436F2" w:rsidRPr="00731644">
        <w:rPr>
          <w:lang w:val="fr-CH"/>
        </w:rPr>
        <w:t xml:space="preserve">ans deux </w:t>
      </w:r>
      <w:r w:rsidR="0029451C" w:rsidRPr="00731644">
        <w:rPr>
          <w:lang w:val="fr-CH"/>
        </w:rPr>
        <w:t>affaires</w:t>
      </w:r>
      <w:r w:rsidR="007436F2" w:rsidRPr="00731644">
        <w:rPr>
          <w:lang w:val="fr-CH"/>
        </w:rPr>
        <w:t xml:space="preserve">, le Protecteur a </w:t>
      </w:r>
      <w:r w:rsidR="0029451C" w:rsidRPr="00731644">
        <w:rPr>
          <w:lang w:val="fr-CH"/>
        </w:rPr>
        <w:t>proposé</w:t>
      </w:r>
      <w:r w:rsidR="007436F2" w:rsidRPr="00731644">
        <w:rPr>
          <w:lang w:val="fr-CH"/>
        </w:rPr>
        <w:t xml:space="preserve"> au </w:t>
      </w:r>
      <w:r w:rsidR="0029451C" w:rsidRPr="00731644">
        <w:rPr>
          <w:lang w:val="fr-CH"/>
        </w:rPr>
        <w:t>P</w:t>
      </w:r>
      <w:r w:rsidR="007436F2" w:rsidRPr="00731644">
        <w:rPr>
          <w:lang w:val="fr-CH"/>
        </w:rPr>
        <w:t xml:space="preserve">arlement </w:t>
      </w:r>
      <w:r w:rsidR="0029451C" w:rsidRPr="00731644">
        <w:rPr>
          <w:lang w:val="fr-CH"/>
        </w:rPr>
        <w:t>d</w:t>
      </w:r>
      <w:r w:rsidR="00425386" w:rsidRPr="00731644">
        <w:rPr>
          <w:lang w:val="fr-CH"/>
        </w:rPr>
        <w:t>’</w:t>
      </w:r>
      <w:r w:rsidR="007436F2" w:rsidRPr="00731644">
        <w:rPr>
          <w:lang w:val="fr-CH"/>
        </w:rPr>
        <w:t>adopt</w:t>
      </w:r>
      <w:r w:rsidR="0029451C" w:rsidRPr="00731644">
        <w:rPr>
          <w:lang w:val="fr-CH"/>
        </w:rPr>
        <w:t xml:space="preserve">er </w:t>
      </w:r>
      <w:r w:rsidR="007436F2" w:rsidRPr="00731644">
        <w:rPr>
          <w:lang w:val="fr-CH"/>
        </w:rPr>
        <w:t xml:space="preserve">une loi sur </w:t>
      </w:r>
      <w:r w:rsidR="00856ACE" w:rsidRPr="00731644">
        <w:rPr>
          <w:lang w:val="fr-CH"/>
        </w:rPr>
        <w:t>l</w:t>
      </w:r>
      <w:r w:rsidR="00425386" w:rsidRPr="00731644">
        <w:rPr>
          <w:lang w:val="fr-CH"/>
        </w:rPr>
        <w:t>’</w:t>
      </w:r>
      <w:r w:rsidR="00A66512" w:rsidRPr="00731644">
        <w:rPr>
          <w:lang w:val="fr-CH"/>
        </w:rPr>
        <w:t>emploi</w:t>
      </w:r>
      <w:r w:rsidR="00856ACE" w:rsidRPr="00731644">
        <w:rPr>
          <w:lang w:val="fr-CH"/>
        </w:rPr>
        <w:t xml:space="preserve"> des langues et des alphabets officiellement en usage </w:t>
      </w:r>
      <w:r w:rsidR="007436F2" w:rsidRPr="00731644">
        <w:rPr>
          <w:lang w:val="fr-CH"/>
        </w:rPr>
        <w:t>qui règlementerait dans le détail ce</w:t>
      </w:r>
      <w:r w:rsidR="001B5032" w:rsidRPr="00731644">
        <w:rPr>
          <w:lang w:val="fr-CH"/>
        </w:rPr>
        <w:t>tte question</w:t>
      </w:r>
      <w:r w:rsidR="007436F2" w:rsidRPr="00731644">
        <w:rPr>
          <w:lang w:val="fr-CH"/>
        </w:rPr>
        <w:t xml:space="preserve"> et offrirait une m</w:t>
      </w:r>
      <w:r w:rsidR="0029451C" w:rsidRPr="00731644">
        <w:rPr>
          <w:lang w:val="fr-CH"/>
        </w:rPr>
        <w:t>e</w:t>
      </w:r>
      <w:r w:rsidR="007436F2" w:rsidRPr="00731644">
        <w:rPr>
          <w:lang w:val="fr-CH"/>
        </w:rPr>
        <w:t>illeure protection dans des cas comme ceux qui étaient à l</w:t>
      </w:r>
      <w:r w:rsidR="00425386" w:rsidRPr="00731644">
        <w:rPr>
          <w:lang w:val="fr-CH"/>
        </w:rPr>
        <w:t>’</w:t>
      </w:r>
      <w:r w:rsidR="007436F2" w:rsidRPr="00731644">
        <w:rPr>
          <w:lang w:val="fr-CH"/>
        </w:rPr>
        <w:t xml:space="preserve">origine des plaintes. </w:t>
      </w:r>
    </w:p>
    <w:p w:rsidR="007A774E" w:rsidRPr="00731644" w:rsidRDefault="00262955" w:rsidP="00000E6D">
      <w:pPr>
        <w:pStyle w:val="SingleTxtG"/>
        <w:rPr>
          <w:lang w:val="fr-CH"/>
        </w:rPr>
      </w:pPr>
      <w:r w:rsidRPr="00731644">
        <w:rPr>
          <w:lang w:val="fr-CH"/>
        </w:rPr>
        <w:t>52.</w:t>
      </w:r>
      <w:r w:rsidRPr="00731644">
        <w:rPr>
          <w:lang w:val="fr-CH"/>
        </w:rPr>
        <w:tab/>
      </w:r>
      <w:r w:rsidR="00856ACE" w:rsidRPr="00731644">
        <w:rPr>
          <w:lang w:val="fr-CH"/>
        </w:rPr>
        <w:t>C</w:t>
      </w:r>
      <w:r w:rsidR="007436F2" w:rsidRPr="00731644">
        <w:rPr>
          <w:lang w:val="fr-CH"/>
        </w:rPr>
        <w:t>onformément aux</w:t>
      </w:r>
      <w:r w:rsidR="00F31DD5" w:rsidRPr="00731644">
        <w:rPr>
          <w:lang w:val="fr-CH"/>
        </w:rPr>
        <w:t xml:space="preserve"> </w:t>
      </w:r>
      <w:r w:rsidR="00A66512" w:rsidRPr="00731644">
        <w:rPr>
          <w:lang w:val="fr-CH"/>
        </w:rPr>
        <w:t>recommandations</w:t>
      </w:r>
      <w:r w:rsidR="00D123BB" w:rsidRPr="00731644">
        <w:rPr>
          <w:lang w:val="fr-CH"/>
        </w:rPr>
        <w:t xml:space="preserve"> cont</w:t>
      </w:r>
      <w:r w:rsidR="007436F2" w:rsidRPr="00731644">
        <w:rPr>
          <w:lang w:val="fr-CH"/>
        </w:rPr>
        <w:t>enues au</w:t>
      </w:r>
      <w:r w:rsidR="00D123BB" w:rsidRPr="00731644">
        <w:rPr>
          <w:lang w:val="fr-CH"/>
        </w:rPr>
        <w:t xml:space="preserve"> </w:t>
      </w:r>
      <w:r w:rsidR="00CB7658" w:rsidRPr="00731644">
        <w:rPr>
          <w:lang w:val="fr-CH"/>
        </w:rPr>
        <w:t>paragraphe </w:t>
      </w:r>
      <w:r w:rsidR="00D123BB" w:rsidRPr="00731644">
        <w:rPr>
          <w:lang w:val="fr-CH"/>
        </w:rPr>
        <w:t xml:space="preserve">13 </w:t>
      </w:r>
      <w:r w:rsidR="00AE1155" w:rsidRPr="00731644">
        <w:rPr>
          <w:lang w:val="fr-CH"/>
        </w:rPr>
        <w:t xml:space="preserve">des observations finales du Comité, des mesures sont prises pour accroître les crédits budgétaires alloués </w:t>
      </w:r>
      <w:r w:rsidR="00856ACE" w:rsidRPr="00731644">
        <w:rPr>
          <w:lang w:val="fr-CH"/>
        </w:rPr>
        <w:t>au</w:t>
      </w:r>
      <w:r w:rsidR="00AE1155" w:rsidRPr="00731644">
        <w:rPr>
          <w:lang w:val="fr-CH"/>
        </w:rPr>
        <w:t xml:space="preserve"> Protecteur des droits de l</w:t>
      </w:r>
      <w:r w:rsidR="00425386" w:rsidRPr="00731644">
        <w:rPr>
          <w:lang w:val="fr-CH"/>
        </w:rPr>
        <w:t>’</w:t>
      </w:r>
      <w:r w:rsidR="00AE1155" w:rsidRPr="00731644">
        <w:rPr>
          <w:lang w:val="fr-CH"/>
        </w:rPr>
        <w:t>homme et des libertés afin de conforter son act</w:t>
      </w:r>
      <w:r w:rsidR="007A774E" w:rsidRPr="00731644">
        <w:rPr>
          <w:lang w:val="fr-CH"/>
        </w:rPr>
        <w:t>i</w:t>
      </w:r>
      <w:r w:rsidR="00AE1155" w:rsidRPr="00731644">
        <w:rPr>
          <w:lang w:val="fr-CH"/>
        </w:rPr>
        <w:t>o</w:t>
      </w:r>
      <w:r w:rsidR="007A774E" w:rsidRPr="00731644">
        <w:rPr>
          <w:lang w:val="fr-CH"/>
        </w:rPr>
        <w:t xml:space="preserve">n normative </w:t>
      </w:r>
      <w:r w:rsidR="00AE1155" w:rsidRPr="00731644">
        <w:rPr>
          <w:lang w:val="fr-CH"/>
        </w:rPr>
        <w:t xml:space="preserve">et son travail de fond. Plus précisément, </w:t>
      </w:r>
      <w:r w:rsidR="00F26A08" w:rsidRPr="00731644">
        <w:rPr>
          <w:lang w:val="fr-CH"/>
        </w:rPr>
        <w:t xml:space="preserve">les ressources financières </w:t>
      </w:r>
      <w:r w:rsidR="00856ACE" w:rsidRPr="00731644">
        <w:rPr>
          <w:lang w:val="fr-CH"/>
        </w:rPr>
        <w:t>attribué</w:t>
      </w:r>
      <w:r w:rsidR="00F26A08" w:rsidRPr="00731644">
        <w:rPr>
          <w:lang w:val="fr-CH"/>
        </w:rPr>
        <w:t>e</w:t>
      </w:r>
      <w:r w:rsidR="00856ACE" w:rsidRPr="00731644">
        <w:rPr>
          <w:lang w:val="fr-CH"/>
        </w:rPr>
        <w:t xml:space="preserve">s au bureau du Protecteur </w:t>
      </w:r>
      <w:r w:rsidR="00F26A08" w:rsidRPr="00731644">
        <w:rPr>
          <w:lang w:val="fr-CH"/>
        </w:rPr>
        <w:t>ont</w:t>
      </w:r>
      <w:r w:rsidR="00856ACE" w:rsidRPr="00731644">
        <w:rPr>
          <w:lang w:val="fr-CH"/>
        </w:rPr>
        <w:t xml:space="preserve"> été </w:t>
      </w:r>
      <w:r w:rsidR="00963169" w:rsidRPr="00731644">
        <w:rPr>
          <w:lang w:val="fr-CH"/>
        </w:rPr>
        <w:t>majoré</w:t>
      </w:r>
      <w:r w:rsidR="00F26A08" w:rsidRPr="00731644">
        <w:rPr>
          <w:lang w:val="fr-CH"/>
        </w:rPr>
        <w:t>es</w:t>
      </w:r>
      <w:r w:rsidR="00856ACE" w:rsidRPr="00731644">
        <w:rPr>
          <w:lang w:val="fr-CH"/>
        </w:rPr>
        <w:t xml:space="preserve"> de quelque 31</w:t>
      </w:r>
      <w:r w:rsidR="006443F6" w:rsidRPr="00731644">
        <w:rPr>
          <w:lang w:val="fr-CH"/>
        </w:rPr>
        <w:t>%</w:t>
      </w:r>
      <w:r w:rsidR="00856ACE" w:rsidRPr="00731644">
        <w:rPr>
          <w:lang w:val="fr-CH"/>
        </w:rPr>
        <w:t xml:space="preserve"> dans </w:t>
      </w:r>
      <w:r w:rsidR="00AE1155" w:rsidRPr="00731644">
        <w:rPr>
          <w:lang w:val="fr-CH"/>
        </w:rPr>
        <w:t>la loi des finances</w:t>
      </w:r>
      <w:r w:rsidR="00F31DD5" w:rsidRPr="00731644">
        <w:rPr>
          <w:lang w:val="fr-CH"/>
        </w:rPr>
        <w:t xml:space="preserve"> </w:t>
      </w:r>
      <w:r w:rsidR="00856ACE" w:rsidRPr="00731644">
        <w:rPr>
          <w:lang w:val="fr-CH"/>
        </w:rPr>
        <w:t>de</w:t>
      </w:r>
      <w:r w:rsidR="007A774E" w:rsidRPr="00731644">
        <w:rPr>
          <w:lang w:val="fr-CH"/>
        </w:rPr>
        <w:t xml:space="preserve"> 2011</w:t>
      </w:r>
      <w:r w:rsidR="00AE1155" w:rsidRPr="00731644">
        <w:rPr>
          <w:lang w:val="fr-CH"/>
        </w:rPr>
        <w:t xml:space="preserve">. </w:t>
      </w:r>
      <w:r w:rsidR="00856ACE" w:rsidRPr="00731644">
        <w:rPr>
          <w:lang w:val="fr-CH"/>
        </w:rPr>
        <w:t>L</w:t>
      </w:r>
      <w:r w:rsidR="00AE1155" w:rsidRPr="00731644">
        <w:rPr>
          <w:lang w:val="fr-CH"/>
        </w:rPr>
        <w:t xml:space="preserve">es locaux </w:t>
      </w:r>
      <w:r w:rsidR="00F26A08" w:rsidRPr="00731644">
        <w:rPr>
          <w:lang w:val="fr-CH"/>
        </w:rPr>
        <w:t>du Protecteur des droits de l</w:t>
      </w:r>
      <w:r w:rsidR="00425386" w:rsidRPr="00731644">
        <w:rPr>
          <w:lang w:val="fr-CH"/>
        </w:rPr>
        <w:t>’</w:t>
      </w:r>
      <w:r w:rsidR="00F26A08" w:rsidRPr="00731644">
        <w:rPr>
          <w:lang w:val="fr-CH"/>
        </w:rPr>
        <w:t xml:space="preserve">homme et des libertés </w:t>
      </w:r>
      <w:r w:rsidR="00AE1155" w:rsidRPr="00731644">
        <w:rPr>
          <w:lang w:val="fr-CH"/>
        </w:rPr>
        <w:t>sont maintenant installés au centre même de la ville, et tant les équipements que les bureaux sont entièrement rénovés. Le cadre législatif est en cours</w:t>
      </w:r>
      <w:r w:rsidR="00856ACE" w:rsidRPr="00731644">
        <w:rPr>
          <w:lang w:val="fr-CH"/>
        </w:rPr>
        <w:t xml:space="preserve"> </w:t>
      </w:r>
      <w:r w:rsidR="00AE1155" w:rsidRPr="00731644">
        <w:rPr>
          <w:lang w:val="fr-CH"/>
        </w:rPr>
        <w:t>de révision</w:t>
      </w:r>
      <w:r w:rsidRPr="00731644">
        <w:rPr>
          <w:rStyle w:val="FootnoteReference"/>
          <w:lang w:val="fr-CH"/>
        </w:rPr>
        <w:footnoteReference w:id="10"/>
      </w:r>
      <w:r w:rsidR="007A774E" w:rsidRPr="00731644">
        <w:rPr>
          <w:lang w:val="fr-CH"/>
        </w:rPr>
        <w:t xml:space="preserve"> </w:t>
      </w:r>
      <w:r w:rsidR="00AE1155" w:rsidRPr="00731644">
        <w:rPr>
          <w:lang w:val="fr-CH"/>
        </w:rPr>
        <w:t xml:space="preserve">et les nouvelles dispositions permettront </w:t>
      </w:r>
      <w:r w:rsidR="001753A2" w:rsidRPr="00731644">
        <w:rPr>
          <w:lang w:val="fr-CH"/>
        </w:rPr>
        <w:t>au Protecteur de donner suite plus efficacement et plus fructueusement aux plaintes pour infraction à l</w:t>
      </w:r>
      <w:r w:rsidR="00425386" w:rsidRPr="00731644">
        <w:rPr>
          <w:lang w:val="fr-CH"/>
        </w:rPr>
        <w:t>’</w:t>
      </w:r>
      <w:r w:rsidR="001753A2" w:rsidRPr="00731644">
        <w:rPr>
          <w:lang w:val="fr-CH"/>
        </w:rPr>
        <w:t>interdiction de la discrimination et de la torture</w:t>
      </w:r>
      <w:r w:rsidR="007A774E" w:rsidRPr="00731644">
        <w:rPr>
          <w:lang w:val="fr-CH"/>
        </w:rPr>
        <w:t xml:space="preserve">. </w:t>
      </w:r>
      <w:r w:rsidR="001753A2" w:rsidRPr="00731644">
        <w:rPr>
          <w:lang w:val="fr-CH"/>
        </w:rPr>
        <w:t xml:space="preserve">La compétence du Protecteur sur ce dernier point découle de la décision récente des autorités de </w:t>
      </w:r>
      <w:r w:rsidR="00F26A08" w:rsidRPr="00731644">
        <w:rPr>
          <w:lang w:val="fr-CH"/>
        </w:rPr>
        <w:t>lui confier la</w:t>
      </w:r>
      <w:r w:rsidR="001753A2" w:rsidRPr="00731644">
        <w:rPr>
          <w:lang w:val="fr-CH"/>
        </w:rPr>
        <w:t xml:space="preserve"> constitu</w:t>
      </w:r>
      <w:r w:rsidR="00F26A08" w:rsidRPr="00731644">
        <w:rPr>
          <w:lang w:val="fr-CH"/>
        </w:rPr>
        <w:t>tion d</w:t>
      </w:r>
      <w:r w:rsidR="00425386" w:rsidRPr="00731644">
        <w:rPr>
          <w:lang w:val="fr-CH"/>
        </w:rPr>
        <w:t>’</w:t>
      </w:r>
      <w:r w:rsidR="001753A2" w:rsidRPr="00731644">
        <w:rPr>
          <w:lang w:val="fr-CH"/>
        </w:rPr>
        <w:t>un réseau d</w:t>
      </w:r>
      <w:r w:rsidR="00425386" w:rsidRPr="00731644">
        <w:rPr>
          <w:lang w:val="fr-CH"/>
        </w:rPr>
        <w:t>’</w:t>
      </w:r>
      <w:r w:rsidR="001753A2" w:rsidRPr="00731644">
        <w:rPr>
          <w:lang w:val="fr-CH"/>
        </w:rPr>
        <w:t xml:space="preserve">institutions </w:t>
      </w:r>
      <w:r w:rsidR="00A66512" w:rsidRPr="00731644">
        <w:rPr>
          <w:lang w:val="fr-CH"/>
        </w:rPr>
        <w:t>chargées</w:t>
      </w:r>
      <w:r w:rsidR="001753A2" w:rsidRPr="00731644">
        <w:rPr>
          <w:lang w:val="fr-CH"/>
        </w:rPr>
        <w:t xml:space="preserve"> </w:t>
      </w:r>
      <w:r w:rsidR="0004612D" w:rsidRPr="00731644">
        <w:rPr>
          <w:lang w:val="fr-CH"/>
        </w:rPr>
        <w:t>de</w:t>
      </w:r>
      <w:r w:rsidR="001753A2" w:rsidRPr="00731644">
        <w:rPr>
          <w:lang w:val="fr-CH"/>
        </w:rPr>
        <w:t xml:space="preserve"> veiller à</w:t>
      </w:r>
      <w:r w:rsidR="00F31DD5" w:rsidRPr="00731644">
        <w:rPr>
          <w:lang w:val="fr-CH"/>
        </w:rPr>
        <w:t xml:space="preserve"> </w:t>
      </w:r>
      <w:r w:rsidR="001753A2" w:rsidRPr="00731644">
        <w:rPr>
          <w:lang w:val="fr-CH"/>
        </w:rPr>
        <w:t>la</w:t>
      </w:r>
      <w:r w:rsidR="007A774E" w:rsidRPr="00731644">
        <w:rPr>
          <w:lang w:val="fr-CH"/>
        </w:rPr>
        <w:t xml:space="preserve"> protection </w:t>
      </w:r>
      <w:r w:rsidR="001753A2" w:rsidRPr="00731644">
        <w:rPr>
          <w:lang w:val="fr-CH"/>
        </w:rPr>
        <w:t>contre la</w:t>
      </w:r>
      <w:r w:rsidR="007A774E" w:rsidRPr="00731644">
        <w:rPr>
          <w:lang w:val="fr-CH"/>
        </w:rPr>
        <w:t xml:space="preserve"> torture </w:t>
      </w:r>
      <w:r w:rsidR="001753A2" w:rsidRPr="00731644">
        <w:rPr>
          <w:lang w:val="fr-CH"/>
        </w:rPr>
        <w:t xml:space="preserve">conformément au Protocole facultatif </w:t>
      </w:r>
      <w:r w:rsidR="00F26A08" w:rsidRPr="00731644">
        <w:rPr>
          <w:lang w:val="fr-CH"/>
        </w:rPr>
        <w:t xml:space="preserve">se </w:t>
      </w:r>
      <w:r w:rsidR="00A66512" w:rsidRPr="00731644">
        <w:rPr>
          <w:lang w:val="fr-CH"/>
        </w:rPr>
        <w:t>rapportant</w:t>
      </w:r>
      <w:r w:rsidR="00F26A08" w:rsidRPr="00731644">
        <w:rPr>
          <w:lang w:val="fr-CH"/>
        </w:rPr>
        <w:t xml:space="preserve"> </w:t>
      </w:r>
      <w:r w:rsidR="001753A2" w:rsidRPr="00731644">
        <w:rPr>
          <w:lang w:val="fr-CH"/>
        </w:rPr>
        <w:t xml:space="preserve">à la </w:t>
      </w:r>
      <w:r w:rsidR="007A774E" w:rsidRPr="00731644">
        <w:rPr>
          <w:lang w:val="fr-CH"/>
        </w:rPr>
        <w:t xml:space="preserve">Convention </w:t>
      </w:r>
      <w:r w:rsidR="001753A2" w:rsidRPr="00731644">
        <w:rPr>
          <w:lang w:val="fr-CH"/>
        </w:rPr>
        <w:t>contre la torture et autres peines ou traitements cruels, inhumains ou dégradants</w:t>
      </w:r>
      <w:r w:rsidRPr="00731644">
        <w:rPr>
          <w:rStyle w:val="FootnoteReference"/>
          <w:lang w:val="fr-CH"/>
        </w:rPr>
        <w:footnoteReference w:id="11"/>
      </w:r>
      <w:r w:rsidR="007A774E" w:rsidRPr="00731644">
        <w:rPr>
          <w:lang w:val="fr-CH"/>
        </w:rPr>
        <w:t xml:space="preserve">. </w:t>
      </w:r>
      <w:r w:rsidR="001753A2" w:rsidRPr="00731644">
        <w:rPr>
          <w:lang w:val="fr-CH"/>
        </w:rPr>
        <w:t xml:space="preserve">Les </w:t>
      </w:r>
      <w:r w:rsidR="00A66512" w:rsidRPr="00731644">
        <w:rPr>
          <w:lang w:val="fr-CH"/>
        </w:rPr>
        <w:t>ressources</w:t>
      </w:r>
      <w:r w:rsidR="001753A2" w:rsidRPr="00731644">
        <w:rPr>
          <w:lang w:val="fr-CH"/>
        </w:rPr>
        <w:t xml:space="preserve"> humaines à la disposition du </w:t>
      </w:r>
      <w:r w:rsidR="00E544A7" w:rsidRPr="00731644">
        <w:rPr>
          <w:lang w:val="fr-CH"/>
        </w:rPr>
        <w:t>P</w:t>
      </w:r>
      <w:r w:rsidR="001753A2" w:rsidRPr="00731644">
        <w:rPr>
          <w:lang w:val="fr-CH"/>
        </w:rPr>
        <w:t>rotecteur seront accrues</w:t>
      </w:r>
      <w:r w:rsidR="00F31DD5" w:rsidRPr="00731644">
        <w:rPr>
          <w:lang w:val="fr-CH"/>
        </w:rPr>
        <w:t>:</w:t>
      </w:r>
      <w:r w:rsidR="00E544A7" w:rsidRPr="00731644">
        <w:rPr>
          <w:lang w:val="fr-CH"/>
        </w:rPr>
        <w:t xml:space="preserve"> un protecteur adjoint supplémentaire sera désigné</w:t>
      </w:r>
      <w:r w:rsidR="00F26A08" w:rsidRPr="00731644">
        <w:rPr>
          <w:lang w:val="fr-CH"/>
        </w:rPr>
        <w:t>,</w:t>
      </w:r>
      <w:r w:rsidR="00E544A7" w:rsidRPr="00731644">
        <w:rPr>
          <w:lang w:val="fr-CH"/>
        </w:rPr>
        <w:t xml:space="preserve"> et le </w:t>
      </w:r>
      <w:r w:rsidR="00F26A08" w:rsidRPr="00731644">
        <w:rPr>
          <w:lang w:val="fr-CH"/>
        </w:rPr>
        <w:t>b</w:t>
      </w:r>
      <w:r w:rsidR="00E544A7" w:rsidRPr="00731644">
        <w:rPr>
          <w:lang w:val="fr-CH"/>
        </w:rPr>
        <w:t>ureau emploiera quatre</w:t>
      </w:r>
      <w:r w:rsidR="00CB7658" w:rsidRPr="00731644">
        <w:rPr>
          <w:lang w:val="fr-CH"/>
        </w:rPr>
        <w:t> personnes</w:t>
      </w:r>
      <w:r w:rsidR="0004612D" w:rsidRPr="00731644">
        <w:rPr>
          <w:lang w:val="fr-CH"/>
        </w:rPr>
        <w:t xml:space="preserve"> </w:t>
      </w:r>
      <w:r w:rsidR="00963169" w:rsidRPr="00731644">
        <w:rPr>
          <w:lang w:val="fr-CH"/>
        </w:rPr>
        <w:t>de plus</w:t>
      </w:r>
      <w:r w:rsidR="00E544A7" w:rsidRPr="00731644">
        <w:rPr>
          <w:lang w:val="fr-CH"/>
        </w:rPr>
        <w:t xml:space="preserve">. </w:t>
      </w:r>
    </w:p>
    <w:p w:rsidR="007A774E" w:rsidRPr="00731644" w:rsidRDefault="00262955" w:rsidP="00C36846">
      <w:pPr>
        <w:pStyle w:val="SingleTxtG"/>
        <w:rPr>
          <w:lang w:val="fr-CH"/>
        </w:rPr>
      </w:pPr>
      <w:r w:rsidRPr="00731644">
        <w:rPr>
          <w:lang w:val="fr-CH"/>
        </w:rPr>
        <w:t>53.</w:t>
      </w:r>
      <w:r w:rsidRPr="00731644">
        <w:rPr>
          <w:lang w:val="fr-CH"/>
        </w:rPr>
        <w:tab/>
      </w:r>
      <w:r w:rsidR="00E544A7" w:rsidRPr="00731644">
        <w:rPr>
          <w:lang w:val="fr-CH"/>
        </w:rPr>
        <w:t>L</w:t>
      </w:r>
      <w:r w:rsidR="00425386" w:rsidRPr="00731644">
        <w:rPr>
          <w:lang w:val="fr-CH"/>
        </w:rPr>
        <w:t>’</w:t>
      </w:r>
      <w:r w:rsidR="00E544A7" w:rsidRPr="00731644">
        <w:rPr>
          <w:lang w:val="fr-CH"/>
        </w:rPr>
        <w:t>État du Monténégro encourage les acti</w:t>
      </w:r>
      <w:r w:rsidR="00D87808" w:rsidRPr="00731644">
        <w:rPr>
          <w:lang w:val="fr-CH"/>
        </w:rPr>
        <w:t>ons</w:t>
      </w:r>
      <w:r w:rsidR="00E544A7" w:rsidRPr="00731644">
        <w:rPr>
          <w:lang w:val="fr-CH"/>
        </w:rPr>
        <w:t xml:space="preserve"> auprès de différentes catégories d</w:t>
      </w:r>
      <w:r w:rsidR="00425386" w:rsidRPr="00731644">
        <w:rPr>
          <w:lang w:val="fr-CH"/>
        </w:rPr>
        <w:t>’</w:t>
      </w:r>
      <w:r w:rsidR="00E544A7" w:rsidRPr="00731644">
        <w:rPr>
          <w:lang w:val="fr-CH"/>
        </w:rPr>
        <w:t>agents de l</w:t>
      </w:r>
      <w:r w:rsidR="00425386" w:rsidRPr="00731644">
        <w:rPr>
          <w:lang w:val="fr-CH"/>
        </w:rPr>
        <w:t>’</w:t>
      </w:r>
      <w:r w:rsidR="00E544A7" w:rsidRPr="00731644">
        <w:rPr>
          <w:lang w:val="fr-CH"/>
        </w:rPr>
        <w:t xml:space="preserve">État dont les fonctions </w:t>
      </w:r>
      <w:r w:rsidR="00963169" w:rsidRPr="00731644">
        <w:rPr>
          <w:lang w:val="fr-CH"/>
        </w:rPr>
        <w:t>touchent</w:t>
      </w:r>
      <w:r w:rsidR="00D87808" w:rsidRPr="00731644">
        <w:rPr>
          <w:lang w:val="fr-CH"/>
        </w:rPr>
        <w:t xml:space="preserve"> </w:t>
      </w:r>
      <w:r w:rsidR="00E544A7" w:rsidRPr="00731644">
        <w:rPr>
          <w:lang w:val="fr-CH"/>
        </w:rPr>
        <w:t>directe</w:t>
      </w:r>
      <w:r w:rsidR="00963169" w:rsidRPr="00731644">
        <w:rPr>
          <w:lang w:val="fr-CH"/>
        </w:rPr>
        <w:t>ment à</w:t>
      </w:r>
      <w:r w:rsidR="00E544A7" w:rsidRPr="00731644">
        <w:rPr>
          <w:lang w:val="fr-CH"/>
        </w:rPr>
        <w:t xml:space="preserve"> l</w:t>
      </w:r>
      <w:r w:rsidR="00425386" w:rsidRPr="00731644">
        <w:rPr>
          <w:lang w:val="fr-CH"/>
        </w:rPr>
        <w:t>’</w:t>
      </w:r>
      <w:r w:rsidR="00E544A7" w:rsidRPr="00731644">
        <w:rPr>
          <w:lang w:val="fr-CH"/>
        </w:rPr>
        <w:t>élimination de toutes les formes de discrimination. Ces acti</w:t>
      </w:r>
      <w:r w:rsidR="00D87808" w:rsidRPr="00731644">
        <w:rPr>
          <w:lang w:val="fr-CH"/>
        </w:rPr>
        <w:t>ons</w:t>
      </w:r>
      <w:r w:rsidR="00E544A7" w:rsidRPr="00731644">
        <w:rPr>
          <w:lang w:val="fr-CH"/>
        </w:rPr>
        <w:t xml:space="preserve"> font partie de programmes éducati</w:t>
      </w:r>
      <w:r w:rsidR="00963169" w:rsidRPr="00731644">
        <w:rPr>
          <w:lang w:val="fr-CH"/>
        </w:rPr>
        <w:t>fs</w:t>
      </w:r>
      <w:r w:rsidR="00E544A7" w:rsidRPr="00731644">
        <w:rPr>
          <w:lang w:val="fr-CH"/>
        </w:rPr>
        <w:t xml:space="preserve"> </w:t>
      </w:r>
      <w:r w:rsidR="00963169" w:rsidRPr="00731644">
        <w:rPr>
          <w:lang w:val="fr-CH"/>
        </w:rPr>
        <w:t xml:space="preserve">et de stratégies </w:t>
      </w:r>
      <w:r w:rsidR="00D87808" w:rsidRPr="00731644">
        <w:rPr>
          <w:lang w:val="fr-CH"/>
        </w:rPr>
        <w:t>d</w:t>
      </w:r>
      <w:r w:rsidR="00425386" w:rsidRPr="00731644">
        <w:rPr>
          <w:lang w:val="fr-CH"/>
        </w:rPr>
        <w:t>’</w:t>
      </w:r>
      <w:r w:rsidR="00D87808" w:rsidRPr="00731644">
        <w:rPr>
          <w:lang w:val="fr-CH"/>
        </w:rPr>
        <w:t>ensemble</w:t>
      </w:r>
      <w:r w:rsidR="00E544A7" w:rsidRPr="00731644">
        <w:rPr>
          <w:lang w:val="fr-CH"/>
        </w:rPr>
        <w:t xml:space="preserve"> à tous les niveaux</w:t>
      </w:r>
      <w:r w:rsidR="007A774E" w:rsidRPr="00731644">
        <w:rPr>
          <w:lang w:val="fr-CH"/>
        </w:rPr>
        <w:t xml:space="preserve">. </w:t>
      </w:r>
      <w:r w:rsidR="00E544A7" w:rsidRPr="00731644">
        <w:rPr>
          <w:lang w:val="fr-CH"/>
        </w:rPr>
        <w:t>Des formations continues et des spécialisations ponctuelles</w:t>
      </w:r>
      <w:r w:rsidR="00B9281C" w:rsidRPr="00731644">
        <w:rPr>
          <w:lang w:val="fr-CH"/>
        </w:rPr>
        <w:t xml:space="preserve"> sont organisées</w:t>
      </w:r>
      <w:r w:rsidR="00F31DD5" w:rsidRPr="00731644">
        <w:rPr>
          <w:lang w:val="fr-CH"/>
        </w:rPr>
        <w:t>;</w:t>
      </w:r>
      <w:r w:rsidR="00B9281C" w:rsidRPr="00731644">
        <w:rPr>
          <w:lang w:val="fr-CH"/>
        </w:rPr>
        <w:t xml:space="preserve"> les participants approfondissent leur connaissance des normes internationales et de la p</w:t>
      </w:r>
      <w:r w:rsidR="00D87808" w:rsidRPr="00731644">
        <w:rPr>
          <w:lang w:val="fr-CH"/>
        </w:rPr>
        <w:t xml:space="preserve">ratique des organes chargés de </w:t>
      </w:r>
      <w:r w:rsidR="00B9281C" w:rsidRPr="00731644">
        <w:rPr>
          <w:lang w:val="fr-CH"/>
        </w:rPr>
        <w:t xml:space="preserve">veiller </w:t>
      </w:r>
      <w:r w:rsidR="00D87808" w:rsidRPr="00731644">
        <w:rPr>
          <w:lang w:val="fr-CH"/>
        </w:rPr>
        <w:t xml:space="preserve">à </w:t>
      </w:r>
      <w:r w:rsidR="00B9281C" w:rsidRPr="00731644">
        <w:rPr>
          <w:lang w:val="fr-CH"/>
        </w:rPr>
        <w:t xml:space="preserve">la mise en œuvre des </w:t>
      </w:r>
      <w:r w:rsidR="00D87808" w:rsidRPr="00731644">
        <w:rPr>
          <w:lang w:val="fr-CH"/>
        </w:rPr>
        <w:t>traités – comme</w:t>
      </w:r>
      <w:r w:rsidR="00B9281C" w:rsidRPr="00731644">
        <w:rPr>
          <w:lang w:val="fr-CH"/>
        </w:rPr>
        <w:t xml:space="preserve"> le Comité </w:t>
      </w:r>
      <w:r w:rsidR="00D87808" w:rsidRPr="00731644">
        <w:rPr>
          <w:lang w:val="fr-CH"/>
        </w:rPr>
        <w:t>l</w:t>
      </w:r>
      <w:r w:rsidR="00425386" w:rsidRPr="00731644">
        <w:rPr>
          <w:lang w:val="fr-CH"/>
        </w:rPr>
        <w:t>’</w:t>
      </w:r>
      <w:r w:rsidR="00D87808" w:rsidRPr="00731644">
        <w:rPr>
          <w:lang w:val="fr-CH"/>
        </w:rPr>
        <w:t xml:space="preserve">a recommandé </w:t>
      </w:r>
      <w:r w:rsidR="00B9281C" w:rsidRPr="00731644">
        <w:rPr>
          <w:lang w:val="fr-CH"/>
        </w:rPr>
        <w:t>au</w:t>
      </w:r>
      <w:r w:rsidR="00F31DD5" w:rsidRPr="00731644">
        <w:rPr>
          <w:lang w:val="fr-CH"/>
        </w:rPr>
        <w:t xml:space="preserve"> </w:t>
      </w:r>
      <w:r w:rsidR="00CB7658" w:rsidRPr="00731644">
        <w:rPr>
          <w:lang w:val="fr-CH"/>
        </w:rPr>
        <w:t>paragraphe </w:t>
      </w:r>
      <w:r w:rsidR="00D123BB" w:rsidRPr="00731644">
        <w:rPr>
          <w:lang w:val="fr-CH"/>
        </w:rPr>
        <w:t xml:space="preserve">11 </w:t>
      </w:r>
      <w:r w:rsidR="00B9281C" w:rsidRPr="00731644">
        <w:rPr>
          <w:lang w:val="fr-CH"/>
        </w:rPr>
        <w:t>de ses observations finales</w:t>
      </w:r>
      <w:r w:rsidR="007A774E" w:rsidRPr="00731644">
        <w:rPr>
          <w:lang w:val="fr-CH"/>
        </w:rPr>
        <w:t>.</w:t>
      </w:r>
    </w:p>
    <w:p w:rsidR="00703322" w:rsidRPr="00731644" w:rsidRDefault="00262955" w:rsidP="007A774E">
      <w:pPr>
        <w:pStyle w:val="SingleTxtG"/>
        <w:rPr>
          <w:lang w:val="fr-CH"/>
        </w:rPr>
      </w:pPr>
      <w:r w:rsidRPr="00731644">
        <w:rPr>
          <w:lang w:val="fr-CH"/>
        </w:rPr>
        <w:t>54.</w:t>
      </w:r>
      <w:r w:rsidRPr="00731644">
        <w:rPr>
          <w:lang w:val="fr-CH"/>
        </w:rPr>
        <w:tab/>
      </w:r>
      <w:r w:rsidR="00703322" w:rsidRPr="00731644">
        <w:rPr>
          <w:lang w:val="fr-CH"/>
        </w:rPr>
        <w:t>Le Ministère de droits de l</w:t>
      </w:r>
      <w:r w:rsidR="00425386" w:rsidRPr="00731644">
        <w:rPr>
          <w:lang w:val="fr-CH"/>
        </w:rPr>
        <w:t>’</w:t>
      </w:r>
      <w:r w:rsidR="00703322" w:rsidRPr="00731644">
        <w:rPr>
          <w:lang w:val="fr-CH"/>
        </w:rPr>
        <w:t xml:space="preserve">homme et des minorités, en </w:t>
      </w:r>
      <w:r w:rsidR="00D87808" w:rsidRPr="00731644">
        <w:rPr>
          <w:lang w:val="fr-CH"/>
        </w:rPr>
        <w:t>collabo</w:t>
      </w:r>
      <w:r w:rsidR="00703322" w:rsidRPr="00731644">
        <w:rPr>
          <w:lang w:val="fr-CH"/>
        </w:rPr>
        <w:t>ration avec la mission que l</w:t>
      </w:r>
      <w:r w:rsidR="00425386" w:rsidRPr="00731644">
        <w:rPr>
          <w:lang w:val="fr-CH"/>
        </w:rPr>
        <w:t>’</w:t>
      </w:r>
      <w:r w:rsidR="00D87808" w:rsidRPr="00731644">
        <w:rPr>
          <w:lang w:val="fr-CH"/>
        </w:rPr>
        <w:t>Organisation pour la coopération et la sécurité en Europe (</w:t>
      </w:r>
      <w:r w:rsidR="00703322" w:rsidRPr="00731644">
        <w:rPr>
          <w:lang w:val="fr-CH"/>
        </w:rPr>
        <w:t>OSCE</w:t>
      </w:r>
      <w:r w:rsidR="00D87808" w:rsidRPr="00731644">
        <w:rPr>
          <w:lang w:val="fr-CH"/>
        </w:rPr>
        <w:t>)</w:t>
      </w:r>
      <w:r w:rsidR="00703322" w:rsidRPr="00731644">
        <w:rPr>
          <w:lang w:val="fr-CH"/>
        </w:rPr>
        <w:t xml:space="preserve"> a envoyée au Monténégro au début de mai </w:t>
      </w:r>
      <w:r w:rsidR="007A774E" w:rsidRPr="00731644">
        <w:rPr>
          <w:lang w:val="fr-CH"/>
        </w:rPr>
        <w:t xml:space="preserve">2011, </w:t>
      </w:r>
      <w:r w:rsidR="00703322" w:rsidRPr="00731644">
        <w:rPr>
          <w:lang w:val="fr-CH"/>
        </w:rPr>
        <w:t>a commencé, conformément au programme spécial, à former les personnels de l</w:t>
      </w:r>
      <w:r w:rsidR="00425386" w:rsidRPr="00731644">
        <w:rPr>
          <w:lang w:val="fr-CH"/>
        </w:rPr>
        <w:t>’</w:t>
      </w:r>
      <w:r w:rsidR="00703322" w:rsidRPr="00731644">
        <w:rPr>
          <w:lang w:val="fr-CH"/>
        </w:rPr>
        <w:t>appareil judiciaire, de la police, des organes d</w:t>
      </w:r>
      <w:r w:rsidR="00425386" w:rsidRPr="00731644">
        <w:rPr>
          <w:lang w:val="fr-CH"/>
        </w:rPr>
        <w:t>’</w:t>
      </w:r>
      <w:r w:rsidR="00703322" w:rsidRPr="00731644">
        <w:rPr>
          <w:lang w:val="fr-CH"/>
        </w:rPr>
        <w:t xml:space="preserve">inspection et des autres institutions </w:t>
      </w:r>
      <w:r w:rsidR="00D87808" w:rsidRPr="00731644">
        <w:rPr>
          <w:lang w:val="fr-CH"/>
        </w:rPr>
        <w:t>appelées à intervenir dans les</w:t>
      </w:r>
      <w:r w:rsidR="00703322" w:rsidRPr="00731644">
        <w:rPr>
          <w:lang w:val="fr-CH"/>
        </w:rPr>
        <w:t xml:space="preserve"> cas de discrimination. La formation comporte divers ateliers thématiques de plusieurs</w:t>
      </w:r>
      <w:r w:rsidR="00731644" w:rsidRPr="00731644">
        <w:rPr>
          <w:lang w:val="fr-CH"/>
        </w:rPr>
        <w:t> jours</w:t>
      </w:r>
      <w:r w:rsidR="00703322" w:rsidRPr="00731644">
        <w:rPr>
          <w:lang w:val="fr-CH"/>
        </w:rPr>
        <w:t xml:space="preserve"> sur différents sujets, qui permettent aux participants de parfaire leur connaissance du dispositif de prévention de la discrimination et de la mise en </w:t>
      </w:r>
      <w:r w:rsidR="00A66512" w:rsidRPr="00731644">
        <w:rPr>
          <w:lang w:val="fr-CH"/>
        </w:rPr>
        <w:t>œuvre</w:t>
      </w:r>
      <w:r w:rsidR="00703322" w:rsidRPr="00731644">
        <w:rPr>
          <w:lang w:val="fr-CH"/>
        </w:rPr>
        <w:t xml:space="preserve"> de la </w:t>
      </w:r>
      <w:r w:rsidR="00703322" w:rsidRPr="005E7B4F">
        <w:rPr>
          <w:iCs/>
          <w:lang w:val="fr-CH"/>
        </w:rPr>
        <w:t>loi relative à l</w:t>
      </w:r>
      <w:r w:rsidR="00425386" w:rsidRPr="005E7B4F">
        <w:rPr>
          <w:iCs/>
          <w:lang w:val="fr-CH"/>
        </w:rPr>
        <w:t>’</w:t>
      </w:r>
      <w:r w:rsidR="00703322" w:rsidRPr="005E7B4F">
        <w:rPr>
          <w:iCs/>
          <w:lang w:val="fr-CH"/>
        </w:rPr>
        <w:t>interdiction de</w:t>
      </w:r>
      <w:r w:rsidR="00F31DD5" w:rsidRPr="005E7B4F">
        <w:rPr>
          <w:iCs/>
          <w:lang w:val="fr-CH"/>
        </w:rPr>
        <w:t xml:space="preserve"> </w:t>
      </w:r>
      <w:r w:rsidR="00703322" w:rsidRPr="005E7B4F">
        <w:rPr>
          <w:iCs/>
          <w:lang w:val="fr-CH"/>
        </w:rPr>
        <w:t>la discrimination.</w:t>
      </w:r>
      <w:r w:rsidR="00703322" w:rsidRPr="00731644">
        <w:rPr>
          <w:lang w:val="fr-CH"/>
        </w:rPr>
        <w:t xml:space="preserve"> </w:t>
      </w:r>
    </w:p>
    <w:p w:rsidR="007A774E" w:rsidRPr="00731644" w:rsidRDefault="00262955" w:rsidP="007A774E">
      <w:pPr>
        <w:pStyle w:val="SingleTxtG"/>
        <w:rPr>
          <w:lang w:val="fr-CH"/>
        </w:rPr>
      </w:pPr>
      <w:r w:rsidRPr="00731644">
        <w:rPr>
          <w:lang w:val="fr-CH"/>
        </w:rPr>
        <w:t>55.</w:t>
      </w:r>
      <w:r w:rsidRPr="00731644">
        <w:rPr>
          <w:lang w:val="fr-CH"/>
        </w:rPr>
        <w:tab/>
      </w:r>
      <w:r w:rsidR="00703322" w:rsidRPr="00731644">
        <w:rPr>
          <w:lang w:val="fr-CH"/>
        </w:rPr>
        <w:t>Le Ministère des droits de l</w:t>
      </w:r>
      <w:r w:rsidR="00425386" w:rsidRPr="00731644">
        <w:rPr>
          <w:lang w:val="fr-CH"/>
        </w:rPr>
        <w:t>’</w:t>
      </w:r>
      <w:r w:rsidR="00703322" w:rsidRPr="00731644">
        <w:rPr>
          <w:lang w:val="fr-CH"/>
        </w:rPr>
        <w:t xml:space="preserve">homme et des minorités mène actuellement une vaste campagne de lutte contre la discrimination. </w:t>
      </w:r>
      <w:r w:rsidR="00082867" w:rsidRPr="00731644">
        <w:rPr>
          <w:lang w:val="fr-CH"/>
        </w:rPr>
        <w:t xml:space="preserve">Il a pris soin de donner à </w:t>
      </w:r>
      <w:r w:rsidR="000941CC" w:rsidRPr="00731644">
        <w:rPr>
          <w:lang w:val="fr-CH"/>
        </w:rPr>
        <w:t>cette</w:t>
      </w:r>
      <w:r w:rsidR="00082867" w:rsidRPr="00731644">
        <w:rPr>
          <w:lang w:val="fr-CH"/>
        </w:rPr>
        <w:t xml:space="preserve"> campagne une identité visuelle par l</w:t>
      </w:r>
      <w:r w:rsidR="00425386" w:rsidRPr="00731644">
        <w:rPr>
          <w:lang w:val="fr-CH"/>
        </w:rPr>
        <w:t>’</w:t>
      </w:r>
      <w:r w:rsidR="00082867" w:rsidRPr="00731644">
        <w:rPr>
          <w:lang w:val="fr-CH"/>
        </w:rPr>
        <w:t>utilisation des trois messages promotionnels et des trois signes suivants</w:t>
      </w:r>
      <w:r w:rsidR="00F31DD5" w:rsidRPr="00731644">
        <w:rPr>
          <w:lang w:val="fr-CH"/>
        </w:rPr>
        <w:t>:</w:t>
      </w:r>
    </w:p>
    <w:p w:rsidR="007A774E" w:rsidRPr="00731644" w:rsidRDefault="00963169" w:rsidP="00066581">
      <w:pPr>
        <w:pStyle w:val="Bullet1G"/>
        <w:rPr>
          <w:lang w:val="fr-CH"/>
        </w:rPr>
      </w:pPr>
      <w:r w:rsidRPr="00731644">
        <w:rPr>
          <w:lang w:val="fr-CH"/>
        </w:rPr>
        <w:t>Personne</w:t>
      </w:r>
      <w:r w:rsidR="00082867" w:rsidRPr="00731644">
        <w:rPr>
          <w:lang w:val="fr-CH"/>
        </w:rPr>
        <w:t xml:space="preserve"> ne doit rester en mar</w:t>
      </w:r>
      <w:r w:rsidR="00DF07DF" w:rsidRPr="00731644">
        <w:rPr>
          <w:lang w:val="fr-CH"/>
        </w:rPr>
        <w:t>g</w:t>
      </w:r>
      <w:r w:rsidR="00082867" w:rsidRPr="00731644">
        <w:rPr>
          <w:lang w:val="fr-CH"/>
        </w:rPr>
        <w:t>e</w:t>
      </w:r>
      <w:r w:rsidR="00BC4FF5" w:rsidRPr="00731644">
        <w:rPr>
          <w:lang w:val="fr-CH"/>
        </w:rPr>
        <w:t xml:space="preserve"> </w:t>
      </w:r>
      <w:r w:rsidR="007A774E" w:rsidRPr="00731644">
        <w:rPr>
          <w:lang w:val="fr-CH"/>
        </w:rPr>
        <w:t xml:space="preserve">(discrimination </w:t>
      </w:r>
      <w:r w:rsidR="00DF07DF" w:rsidRPr="00731644">
        <w:rPr>
          <w:lang w:val="fr-CH"/>
        </w:rPr>
        <w:t>à l</w:t>
      </w:r>
      <w:r w:rsidR="00425386" w:rsidRPr="00731644">
        <w:rPr>
          <w:lang w:val="fr-CH"/>
        </w:rPr>
        <w:t>’</w:t>
      </w:r>
      <w:r w:rsidR="00DF07DF" w:rsidRPr="00731644">
        <w:rPr>
          <w:lang w:val="fr-CH"/>
        </w:rPr>
        <w:t xml:space="preserve">égard </w:t>
      </w:r>
      <w:r w:rsidR="00B569C5" w:rsidRPr="00731644">
        <w:rPr>
          <w:lang w:val="fr-CH"/>
        </w:rPr>
        <w:t>des personnes</w:t>
      </w:r>
      <w:r w:rsidR="00DF07DF" w:rsidRPr="00731644">
        <w:rPr>
          <w:lang w:val="fr-CH"/>
        </w:rPr>
        <w:t xml:space="preserve"> handicapées</w:t>
      </w:r>
      <w:r w:rsidR="007A774E" w:rsidRPr="00731644">
        <w:rPr>
          <w:lang w:val="fr-CH"/>
        </w:rPr>
        <w:t>)</w:t>
      </w:r>
      <w:r w:rsidR="00374D76" w:rsidRPr="00731644">
        <w:rPr>
          <w:lang w:val="fr-CH"/>
        </w:rPr>
        <w:t>;</w:t>
      </w:r>
    </w:p>
    <w:p w:rsidR="007A774E" w:rsidRPr="00731644" w:rsidRDefault="00DF07DF" w:rsidP="00066581">
      <w:pPr>
        <w:pStyle w:val="Bullet1G"/>
        <w:rPr>
          <w:lang w:val="fr-CH"/>
        </w:rPr>
      </w:pPr>
      <w:r w:rsidRPr="00731644">
        <w:rPr>
          <w:lang w:val="fr-CH"/>
        </w:rPr>
        <w:t>Reléguées à l</w:t>
      </w:r>
      <w:r w:rsidR="00425386" w:rsidRPr="00731644">
        <w:rPr>
          <w:lang w:val="fr-CH"/>
        </w:rPr>
        <w:t>’</w:t>
      </w:r>
      <w:r w:rsidRPr="00731644">
        <w:rPr>
          <w:lang w:val="fr-CH"/>
        </w:rPr>
        <w:t>arrière-plan</w:t>
      </w:r>
      <w:r w:rsidR="00BC4FF5" w:rsidRPr="00731644">
        <w:rPr>
          <w:lang w:val="fr-CH"/>
        </w:rPr>
        <w:t xml:space="preserve"> </w:t>
      </w:r>
      <w:r w:rsidR="007A774E" w:rsidRPr="00731644">
        <w:rPr>
          <w:lang w:val="fr-CH"/>
        </w:rPr>
        <w:t xml:space="preserve">(discrimination </w:t>
      </w:r>
      <w:r w:rsidR="000941CC" w:rsidRPr="00731644">
        <w:rPr>
          <w:lang w:val="fr-CH"/>
        </w:rPr>
        <w:t>liée au</w:t>
      </w:r>
      <w:r w:rsidRPr="00731644">
        <w:rPr>
          <w:lang w:val="fr-CH"/>
        </w:rPr>
        <w:t xml:space="preserve"> sexe</w:t>
      </w:r>
      <w:r w:rsidR="007A774E" w:rsidRPr="00731644">
        <w:rPr>
          <w:lang w:val="fr-CH"/>
        </w:rPr>
        <w:t>)</w:t>
      </w:r>
      <w:r w:rsidR="00374D76" w:rsidRPr="00731644">
        <w:rPr>
          <w:lang w:val="fr-CH"/>
        </w:rPr>
        <w:t>;</w:t>
      </w:r>
    </w:p>
    <w:p w:rsidR="007A774E" w:rsidRPr="00731644" w:rsidRDefault="00DF07DF" w:rsidP="00066581">
      <w:pPr>
        <w:pStyle w:val="Bullet1G"/>
        <w:rPr>
          <w:lang w:val="fr-CH"/>
        </w:rPr>
      </w:pPr>
      <w:r w:rsidRPr="00731644">
        <w:rPr>
          <w:lang w:val="fr-CH"/>
        </w:rPr>
        <w:t>Tout n</w:t>
      </w:r>
      <w:r w:rsidR="00425386" w:rsidRPr="00731644">
        <w:rPr>
          <w:lang w:val="fr-CH"/>
        </w:rPr>
        <w:t>’</w:t>
      </w:r>
      <w:r w:rsidRPr="00731644">
        <w:rPr>
          <w:lang w:val="fr-CH"/>
        </w:rPr>
        <w:t>est pas noir et blanc</w:t>
      </w:r>
      <w:r w:rsidR="00BC4FF5" w:rsidRPr="00731644">
        <w:rPr>
          <w:lang w:val="fr-CH"/>
        </w:rPr>
        <w:t xml:space="preserve"> </w:t>
      </w:r>
      <w:r w:rsidR="007A774E" w:rsidRPr="00731644">
        <w:rPr>
          <w:lang w:val="fr-CH"/>
        </w:rPr>
        <w:t xml:space="preserve">(discrimination </w:t>
      </w:r>
      <w:r w:rsidR="000941CC" w:rsidRPr="00731644">
        <w:rPr>
          <w:lang w:val="fr-CH"/>
        </w:rPr>
        <w:t>liée à</w:t>
      </w:r>
      <w:r w:rsidRPr="00731644">
        <w:rPr>
          <w:lang w:val="fr-CH"/>
        </w:rPr>
        <w:t xml:space="preserve"> l</w:t>
      </w:r>
      <w:r w:rsidR="00425386" w:rsidRPr="00731644">
        <w:rPr>
          <w:lang w:val="fr-CH"/>
        </w:rPr>
        <w:t>’</w:t>
      </w:r>
      <w:r w:rsidRPr="00731644">
        <w:rPr>
          <w:lang w:val="fr-CH"/>
        </w:rPr>
        <w:t>orientation sexuelle).</w:t>
      </w:r>
    </w:p>
    <w:p w:rsidR="007A774E" w:rsidRPr="00731644" w:rsidRDefault="00BC4FF5" w:rsidP="00513B13">
      <w:pPr>
        <w:pStyle w:val="SingleTxtG"/>
        <w:rPr>
          <w:lang w:val="fr-CH"/>
        </w:rPr>
      </w:pPr>
      <w:r w:rsidRPr="00731644">
        <w:rPr>
          <w:lang w:val="fr-CH"/>
        </w:rPr>
        <w:t>56.</w:t>
      </w:r>
      <w:r w:rsidRPr="00731644">
        <w:rPr>
          <w:lang w:val="fr-CH"/>
        </w:rPr>
        <w:tab/>
      </w:r>
      <w:r w:rsidR="000941CC" w:rsidRPr="00731644">
        <w:rPr>
          <w:lang w:val="fr-CH"/>
        </w:rPr>
        <w:t>L</w:t>
      </w:r>
      <w:r w:rsidR="00DF07DF" w:rsidRPr="00731644">
        <w:rPr>
          <w:lang w:val="fr-CH"/>
        </w:rPr>
        <w:t>e lancement de la campagne, le</w:t>
      </w:r>
      <w:r w:rsidR="007A774E" w:rsidRPr="00731644">
        <w:rPr>
          <w:lang w:val="fr-CH"/>
        </w:rPr>
        <w:t xml:space="preserve"> 27 </w:t>
      </w:r>
      <w:r w:rsidR="00DF07DF" w:rsidRPr="00731644">
        <w:rPr>
          <w:lang w:val="fr-CH"/>
        </w:rPr>
        <w:t>mai</w:t>
      </w:r>
      <w:r w:rsidR="007A774E" w:rsidRPr="00731644">
        <w:rPr>
          <w:lang w:val="fr-CH"/>
        </w:rPr>
        <w:t xml:space="preserve"> 2011</w:t>
      </w:r>
      <w:r w:rsidR="00DF07DF" w:rsidRPr="00731644">
        <w:rPr>
          <w:lang w:val="fr-CH"/>
        </w:rPr>
        <w:t xml:space="preserve">, a été marqué par la publication dans les trois quotidiens </w:t>
      </w:r>
      <w:r w:rsidR="00DB0C1B" w:rsidRPr="00731644">
        <w:rPr>
          <w:lang w:val="fr-CH"/>
        </w:rPr>
        <w:t>de messages publicitaires</w:t>
      </w:r>
      <w:r w:rsidR="00DF07DF" w:rsidRPr="00731644">
        <w:rPr>
          <w:lang w:val="fr-CH"/>
        </w:rPr>
        <w:t xml:space="preserve"> qui continueront de paraître jusqu</w:t>
      </w:r>
      <w:r w:rsidR="00425386" w:rsidRPr="00731644">
        <w:rPr>
          <w:lang w:val="fr-CH"/>
        </w:rPr>
        <w:t>’</w:t>
      </w:r>
      <w:r w:rsidR="00DF07DF" w:rsidRPr="00731644">
        <w:rPr>
          <w:lang w:val="fr-CH"/>
        </w:rPr>
        <w:t>à la fin du mois de juin.</w:t>
      </w:r>
      <w:r w:rsidR="007A774E" w:rsidRPr="00731644">
        <w:rPr>
          <w:lang w:val="fr-CH"/>
        </w:rPr>
        <w:t xml:space="preserve"> </w:t>
      </w:r>
      <w:r w:rsidR="00513B13" w:rsidRPr="00731644">
        <w:rPr>
          <w:lang w:val="fr-CH"/>
        </w:rPr>
        <w:t>Occupant la moitié d</w:t>
      </w:r>
      <w:r w:rsidR="00425386" w:rsidRPr="00731644">
        <w:rPr>
          <w:lang w:val="fr-CH"/>
        </w:rPr>
        <w:t>’</w:t>
      </w:r>
      <w:r w:rsidR="00513B13" w:rsidRPr="00731644">
        <w:rPr>
          <w:lang w:val="fr-CH"/>
        </w:rPr>
        <w:t xml:space="preserve">une page, </w:t>
      </w:r>
      <w:r w:rsidR="00DB0C1B" w:rsidRPr="00731644">
        <w:rPr>
          <w:lang w:val="fr-CH"/>
        </w:rPr>
        <w:t>ces messages</w:t>
      </w:r>
      <w:r w:rsidR="00513B13" w:rsidRPr="00731644">
        <w:rPr>
          <w:lang w:val="fr-CH"/>
        </w:rPr>
        <w:t xml:space="preserve"> en couleur paraissent (séparément pour chaque forme de discrimination) les</w:t>
      </w:r>
      <w:r w:rsidR="00E139B1">
        <w:rPr>
          <w:lang w:val="fr-CH"/>
        </w:rPr>
        <w:t xml:space="preserve"> j</w:t>
      </w:r>
      <w:r w:rsidR="00731644" w:rsidRPr="00731644">
        <w:rPr>
          <w:lang w:val="fr-CH"/>
        </w:rPr>
        <w:t>ours</w:t>
      </w:r>
      <w:r w:rsidR="00513B13" w:rsidRPr="00731644">
        <w:rPr>
          <w:lang w:val="fr-CH"/>
        </w:rPr>
        <w:t xml:space="preserve"> de plus grande </w:t>
      </w:r>
      <w:r w:rsidR="00F64F1F" w:rsidRPr="00731644">
        <w:rPr>
          <w:lang w:val="fr-CH"/>
        </w:rPr>
        <w:t>vente</w:t>
      </w:r>
      <w:r w:rsidR="00513B13" w:rsidRPr="00731644">
        <w:rPr>
          <w:lang w:val="fr-CH"/>
        </w:rPr>
        <w:t xml:space="preserve"> de chacun des quotidiens</w:t>
      </w:r>
      <w:r w:rsidR="00F31DD5" w:rsidRPr="00731644">
        <w:rPr>
          <w:lang w:val="fr-CH"/>
        </w:rPr>
        <w:t>:</w:t>
      </w:r>
      <w:r w:rsidR="00374D76" w:rsidRPr="00731644">
        <w:rPr>
          <w:lang w:val="fr-CH"/>
        </w:rPr>
        <w:t xml:space="preserve"> </w:t>
      </w:r>
      <w:r w:rsidR="00513B13" w:rsidRPr="00731644">
        <w:rPr>
          <w:lang w:val="fr-CH"/>
        </w:rPr>
        <w:t xml:space="preserve">le vendredi dans </w:t>
      </w:r>
      <w:r w:rsidR="002061AB">
        <w:rPr>
          <w:lang w:val="fr-CH"/>
        </w:rPr>
        <w:t>«</w:t>
      </w:r>
      <w:r w:rsidR="007A774E" w:rsidRPr="00731644">
        <w:rPr>
          <w:lang w:val="fr-CH"/>
        </w:rPr>
        <w:t>Pobjeda</w:t>
      </w:r>
      <w:r w:rsidR="002061AB">
        <w:rPr>
          <w:lang w:val="fr-CH"/>
        </w:rPr>
        <w:t>»</w:t>
      </w:r>
      <w:r w:rsidR="007A774E" w:rsidRPr="00731644">
        <w:rPr>
          <w:lang w:val="fr-CH"/>
        </w:rPr>
        <w:t xml:space="preserve">, </w:t>
      </w:r>
      <w:r w:rsidR="00513B13" w:rsidRPr="00731644">
        <w:rPr>
          <w:lang w:val="fr-CH"/>
        </w:rPr>
        <w:t>le samedi dans</w:t>
      </w:r>
      <w:r w:rsidR="007A774E" w:rsidRPr="00731644">
        <w:rPr>
          <w:lang w:val="fr-CH"/>
        </w:rPr>
        <w:t xml:space="preserve"> </w:t>
      </w:r>
      <w:r w:rsidR="002061AB">
        <w:rPr>
          <w:lang w:val="fr-CH"/>
        </w:rPr>
        <w:t>«</w:t>
      </w:r>
      <w:r w:rsidR="007A774E" w:rsidRPr="00731644">
        <w:rPr>
          <w:lang w:val="fr-CH"/>
        </w:rPr>
        <w:t>Vijesti</w:t>
      </w:r>
      <w:r w:rsidR="002061AB">
        <w:rPr>
          <w:lang w:val="fr-CH"/>
        </w:rPr>
        <w:t>»</w:t>
      </w:r>
      <w:r w:rsidR="007A774E" w:rsidRPr="00731644">
        <w:rPr>
          <w:lang w:val="fr-CH"/>
        </w:rPr>
        <w:t xml:space="preserve"> </w:t>
      </w:r>
      <w:r w:rsidR="00513B13" w:rsidRPr="00731644">
        <w:rPr>
          <w:lang w:val="fr-CH"/>
        </w:rPr>
        <w:t>et le lundi dans</w:t>
      </w:r>
      <w:r w:rsidR="007A774E" w:rsidRPr="00731644">
        <w:rPr>
          <w:lang w:val="fr-CH"/>
        </w:rPr>
        <w:t xml:space="preserve"> </w:t>
      </w:r>
      <w:r w:rsidR="002061AB">
        <w:rPr>
          <w:lang w:val="fr-CH"/>
        </w:rPr>
        <w:t>«</w:t>
      </w:r>
      <w:r w:rsidR="007A774E" w:rsidRPr="00731644">
        <w:rPr>
          <w:lang w:val="fr-CH"/>
        </w:rPr>
        <w:t>Dan</w:t>
      </w:r>
      <w:r w:rsidR="002061AB">
        <w:rPr>
          <w:lang w:val="fr-CH"/>
        </w:rPr>
        <w:t>»</w:t>
      </w:r>
      <w:r w:rsidR="007A774E" w:rsidRPr="00731644">
        <w:rPr>
          <w:lang w:val="fr-CH"/>
        </w:rPr>
        <w:t xml:space="preserve">. </w:t>
      </w:r>
      <w:r w:rsidR="00F64F1F" w:rsidRPr="00731644">
        <w:rPr>
          <w:lang w:val="fr-CH"/>
        </w:rPr>
        <w:t>Soixante-quatre</w:t>
      </w:r>
      <w:r w:rsidR="00513B13" w:rsidRPr="00731644">
        <w:rPr>
          <w:lang w:val="fr-CH"/>
        </w:rPr>
        <w:t xml:space="preserve"> </w:t>
      </w:r>
      <w:r w:rsidR="006D6B56" w:rsidRPr="00731644">
        <w:rPr>
          <w:lang w:val="fr-CH"/>
        </w:rPr>
        <w:t>placards</w:t>
      </w:r>
      <w:r w:rsidR="00513B13" w:rsidRPr="00731644">
        <w:rPr>
          <w:lang w:val="fr-CH"/>
        </w:rPr>
        <w:t xml:space="preserve"> publicitaires et </w:t>
      </w:r>
      <w:r w:rsidR="006D6B56" w:rsidRPr="00731644">
        <w:rPr>
          <w:lang w:val="fr-CH"/>
        </w:rPr>
        <w:t>panneaux lumineux ont été installés sur tout le territoire du Monténégro, de préférenc</w:t>
      </w:r>
      <w:r w:rsidR="00F64F1F" w:rsidRPr="00731644">
        <w:rPr>
          <w:lang w:val="fr-CH"/>
        </w:rPr>
        <w:t xml:space="preserve">e le long des axes et dans les endroits </w:t>
      </w:r>
      <w:r w:rsidR="006D6B56" w:rsidRPr="00731644">
        <w:rPr>
          <w:lang w:val="fr-CH"/>
        </w:rPr>
        <w:t>les plus fréquentés.</w:t>
      </w:r>
      <w:r w:rsidR="00F31DD5" w:rsidRPr="00731644">
        <w:rPr>
          <w:lang w:val="fr-CH"/>
        </w:rPr>
        <w:t xml:space="preserve"> </w:t>
      </w:r>
      <w:r w:rsidR="006D6B56" w:rsidRPr="00731644">
        <w:rPr>
          <w:lang w:val="fr-CH"/>
        </w:rPr>
        <w:t xml:space="preserve">Des spots télévisés et des </w:t>
      </w:r>
      <w:r w:rsidR="007A774E" w:rsidRPr="00731644">
        <w:rPr>
          <w:lang w:val="fr-CH"/>
        </w:rPr>
        <w:t xml:space="preserve">jingles </w:t>
      </w:r>
      <w:r w:rsidR="006D6B56" w:rsidRPr="00731644">
        <w:rPr>
          <w:lang w:val="fr-CH"/>
        </w:rPr>
        <w:t>radiophoniques seront diffusés du 15 juin au 15 juillet, notamment par toutes les chaînes de télévision desserv</w:t>
      </w:r>
      <w:r w:rsidR="00602E0F" w:rsidRPr="00731644">
        <w:rPr>
          <w:lang w:val="fr-CH"/>
        </w:rPr>
        <w:t>a</w:t>
      </w:r>
      <w:r w:rsidR="006D6B56" w:rsidRPr="00731644">
        <w:rPr>
          <w:lang w:val="fr-CH"/>
        </w:rPr>
        <w:t xml:space="preserve">nt la totalité du territoire </w:t>
      </w:r>
      <w:r w:rsidR="007A774E" w:rsidRPr="00731644">
        <w:rPr>
          <w:lang w:val="fr-CH"/>
        </w:rPr>
        <w:t xml:space="preserve">(RTCG, TV IN, TV Vijesti, TV Elmag </w:t>
      </w:r>
      <w:r w:rsidR="006D6B56" w:rsidRPr="00731644">
        <w:rPr>
          <w:lang w:val="fr-CH"/>
        </w:rPr>
        <w:t>et</w:t>
      </w:r>
      <w:r w:rsidR="007A774E" w:rsidRPr="00731644">
        <w:rPr>
          <w:lang w:val="fr-CH"/>
        </w:rPr>
        <w:t xml:space="preserve"> TV MBC), </w:t>
      </w:r>
      <w:r w:rsidR="006D6B56" w:rsidRPr="00731644">
        <w:rPr>
          <w:lang w:val="fr-CH"/>
        </w:rPr>
        <w:t>et par des stations de radio d</w:t>
      </w:r>
      <w:r w:rsidR="00425386" w:rsidRPr="00731644">
        <w:rPr>
          <w:lang w:val="fr-CH"/>
        </w:rPr>
        <w:t>’</w:t>
      </w:r>
      <w:r w:rsidR="006D6B56" w:rsidRPr="00731644">
        <w:rPr>
          <w:lang w:val="fr-CH"/>
        </w:rPr>
        <w:t>audience nationale</w:t>
      </w:r>
      <w:r w:rsidR="00F31DD5" w:rsidRPr="00731644">
        <w:rPr>
          <w:lang w:val="fr-CH"/>
        </w:rPr>
        <w:t xml:space="preserve"> </w:t>
      </w:r>
      <w:r w:rsidR="007A774E" w:rsidRPr="00731644">
        <w:rPr>
          <w:lang w:val="fr-CH"/>
        </w:rPr>
        <w:t xml:space="preserve">(Radio Crne Gore, Antena M, Atlas). </w:t>
      </w:r>
      <w:r w:rsidR="00602E0F" w:rsidRPr="00731644">
        <w:rPr>
          <w:lang w:val="fr-CH"/>
        </w:rPr>
        <w:t xml:space="preserve">La campagne tout entière est menée également en albanais dans la </w:t>
      </w:r>
      <w:r w:rsidR="00D3106C" w:rsidRPr="00731644">
        <w:rPr>
          <w:lang w:val="fr-CH"/>
        </w:rPr>
        <w:t>région</w:t>
      </w:r>
      <w:r w:rsidR="00602E0F" w:rsidRPr="00731644">
        <w:rPr>
          <w:lang w:val="fr-CH"/>
        </w:rPr>
        <w:t xml:space="preserve"> dont la population est en majorité ou en grande partie albanaise. Elle se poursuivra à l</w:t>
      </w:r>
      <w:r w:rsidR="00425386" w:rsidRPr="00731644">
        <w:rPr>
          <w:lang w:val="fr-CH"/>
        </w:rPr>
        <w:t>’</w:t>
      </w:r>
      <w:r w:rsidR="00602E0F" w:rsidRPr="00731644">
        <w:rPr>
          <w:lang w:val="fr-CH"/>
        </w:rPr>
        <w:t>avenir, avec de nouveaux messages.</w:t>
      </w:r>
      <w:r w:rsidR="00F31DD5" w:rsidRPr="00731644">
        <w:rPr>
          <w:lang w:val="fr-CH"/>
        </w:rPr>
        <w:t xml:space="preserve"> </w:t>
      </w:r>
    </w:p>
    <w:p w:rsidR="00B21E0D" w:rsidRPr="00731644" w:rsidRDefault="00BC4FF5" w:rsidP="007A774E">
      <w:pPr>
        <w:pStyle w:val="SingleTxtG"/>
        <w:rPr>
          <w:lang w:val="fr-CH"/>
        </w:rPr>
      </w:pPr>
      <w:r w:rsidRPr="00731644">
        <w:rPr>
          <w:lang w:val="fr-CH"/>
        </w:rPr>
        <w:t>57.</w:t>
      </w:r>
      <w:r w:rsidRPr="00731644">
        <w:rPr>
          <w:lang w:val="fr-CH"/>
        </w:rPr>
        <w:tab/>
      </w:r>
      <w:r w:rsidR="00602E0F" w:rsidRPr="00731644">
        <w:rPr>
          <w:lang w:val="fr-CH"/>
        </w:rPr>
        <w:t>Dans le cadre de la Stratégie de réforme de l</w:t>
      </w:r>
      <w:r w:rsidR="00425386" w:rsidRPr="00731644">
        <w:rPr>
          <w:lang w:val="fr-CH"/>
        </w:rPr>
        <w:t>’</w:t>
      </w:r>
      <w:r w:rsidR="00602E0F" w:rsidRPr="00731644">
        <w:rPr>
          <w:lang w:val="fr-CH"/>
        </w:rPr>
        <w:t>administration publique, l</w:t>
      </w:r>
      <w:r w:rsidR="00425386" w:rsidRPr="00731644">
        <w:rPr>
          <w:lang w:val="fr-CH"/>
        </w:rPr>
        <w:t>’</w:t>
      </w:r>
      <w:r w:rsidR="00602E0F" w:rsidRPr="00731644">
        <w:rPr>
          <w:lang w:val="fr-CH"/>
        </w:rPr>
        <w:t>A</w:t>
      </w:r>
      <w:r w:rsidR="00D3106C" w:rsidRPr="00731644">
        <w:rPr>
          <w:lang w:val="fr-CH"/>
        </w:rPr>
        <w:t xml:space="preserve">gence de gestion des </w:t>
      </w:r>
      <w:r w:rsidR="00F26360" w:rsidRPr="00731644">
        <w:rPr>
          <w:lang w:val="fr-CH"/>
        </w:rPr>
        <w:t>ressources</w:t>
      </w:r>
      <w:r w:rsidR="00D3106C" w:rsidRPr="00731644">
        <w:rPr>
          <w:lang w:val="fr-CH"/>
        </w:rPr>
        <w:t xml:space="preserve"> humaines</w:t>
      </w:r>
      <w:r w:rsidR="00602E0F" w:rsidRPr="00731644">
        <w:rPr>
          <w:lang w:val="fr-CH"/>
        </w:rPr>
        <w:t xml:space="preserve"> assure la formation continue des fonctionnaires et des agents de l</w:t>
      </w:r>
      <w:r w:rsidR="00425386" w:rsidRPr="00731644">
        <w:rPr>
          <w:lang w:val="fr-CH"/>
        </w:rPr>
        <w:t>’</w:t>
      </w:r>
      <w:r w:rsidR="00602E0F" w:rsidRPr="00731644">
        <w:rPr>
          <w:lang w:val="fr-CH"/>
        </w:rPr>
        <w:t>État</w:t>
      </w:r>
      <w:r w:rsidR="007A774E" w:rsidRPr="00731644">
        <w:rPr>
          <w:lang w:val="fr-CH"/>
        </w:rPr>
        <w:t xml:space="preserve">. </w:t>
      </w:r>
      <w:r w:rsidR="00D3106C" w:rsidRPr="00731644">
        <w:rPr>
          <w:lang w:val="fr-CH"/>
        </w:rPr>
        <w:t>E</w:t>
      </w:r>
      <w:r w:rsidR="00602E0F" w:rsidRPr="00731644">
        <w:rPr>
          <w:lang w:val="fr-CH"/>
        </w:rPr>
        <w:t xml:space="preserve">lle recrute </w:t>
      </w:r>
      <w:r w:rsidR="00D3106C" w:rsidRPr="00731644">
        <w:rPr>
          <w:lang w:val="fr-CH"/>
        </w:rPr>
        <w:t xml:space="preserve">à cette fin </w:t>
      </w:r>
      <w:r w:rsidR="00602E0F" w:rsidRPr="00731644">
        <w:rPr>
          <w:lang w:val="fr-CH"/>
        </w:rPr>
        <w:t xml:space="preserve">des experts et des enseignants locaux et étrangers, et </w:t>
      </w:r>
      <w:r w:rsidR="004F2819" w:rsidRPr="00731644">
        <w:rPr>
          <w:lang w:val="fr-CH"/>
        </w:rPr>
        <w:t>fait paraître</w:t>
      </w:r>
      <w:r w:rsidR="00602E0F" w:rsidRPr="00731644">
        <w:rPr>
          <w:lang w:val="fr-CH"/>
        </w:rPr>
        <w:t xml:space="preserve"> des matériels didactiques sous la forme de publications spéciales sur le rôle institutionnel du Médiateur </w:t>
      </w:r>
      <w:r w:rsidR="00B21E0D" w:rsidRPr="00731644">
        <w:rPr>
          <w:lang w:val="fr-CH"/>
        </w:rPr>
        <w:t>national</w:t>
      </w:r>
      <w:r w:rsidR="00602E0F" w:rsidRPr="00731644">
        <w:rPr>
          <w:lang w:val="fr-CH"/>
        </w:rPr>
        <w:t xml:space="preserve"> </w:t>
      </w:r>
      <w:r w:rsidR="007A774E" w:rsidRPr="00731644">
        <w:rPr>
          <w:lang w:val="fr-CH"/>
        </w:rPr>
        <w:t>(</w:t>
      </w:r>
      <w:r w:rsidR="00B21E0D" w:rsidRPr="00731644">
        <w:rPr>
          <w:lang w:val="fr-CH"/>
        </w:rPr>
        <w:t xml:space="preserve">le </w:t>
      </w:r>
      <w:r w:rsidR="007A774E" w:rsidRPr="00731644">
        <w:rPr>
          <w:lang w:val="fr-CH"/>
        </w:rPr>
        <w:t>Protect</w:t>
      </w:r>
      <w:r w:rsidR="00602E0F" w:rsidRPr="00731644">
        <w:rPr>
          <w:lang w:val="fr-CH"/>
        </w:rPr>
        <w:t>eu</w:t>
      </w:r>
      <w:r w:rsidR="007A774E" w:rsidRPr="00731644">
        <w:rPr>
          <w:lang w:val="fr-CH"/>
        </w:rPr>
        <w:t>r)</w:t>
      </w:r>
      <w:r w:rsidR="00BA71E4" w:rsidRPr="00731644">
        <w:rPr>
          <w:rStyle w:val="FootnoteReference"/>
          <w:lang w:val="fr-CH"/>
        </w:rPr>
        <w:footnoteReference w:id="12"/>
      </w:r>
      <w:r w:rsidR="00602E0F" w:rsidRPr="00731644">
        <w:rPr>
          <w:lang w:val="fr-CH"/>
        </w:rPr>
        <w:t xml:space="preserve"> et sur les </w:t>
      </w:r>
      <w:r w:rsidR="00B21E0D" w:rsidRPr="00731644">
        <w:rPr>
          <w:lang w:val="fr-CH"/>
        </w:rPr>
        <w:t>fondements juridiques</w:t>
      </w:r>
      <w:r w:rsidR="00F31DD5" w:rsidRPr="00731644">
        <w:rPr>
          <w:lang w:val="fr-CH"/>
        </w:rPr>
        <w:t xml:space="preserve"> </w:t>
      </w:r>
      <w:r w:rsidR="00B21E0D" w:rsidRPr="00731644">
        <w:rPr>
          <w:lang w:val="fr-CH"/>
        </w:rPr>
        <w:t>de son action. Les conférences sont l</w:t>
      </w:r>
      <w:r w:rsidR="00425386" w:rsidRPr="00731644">
        <w:rPr>
          <w:lang w:val="fr-CH"/>
        </w:rPr>
        <w:t>’</w:t>
      </w:r>
      <w:r w:rsidR="00B21E0D" w:rsidRPr="00731644">
        <w:rPr>
          <w:lang w:val="fr-CH"/>
        </w:rPr>
        <w:t>occasion d</w:t>
      </w:r>
      <w:r w:rsidR="00425386" w:rsidRPr="00731644">
        <w:rPr>
          <w:lang w:val="fr-CH"/>
        </w:rPr>
        <w:t>’</w:t>
      </w:r>
      <w:r w:rsidR="00B21E0D" w:rsidRPr="00731644">
        <w:rPr>
          <w:lang w:val="fr-CH"/>
        </w:rPr>
        <w:t xml:space="preserve">exposer aux </w:t>
      </w:r>
      <w:r w:rsidR="00D3106C" w:rsidRPr="00731644">
        <w:rPr>
          <w:lang w:val="fr-CH"/>
        </w:rPr>
        <w:t>personnels administratifs</w:t>
      </w:r>
      <w:r w:rsidR="00B21E0D" w:rsidRPr="00731644">
        <w:rPr>
          <w:lang w:val="fr-CH"/>
        </w:rPr>
        <w:t xml:space="preserve"> toutes les normes pertinentes du droit international des droits de l</w:t>
      </w:r>
      <w:r w:rsidR="00425386" w:rsidRPr="00731644">
        <w:rPr>
          <w:lang w:val="fr-CH"/>
        </w:rPr>
        <w:t>’</w:t>
      </w:r>
      <w:r w:rsidR="00B21E0D" w:rsidRPr="00731644">
        <w:rPr>
          <w:lang w:val="fr-CH"/>
        </w:rPr>
        <w:t>homme.</w:t>
      </w:r>
      <w:r w:rsidR="006443F6" w:rsidRPr="00731644">
        <w:rPr>
          <w:lang w:val="fr-CH"/>
        </w:rPr>
        <w:t xml:space="preserve"> </w:t>
      </w:r>
    </w:p>
    <w:p w:rsidR="007A774E" w:rsidRPr="00731644" w:rsidRDefault="00BC4FF5" w:rsidP="007A774E">
      <w:pPr>
        <w:pStyle w:val="SingleTxtG"/>
        <w:rPr>
          <w:lang w:val="fr-CH"/>
        </w:rPr>
      </w:pPr>
      <w:r w:rsidRPr="00731644">
        <w:rPr>
          <w:lang w:val="fr-CH"/>
        </w:rPr>
        <w:t>58.</w:t>
      </w:r>
      <w:r w:rsidRPr="00731644">
        <w:rPr>
          <w:lang w:val="fr-CH"/>
        </w:rPr>
        <w:tab/>
      </w:r>
      <w:r w:rsidR="00B21E0D" w:rsidRPr="00731644">
        <w:rPr>
          <w:lang w:val="fr-CH"/>
        </w:rPr>
        <w:t>Le C</w:t>
      </w:r>
      <w:r w:rsidR="007A774E" w:rsidRPr="00731644">
        <w:rPr>
          <w:lang w:val="fr-CH"/>
        </w:rPr>
        <w:t xml:space="preserve">entre </w:t>
      </w:r>
      <w:r w:rsidR="00B21E0D" w:rsidRPr="00731644">
        <w:rPr>
          <w:lang w:val="fr-CH"/>
        </w:rPr>
        <w:t xml:space="preserve">de formation judiciaire assure également le perfectionnement continu de la magistrature. </w:t>
      </w:r>
      <w:r w:rsidR="00FF7AE3" w:rsidRPr="00731644">
        <w:rPr>
          <w:lang w:val="fr-CH"/>
        </w:rPr>
        <w:t xml:space="preserve">En </w:t>
      </w:r>
      <w:r w:rsidR="007A774E" w:rsidRPr="00731644">
        <w:rPr>
          <w:lang w:val="fr-CH"/>
        </w:rPr>
        <w:t>2010</w:t>
      </w:r>
      <w:r w:rsidR="00D3106C" w:rsidRPr="00731644">
        <w:rPr>
          <w:lang w:val="fr-CH"/>
        </w:rPr>
        <w:t>,</w:t>
      </w:r>
      <w:r w:rsidR="007A774E" w:rsidRPr="00731644">
        <w:rPr>
          <w:lang w:val="fr-CH"/>
        </w:rPr>
        <w:t xml:space="preserve"> </w:t>
      </w:r>
      <w:r w:rsidR="00FF7AE3" w:rsidRPr="00731644">
        <w:rPr>
          <w:lang w:val="fr-CH"/>
        </w:rPr>
        <w:t xml:space="preserve">il a organisé plusieurs séminaires </w:t>
      </w:r>
      <w:r w:rsidR="00A375FF" w:rsidRPr="00731644">
        <w:rPr>
          <w:lang w:val="fr-CH"/>
        </w:rPr>
        <w:t>destinés à mieux familiariser les</w:t>
      </w:r>
      <w:r w:rsidR="00FF7AE3" w:rsidRPr="00731644">
        <w:rPr>
          <w:lang w:val="fr-CH"/>
        </w:rPr>
        <w:t xml:space="preserve"> juges et </w:t>
      </w:r>
      <w:r w:rsidR="00A375FF" w:rsidRPr="00731644">
        <w:rPr>
          <w:lang w:val="fr-CH"/>
        </w:rPr>
        <w:t>les</w:t>
      </w:r>
      <w:r w:rsidR="004F2819" w:rsidRPr="00731644">
        <w:rPr>
          <w:lang w:val="fr-CH"/>
        </w:rPr>
        <w:t xml:space="preserve"> </w:t>
      </w:r>
      <w:r w:rsidR="00A375FF" w:rsidRPr="00731644">
        <w:rPr>
          <w:lang w:val="fr-CH"/>
        </w:rPr>
        <w:t>procureurs avec les</w:t>
      </w:r>
      <w:r w:rsidR="00FF7AE3" w:rsidRPr="00731644">
        <w:rPr>
          <w:lang w:val="fr-CH"/>
        </w:rPr>
        <w:t xml:space="preserve"> normes juridiques internationales, </w:t>
      </w:r>
      <w:r w:rsidR="004F2819" w:rsidRPr="00731644">
        <w:rPr>
          <w:lang w:val="fr-CH"/>
        </w:rPr>
        <w:t>et</w:t>
      </w:r>
      <w:r w:rsidR="00FF7AE3" w:rsidRPr="00731644">
        <w:rPr>
          <w:lang w:val="fr-CH"/>
        </w:rPr>
        <w:t xml:space="preserve"> deux réunions </w:t>
      </w:r>
      <w:r w:rsidR="00A375FF" w:rsidRPr="00731644">
        <w:rPr>
          <w:lang w:val="fr-CH"/>
        </w:rPr>
        <w:t xml:space="preserve">au cours desquelles des </w:t>
      </w:r>
      <w:r w:rsidR="00FF7AE3" w:rsidRPr="00731644">
        <w:rPr>
          <w:lang w:val="fr-CH"/>
        </w:rPr>
        <w:t xml:space="preserve">experts </w:t>
      </w:r>
      <w:r w:rsidR="00A375FF" w:rsidRPr="00731644">
        <w:rPr>
          <w:lang w:val="fr-CH"/>
        </w:rPr>
        <w:t>ont analysé</w:t>
      </w:r>
      <w:r w:rsidR="00FF7AE3" w:rsidRPr="00731644">
        <w:rPr>
          <w:lang w:val="fr-CH"/>
        </w:rPr>
        <w:t xml:space="preserve"> </w:t>
      </w:r>
      <w:r w:rsidR="002362B5" w:rsidRPr="00731644">
        <w:rPr>
          <w:lang w:val="fr-CH"/>
        </w:rPr>
        <w:t xml:space="preserve">dans le détail </w:t>
      </w:r>
      <w:r w:rsidR="00FF7AE3" w:rsidRPr="00731644">
        <w:rPr>
          <w:lang w:val="fr-CH"/>
        </w:rPr>
        <w:t>le contenu et les objectifs de la nouvelle</w:t>
      </w:r>
      <w:r w:rsidR="00FF7AE3" w:rsidRPr="005E7B4F">
        <w:rPr>
          <w:lang w:val="fr-CH"/>
        </w:rPr>
        <w:t xml:space="preserve"> loi relative à la protection contre la discrimination.</w:t>
      </w:r>
      <w:r w:rsidR="007A774E" w:rsidRPr="00731644">
        <w:rPr>
          <w:lang w:val="fr-CH"/>
        </w:rPr>
        <w:t xml:space="preserve"> </w:t>
      </w:r>
      <w:r w:rsidR="00FF7AE3" w:rsidRPr="00731644">
        <w:rPr>
          <w:lang w:val="fr-CH"/>
        </w:rPr>
        <w:t xml:space="preserve">Pendant la formation préalable qui leur est systématiquement dispensée, les </w:t>
      </w:r>
      <w:r w:rsidR="00A375FF" w:rsidRPr="00731644">
        <w:rPr>
          <w:lang w:val="fr-CH"/>
        </w:rPr>
        <w:t>futurs juges</w:t>
      </w:r>
      <w:r w:rsidR="00FF7AE3" w:rsidRPr="00731644">
        <w:rPr>
          <w:lang w:val="fr-CH"/>
        </w:rPr>
        <w:t xml:space="preserve"> </w:t>
      </w:r>
      <w:r w:rsidR="002362B5" w:rsidRPr="00731644">
        <w:rPr>
          <w:lang w:val="fr-CH"/>
        </w:rPr>
        <w:t>étudient de manière</w:t>
      </w:r>
      <w:r w:rsidR="00FF7AE3" w:rsidRPr="00731644">
        <w:rPr>
          <w:lang w:val="fr-CH"/>
        </w:rPr>
        <w:t xml:space="preserve"> approfondie le système des droits de l</w:t>
      </w:r>
      <w:r w:rsidR="00425386" w:rsidRPr="00731644">
        <w:rPr>
          <w:lang w:val="fr-CH"/>
        </w:rPr>
        <w:t>’</w:t>
      </w:r>
      <w:r w:rsidR="00FF7AE3" w:rsidRPr="00731644">
        <w:rPr>
          <w:lang w:val="fr-CH"/>
        </w:rPr>
        <w:t xml:space="preserve">homme et des libertés, le contenu de tous les traités </w:t>
      </w:r>
      <w:r w:rsidR="00A66512" w:rsidRPr="00731644">
        <w:rPr>
          <w:lang w:val="fr-CH"/>
        </w:rPr>
        <w:t>internationaux</w:t>
      </w:r>
      <w:r w:rsidR="00FF7AE3" w:rsidRPr="00731644">
        <w:rPr>
          <w:lang w:val="fr-CH"/>
        </w:rPr>
        <w:t xml:space="preserve"> et les pratiques des organes de contrôle, et en particulier de la Cour européenne des droits de l</w:t>
      </w:r>
      <w:r w:rsidR="00425386" w:rsidRPr="00731644">
        <w:rPr>
          <w:lang w:val="fr-CH"/>
        </w:rPr>
        <w:t>’</w:t>
      </w:r>
      <w:r w:rsidR="00FF7AE3" w:rsidRPr="00731644">
        <w:rPr>
          <w:lang w:val="fr-CH"/>
        </w:rPr>
        <w:t>homme.</w:t>
      </w:r>
      <w:r w:rsidR="00F31DD5" w:rsidRPr="00731644">
        <w:rPr>
          <w:lang w:val="fr-CH"/>
        </w:rPr>
        <w:t xml:space="preserve"> </w:t>
      </w:r>
    </w:p>
    <w:p w:rsidR="007A774E" w:rsidRPr="00731644" w:rsidRDefault="00BA71E4" w:rsidP="007A774E">
      <w:pPr>
        <w:pStyle w:val="SingleTxtG"/>
        <w:rPr>
          <w:lang w:val="fr-CH"/>
        </w:rPr>
      </w:pPr>
      <w:r w:rsidRPr="00731644">
        <w:rPr>
          <w:lang w:val="fr-CH"/>
        </w:rPr>
        <w:t>59.</w:t>
      </w:r>
      <w:r w:rsidRPr="00731644">
        <w:rPr>
          <w:lang w:val="fr-CH"/>
        </w:rPr>
        <w:tab/>
      </w:r>
      <w:r w:rsidR="003472F0" w:rsidRPr="00731644">
        <w:rPr>
          <w:lang w:val="fr-CH"/>
        </w:rPr>
        <w:t>Les droits de l</w:t>
      </w:r>
      <w:r w:rsidR="00425386" w:rsidRPr="00731644">
        <w:rPr>
          <w:lang w:val="fr-CH"/>
        </w:rPr>
        <w:t>’</w:t>
      </w:r>
      <w:r w:rsidR="003472F0" w:rsidRPr="00731644">
        <w:rPr>
          <w:lang w:val="fr-CH"/>
        </w:rPr>
        <w:t xml:space="preserve">homme et les libertés sont une </w:t>
      </w:r>
      <w:r w:rsidR="00B82C2E" w:rsidRPr="00731644">
        <w:rPr>
          <w:lang w:val="fr-CH"/>
        </w:rPr>
        <w:t xml:space="preserve">des matières </w:t>
      </w:r>
      <w:r w:rsidR="002362B5" w:rsidRPr="00731644">
        <w:rPr>
          <w:lang w:val="fr-CH"/>
        </w:rPr>
        <w:t>inscrites au</w:t>
      </w:r>
      <w:r w:rsidR="00F31DD5" w:rsidRPr="00731644">
        <w:rPr>
          <w:lang w:val="fr-CH"/>
        </w:rPr>
        <w:t xml:space="preserve"> </w:t>
      </w:r>
      <w:r w:rsidR="00A66512" w:rsidRPr="00731644">
        <w:rPr>
          <w:lang w:val="fr-CH"/>
        </w:rPr>
        <w:t>programme</w:t>
      </w:r>
      <w:r w:rsidR="00FF7AE3" w:rsidRPr="00731644">
        <w:rPr>
          <w:lang w:val="fr-CH"/>
        </w:rPr>
        <w:t xml:space="preserve"> de formation que suivent les fonctionnaires de la Direction de la police</w:t>
      </w:r>
      <w:r w:rsidR="005D3C62" w:rsidRPr="00731644">
        <w:rPr>
          <w:lang w:val="fr-CH"/>
        </w:rPr>
        <w:t>, d</w:t>
      </w:r>
      <w:r w:rsidR="00425386" w:rsidRPr="00731644">
        <w:rPr>
          <w:lang w:val="fr-CH"/>
        </w:rPr>
        <w:t>’</w:t>
      </w:r>
      <w:r w:rsidR="005D3C62" w:rsidRPr="00731644">
        <w:rPr>
          <w:lang w:val="fr-CH"/>
        </w:rPr>
        <w:t>une part, et les élèves de</w:t>
      </w:r>
      <w:r w:rsidR="00B82C2E" w:rsidRPr="00731644">
        <w:rPr>
          <w:lang w:val="fr-CH"/>
        </w:rPr>
        <w:t xml:space="preserve"> l</w:t>
      </w:r>
      <w:r w:rsidR="00425386" w:rsidRPr="00731644">
        <w:rPr>
          <w:lang w:val="fr-CH"/>
        </w:rPr>
        <w:t>’</w:t>
      </w:r>
      <w:r w:rsidR="00B82C2E" w:rsidRPr="00731644">
        <w:rPr>
          <w:lang w:val="fr-CH"/>
        </w:rPr>
        <w:t>École de police</w:t>
      </w:r>
      <w:r w:rsidR="005D3C62" w:rsidRPr="00731644">
        <w:rPr>
          <w:lang w:val="fr-CH"/>
        </w:rPr>
        <w:t>, d</w:t>
      </w:r>
      <w:r w:rsidR="00425386" w:rsidRPr="00731644">
        <w:rPr>
          <w:lang w:val="fr-CH"/>
        </w:rPr>
        <w:t>’</w:t>
      </w:r>
      <w:r w:rsidR="005D3C62" w:rsidRPr="00731644">
        <w:rPr>
          <w:lang w:val="fr-CH"/>
        </w:rPr>
        <w:t>autre p</w:t>
      </w:r>
      <w:r w:rsidR="00F31DD5" w:rsidRPr="00731644">
        <w:rPr>
          <w:lang w:val="fr-CH"/>
        </w:rPr>
        <w:t xml:space="preserve">art. </w:t>
      </w:r>
      <w:r w:rsidR="00B82C2E" w:rsidRPr="00731644">
        <w:rPr>
          <w:lang w:val="fr-CH"/>
        </w:rPr>
        <w:t xml:space="preserve">Les </w:t>
      </w:r>
      <w:r w:rsidR="005D3C62" w:rsidRPr="00731644">
        <w:rPr>
          <w:lang w:val="fr-CH"/>
        </w:rPr>
        <w:t>participant</w:t>
      </w:r>
      <w:r w:rsidR="00B82C2E" w:rsidRPr="00731644">
        <w:rPr>
          <w:lang w:val="fr-CH"/>
        </w:rPr>
        <w:t xml:space="preserve">s sont également </w:t>
      </w:r>
      <w:r w:rsidR="005D3C62" w:rsidRPr="00731644">
        <w:rPr>
          <w:lang w:val="fr-CH"/>
        </w:rPr>
        <w:t>familiarisé</w:t>
      </w:r>
      <w:r w:rsidR="00B82C2E" w:rsidRPr="00731644">
        <w:rPr>
          <w:lang w:val="fr-CH"/>
        </w:rPr>
        <w:t>s, dans le cadre d</w:t>
      </w:r>
      <w:r w:rsidR="00425386" w:rsidRPr="00731644">
        <w:rPr>
          <w:lang w:val="fr-CH"/>
        </w:rPr>
        <w:t>’</w:t>
      </w:r>
      <w:r w:rsidR="00B82C2E" w:rsidRPr="00731644">
        <w:rPr>
          <w:lang w:val="fr-CH"/>
        </w:rPr>
        <w:t xml:space="preserve">un programme éducatif spécial, </w:t>
      </w:r>
      <w:r w:rsidR="005D3C62" w:rsidRPr="00731644">
        <w:rPr>
          <w:lang w:val="fr-CH"/>
        </w:rPr>
        <w:t>avec</w:t>
      </w:r>
      <w:r w:rsidR="003472F0" w:rsidRPr="00731644">
        <w:rPr>
          <w:lang w:val="fr-CH"/>
        </w:rPr>
        <w:t xml:space="preserve"> les principes fondamentaux du droit de l</w:t>
      </w:r>
      <w:r w:rsidR="00425386" w:rsidRPr="00731644">
        <w:rPr>
          <w:lang w:val="fr-CH"/>
        </w:rPr>
        <w:t>’</w:t>
      </w:r>
      <w:r w:rsidR="003472F0" w:rsidRPr="00731644">
        <w:rPr>
          <w:lang w:val="fr-CH"/>
        </w:rPr>
        <w:t>Union européenne, y compris ceux qui ont trait aux droits de l</w:t>
      </w:r>
      <w:r w:rsidR="00425386" w:rsidRPr="00731644">
        <w:rPr>
          <w:lang w:val="fr-CH"/>
        </w:rPr>
        <w:t>’</w:t>
      </w:r>
      <w:r w:rsidR="003472F0" w:rsidRPr="00731644">
        <w:rPr>
          <w:lang w:val="fr-CH"/>
        </w:rPr>
        <w:t>homme et aux libertés.</w:t>
      </w:r>
      <w:r w:rsidR="00F31DD5" w:rsidRPr="00731644">
        <w:rPr>
          <w:lang w:val="fr-CH"/>
        </w:rPr>
        <w:t xml:space="preserve"> </w:t>
      </w:r>
    </w:p>
    <w:p w:rsidR="007A774E" w:rsidRPr="00731644" w:rsidRDefault="00BA71E4" w:rsidP="00D123BB">
      <w:pPr>
        <w:pStyle w:val="SingleTxtG"/>
        <w:rPr>
          <w:lang w:val="fr-CH"/>
        </w:rPr>
      </w:pPr>
      <w:r w:rsidRPr="00731644">
        <w:rPr>
          <w:lang w:val="fr-CH"/>
        </w:rPr>
        <w:t>60.</w:t>
      </w:r>
      <w:r w:rsidRPr="00731644">
        <w:rPr>
          <w:lang w:val="fr-CH"/>
        </w:rPr>
        <w:tab/>
      </w:r>
      <w:r w:rsidR="005D3C62" w:rsidRPr="00731644">
        <w:rPr>
          <w:lang w:val="fr-CH"/>
        </w:rPr>
        <w:t>Il est d</w:t>
      </w:r>
      <w:r w:rsidR="00425386" w:rsidRPr="00731644">
        <w:rPr>
          <w:lang w:val="fr-CH"/>
        </w:rPr>
        <w:t>’</w:t>
      </w:r>
      <w:r w:rsidR="005D3C62" w:rsidRPr="00731644">
        <w:rPr>
          <w:lang w:val="fr-CH"/>
        </w:rPr>
        <w:t>usage que, l</w:t>
      </w:r>
      <w:r w:rsidR="003472F0" w:rsidRPr="00731644">
        <w:rPr>
          <w:lang w:val="fr-CH"/>
        </w:rPr>
        <w:t>ors de la préparation et de l</w:t>
      </w:r>
      <w:r w:rsidR="00425386" w:rsidRPr="00731644">
        <w:rPr>
          <w:lang w:val="fr-CH"/>
        </w:rPr>
        <w:t>’</w:t>
      </w:r>
      <w:r w:rsidR="003472F0" w:rsidRPr="00731644">
        <w:rPr>
          <w:lang w:val="fr-CH"/>
        </w:rPr>
        <w:t>élaboration des textes législatifs, les autorités coopèrent avec des représentants de la société civi</w:t>
      </w:r>
      <w:r w:rsidR="005D3C62" w:rsidRPr="00731644">
        <w:rPr>
          <w:lang w:val="fr-CH"/>
        </w:rPr>
        <w:t>le</w:t>
      </w:r>
      <w:r w:rsidR="00F31DD5" w:rsidRPr="00731644">
        <w:rPr>
          <w:lang w:val="fr-CH"/>
        </w:rPr>
        <w:t>;</w:t>
      </w:r>
      <w:r w:rsidR="005D3C62" w:rsidRPr="00731644">
        <w:rPr>
          <w:lang w:val="fr-CH"/>
        </w:rPr>
        <w:t xml:space="preserve"> les ques</w:t>
      </w:r>
      <w:r w:rsidR="003472F0" w:rsidRPr="00731644">
        <w:rPr>
          <w:lang w:val="fr-CH"/>
        </w:rPr>
        <w:t>tions que soulèvent l</w:t>
      </w:r>
      <w:r w:rsidR="00425386" w:rsidRPr="00731644">
        <w:rPr>
          <w:lang w:val="fr-CH"/>
        </w:rPr>
        <w:t>’</w:t>
      </w:r>
      <w:r w:rsidR="003472F0" w:rsidRPr="00731644">
        <w:rPr>
          <w:lang w:val="fr-CH"/>
        </w:rPr>
        <w:t xml:space="preserve">adoption et la mise en œuvre de ces textes sont </w:t>
      </w:r>
      <w:r w:rsidR="005D3C62" w:rsidRPr="00731644">
        <w:rPr>
          <w:lang w:val="fr-CH"/>
        </w:rPr>
        <w:t xml:space="preserve">alors </w:t>
      </w:r>
      <w:r w:rsidR="003472F0" w:rsidRPr="00731644">
        <w:rPr>
          <w:lang w:val="fr-CH"/>
        </w:rPr>
        <w:t xml:space="preserve">examinées de manière approfondie </w:t>
      </w:r>
      <w:r w:rsidR="005D3C62" w:rsidRPr="00731644">
        <w:rPr>
          <w:lang w:val="fr-CH"/>
        </w:rPr>
        <w:t>par des spécialistes</w:t>
      </w:r>
      <w:r w:rsidR="003472F0" w:rsidRPr="00731644">
        <w:rPr>
          <w:lang w:val="fr-CH"/>
        </w:rPr>
        <w:t>. C</w:t>
      </w:r>
      <w:r w:rsidR="00425386" w:rsidRPr="00731644">
        <w:rPr>
          <w:lang w:val="fr-CH"/>
        </w:rPr>
        <w:t>’</w:t>
      </w:r>
      <w:r w:rsidR="003472F0" w:rsidRPr="00731644">
        <w:rPr>
          <w:lang w:val="fr-CH"/>
        </w:rPr>
        <w:t>est de ces échanges de vues</w:t>
      </w:r>
      <w:r w:rsidR="00F31DD5" w:rsidRPr="00731644">
        <w:rPr>
          <w:lang w:val="fr-CH"/>
        </w:rPr>
        <w:t xml:space="preserve"> </w:t>
      </w:r>
      <w:r w:rsidR="005D3C62" w:rsidRPr="00731644">
        <w:rPr>
          <w:lang w:val="fr-CH"/>
        </w:rPr>
        <w:t xml:space="preserve">que sont </w:t>
      </w:r>
      <w:r w:rsidR="003C4006" w:rsidRPr="00731644">
        <w:rPr>
          <w:lang w:val="fr-CH"/>
        </w:rPr>
        <w:t>né</w:t>
      </w:r>
      <w:r w:rsidR="005D3C62" w:rsidRPr="00731644">
        <w:rPr>
          <w:lang w:val="fr-CH"/>
        </w:rPr>
        <w:t>s</w:t>
      </w:r>
      <w:r w:rsidR="003472F0" w:rsidRPr="00731644">
        <w:rPr>
          <w:lang w:val="fr-CH"/>
        </w:rPr>
        <w:t xml:space="preserve"> un </w:t>
      </w:r>
      <w:r w:rsidR="005D3C62" w:rsidRPr="00731644">
        <w:rPr>
          <w:lang w:val="fr-CH"/>
        </w:rPr>
        <w:t>c</w:t>
      </w:r>
      <w:r w:rsidR="003472F0" w:rsidRPr="00731644">
        <w:rPr>
          <w:lang w:val="fr-CH"/>
        </w:rPr>
        <w:t xml:space="preserve">ertain nombre </w:t>
      </w:r>
      <w:r w:rsidR="005D3C62" w:rsidRPr="00731644">
        <w:rPr>
          <w:lang w:val="fr-CH"/>
        </w:rPr>
        <w:t>d</w:t>
      </w:r>
      <w:r w:rsidR="00425386" w:rsidRPr="00731644">
        <w:rPr>
          <w:lang w:val="fr-CH"/>
        </w:rPr>
        <w:t>’</w:t>
      </w:r>
      <w:r w:rsidR="005D3C62" w:rsidRPr="00731644">
        <w:rPr>
          <w:lang w:val="fr-CH"/>
        </w:rPr>
        <w:t>amendements ou de propositions de loi</w:t>
      </w:r>
      <w:r w:rsidR="003472F0" w:rsidRPr="00731644">
        <w:rPr>
          <w:lang w:val="fr-CH"/>
        </w:rPr>
        <w:t xml:space="preserve">, y compris la </w:t>
      </w:r>
      <w:r w:rsidR="003472F0" w:rsidRPr="005E7B4F">
        <w:rPr>
          <w:iCs/>
          <w:lang w:val="fr-CH"/>
        </w:rPr>
        <w:t>loi relative à l</w:t>
      </w:r>
      <w:r w:rsidR="00425386" w:rsidRPr="005E7B4F">
        <w:rPr>
          <w:iCs/>
          <w:lang w:val="fr-CH"/>
        </w:rPr>
        <w:t>’</w:t>
      </w:r>
      <w:r w:rsidR="003472F0" w:rsidRPr="005E7B4F">
        <w:rPr>
          <w:iCs/>
          <w:lang w:val="fr-CH"/>
        </w:rPr>
        <w:t>interdiction de la discrimination</w:t>
      </w:r>
      <w:r w:rsidR="003472F0" w:rsidRPr="00731644">
        <w:rPr>
          <w:lang w:val="fr-CH"/>
        </w:rPr>
        <w:t xml:space="preserve">. </w:t>
      </w:r>
      <w:r w:rsidR="00394E0B" w:rsidRPr="00731644">
        <w:rPr>
          <w:lang w:val="fr-CH"/>
        </w:rPr>
        <w:t>Dans ce cas précis, l</w:t>
      </w:r>
      <w:r w:rsidR="00425386" w:rsidRPr="00731644">
        <w:rPr>
          <w:lang w:val="fr-CH"/>
        </w:rPr>
        <w:t>’</w:t>
      </w:r>
      <w:r w:rsidR="00394E0B" w:rsidRPr="00731644">
        <w:rPr>
          <w:lang w:val="fr-CH"/>
        </w:rPr>
        <w:t>expérience acquise par d</w:t>
      </w:r>
      <w:r w:rsidR="00425386" w:rsidRPr="00731644">
        <w:rPr>
          <w:lang w:val="fr-CH"/>
        </w:rPr>
        <w:t>’</w:t>
      </w:r>
      <w:r w:rsidR="00394E0B" w:rsidRPr="00731644">
        <w:rPr>
          <w:lang w:val="fr-CH"/>
        </w:rPr>
        <w:t>autres pays et les recommandations d</w:t>
      </w:r>
      <w:r w:rsidR="00425386" w:rsidRPr="00731644">
        <w:rPr>
          <w:lang w:val="fr-CH"/>
        </w:rPr>
        <w:t>’</w:t>
      </w:r>
      <w:r w:rsidR="00394E0B" w:rsidRPr="00731644">
        <w:rPr>
          <w:lang w:val="fr-CH"/>
        </w:rPr>
        <w:t xml:space="preserve">organismes internationaux </w:t>
      </w:r>
      <w:r w:rsidR="007A774E" w:rsidRPr="00731644">
        <w:rPr>
          <w:lang w:val="fr-CH"/>
        </w:rPr>
        <w:t>(</w:t>
      </w:r>
      <w:r w:rsidR="00394E0B" w:rsidRPr="00731644">
        <w:rPr>
          <w:lang w:val="fr-CH"/>
        </w:rPr>
        <w:t xml:space="preserve">les </w:t>
      </w:r>
      <w:r w:rsidR="00A66512" w:rsidRPr="00731644">
        <w:rPr>
          <w:lang w:val="fr-CH"/>
        </w:rPr>
        <w:t>recommandations</w:t>
      </w:r>
      <w:r w:rsidR="007A774E" w:rsidRPr="00731644">
        <w:rPr>
          <w:lang w:val="fr-CH"/>
        </w:rPr>
        <w:t xml:space="preserve"> </w:t>
      </w:r>
      <w:r w:rsidR="00394E0B" w:rsidRPr="00731644">
        <w:rPr>
          <w:lang w:val="fr-CH"/>
        </w:rPr>
        <w:t>générales</w:t>
      </w:r>
      <w:r w:rsidR="00F31DD5" w:rsidRPr="00731644">
        <w:rPr>
          <w:lang w:val="fr-CH"/>
        </w:rPr>
        <w:t xml:space="preserve"> </w:t>
      </w:r>
      <w:r w:rsidR="00394E0B" w:rsidRPr="00731644">
        <w:rPr>
          <w:lang w:val="fr-CH"/>
        </w:rPr>
        <w:t>du Comité pour l</w:t>
      </w:r>
      <w:r w:rsidR="00425386" w:rsidRPr="00731644">
        <w:rPr>
          <w:lang w:val="fr-CH"/>
        </w:rPr>
        <w:t>’</w:t>
      </w:r>
      <w:r w:rsidR="00394E0B" w:rsidRPr="00731644">
        <w:rPr>
          <w:lang w:val="fr-CH"/>
        </w:rPr>
        <w:t xml:space="preserve">élimination de la discrimination raciale, la recommandation </w:t>
      </w:r>
      <w:r w:rsidR="00A03AC0" w:rsidRPr="00731644">
        <w:rPr>
          <w:lang w:val="fr-CH"/>
        </w:rPr>
        <w:t xml:space="preserve">de politique générale </w:t>
      </w:r>
      <w:r w:rsidR="005072A0">
        <w:rPr>
          <w:lang w:val="fr-CH"/>
        </w:rPr>
        <w:t>n</w:t>
      </w:r>
      <w:r w:rsidR="005072A0" w:rsidRPr="005072A0">
        <w:rPr>
          <w:vertAlign w:val="superscript"/>
          <w:lang w:val="fr-CH"/>
        </w:rPr>
        <w:t>o</w:t>
      </w:r>
      <w:r w:rsidR="005072A0">
        <w:rPr>
          <w:lang w:val="fr-CH"/>
        </w:rPr>
        <w:t> </w:t>
      </w:r>
      <w:r w:rsidR="00394E0B" w:rsidRPr="00731644">
        <w:rPr>
          <w:lang w:val="fr-CH"/>
        </w:rPr>
        <w:t xml:space="preserve">7 </w:t>
      </w:r>
      <w:r w:rsidR="00A03AC0" w:rsidRPr="00731644">
        <w:rPr>
          <w:lang w:val="fr-CH"/>
        </w:rPr>
        <w:t>de la</w:t>
      </w:r>
      <w:r w:rsidR="007A774E" w:rsidRPr="00731644">
        <w:rPr>
          <w:lang w:val="fr-CH"/>
        </w:rPr>
        <w:t xml:space="preserve"> Commission </w:t>
      </w:r>
      <w:r w:rsidR="00A03AC0" w:rsidRPr="00731644">
        <w:rPr>
          <w:lang w:val="fr-CH"/>
        </w:rPr>
        <w:t>européenne contre le racisme et l</w:t>
      </w:r>
      <w:r w:rsidR="00425386" w:rsidRPr="00731644">
        <w:rPr>
          <w:lang w:val="fr-CH"/>
        </w:rPr>
        <w:t>’</w:t>
      </w:r>
      <w:r w:rsidR="00A03AC0" w:rsidRPr="00731644">
        <w:rPr>
          <w:lang w:val="fr-CH"/>
        </w:rPr>
        <w:t>intolérance</w:t>
      </w:r>
      <w:r w:rsidR="00063F55" w:rsidRPr="00731644">
        <w:rPr>
          <w:lang w:val="fr-CH"/>
        </w:rPr>
        <w:t>,</w:t>
      </w:r>
      <w:r w:rsidR="007A774E" w:rsidRPr="00731644">
        <w:rPr>
          <w:lang w:val="fr-CH"/>
        </w:rPr>
        <w:t xml:space="preserve"> </w:t>
      </w:r>
      <w:r w:rsidR="00A03AC0" w:rsidRPr="00731644">
        <w:rPr>
          <w:lang w:val="fr-CH"/>
        </w:rPr>
        <w:t>et les directives anti-discrimination de l</w:t>
      </w:r>
      <w:r w:rsidR="00425386" w:rsidRPr="00731644">
        <w:rPr>
          <w:lang w:val="fr-CH"/>
        </w:rPr>
        <w:t>’</w:t>
      </w:r>
      <w:r w:rsidR="00A03AC0" w:rsidRPr="00731644">
        <w:rPr>
          <w:lang w:val="fr-CH"/>
        </w:rPr>
        <w:t>Union européenne</w:t>
      </w:r>
      <w:r w:rsidR="007A774E" w:rsidRPr="00731644">
        <w:rPr>
          <w:lang w:val="fr-CH"/>
        </w:rPr>
        <w:t>)</w:t>
      </w:r>
      <w:r w:rsidR="00D123BB" w:rsidRPr="00731644">
        <w:rPr>
          <w:lang w:val="fr-CH"/>
        </w:rPr>
        <w:t xml:space="preserve"> </w:t>
      </w:r>
      <w:r w:rsidR="00394E0B" w:rsidRPr="00731644">
        <w:rPr>
          <w:lang w:val="fr-CH"/>
        </w:rPr>
        <w:t xml:space="preserve">ont été mises à profit. </w:t>
      </w:r>
      <w:r w:rsidR="003C4006" w:rsidRPr="00731644">
        <w:rPr>
          <w:lang w:val="fr-CH"/>
        </w:rPr>
        <w:t>Dans le cadre du</w:t>
      </w:r>
      <w:r w:rsidR="00394E0B" w:rsidRPr="00731644">
        <w:rPr>
          <w:lang w:val="fr-CH"/>
        </w:rPr>
        <w:t xml:space="preserve"> suivi de la mise en œuvre des lois par les pouvoirs publics et </w:t>
      </w:r>
      <w:r w:rsidR="00FE346F" w:rsidRPr="00731644">
        <w:rPr>
          <w:lang w:val="fr-CH"/>
        </w:rPr>
        <w:t xml:space="preserve">par </w:t>
      </w:r>
      <w:r w:rsidR="00394E0B" w:rsidRPr="00731644">
        <w:rPr>
          <w:lang w:val="fr-CH"/>
        </w:rPr>
        <w:t xml:space="preserve">la société civile, </w:t>
      </w:r>
      <w:r w:rsidR="00FE346F" w:rsidRPr="00731644">
        <w:rPr>
          <w:lang w:val="fr-CH"/>
        </w:rPr>
        <w:t xml:space="preserve">il paraît </w:t>
      </w:r>
      <w:r w:rsidR="003C4006" w:rsidRPr="00731644">
        <w:rPr>
          <w:lang w:val="fr-CH"/>
        </w:rPr>
        <w:t>judicieux</w:t>
      </w:r>
      <w:r w:rsidR="00FE346F" w:rsidRPr="00731644">
        <w:rPr>
          <w:lang w:val="fr-CH"/>
        </w:rPr>
        <w:t xml:space="preserve"> de </w:t>
      </w:r>
      <w:r w:rsidR="00394E0B" w:rsidRPr="00731644">
        <w:rPr>
          <w:lang w:val="fr-CH"/>
        </w:rPr>
        <w:t xml:space="preserve">réserver </w:t>
      </w:r>
      <w:r w:rsidR="003C4006" w:rsidRPr="00731644">
        <w:rPr>
          <w:lang w:val="fr-CH"/>
        </w:rPr>
        <w:t>au législateur la</w:t>
      </w:r>
      <w:r w:rsidR="00394E0B" w:rsidRPr="00731644">
        <w:rPr>
          <w:lang w:val="fr-CH"/>
        </w:rPr>
        <w:t xml:space="preserve"> possibilité d</w:t>
      </w:r>
      <w:r w:rsidR="00425386" w:rsidRPr="00731644">
        <w:rPr>
          <w:lang w:val="fr-CH"/>
        </w:rPr>
        <w:t>’</w:t>
      </w:r>
      <w:r w:rsidR="00394E0B" w:rsidRPr="00731644">
        <w:rPr>
          <w:lang w:val="fr-CH"/>
        </w:rPr>
        <w:t>interven</w:t>
      </w:r>
      <w:r w:rsidR="003C4006" w:rsidRPr="00731644">
        <w:rPr>
          <w:lang w:val="fr-CH"/>
        </w:rPr>
        <w:t>ir e</w:t>
      </w:r>
      <w:r w:rsidR="00394E0B" w:rsidRPr="00731644">
        <w:rPr>
          <w:lang w:val="fr-CH"/>
        </w:rPr>
        <w:t>n cas d</w:t>
      </w:r>
      <w:r w:rsidR="00425386" w:rsidRPr="00731644">
        <w:rPr>
          <w:lang w:val="fr-CH"/>
        </w:rPr>
        <w:t>’</w:t>
      </w:r>
      <w:r w:rsidR="00394E0B" w:rsidRPr="00731644">
        <w:rPr>
          <w:lang w:val="fr-CH"/>
        </w:rPr>
        <w:t>anomalie au stade de l</w:t>
      </w:r>
      <w:r w:rsidR="00425386" w:rsidRPr="00731644">
        <w:rPr>
          <w:lang w:val="fr-CH"/>
        </w:rPr>
        <w:t>’</w:t>
      </w:r>
      <w:r w:rsidR="00394E0B" w:rsidRPr="00731644">
        <w:rPr>
          <w:lang w:val="fr-CH"/>
        </w:rPr>
        <w:t xml:space="preserve">application, car </w:t>
      </w:r>
      <w:r w:rsidR="003C4006" w:rsidRPr="00731644">
        <w:rPr>
          <w:lang w:val="fr-CH"/>
        </w:rPr>
        <w:t>le bien-fondé</w:t>
      </w:r>
      <w:r w:rsidR="00FE346F" w:rsidRPr="00731644">
        <w:rPr>
          <w:lang w:val="fr-CH"/>
        </w:rPr>
        <w:t xml:space="preserve"> de c</w:t>
      </w:r>
      <w:r w:rsidR="00394E0B" w:rsidRPr="00731644">
        <w:rPr>
          <w:lang w:val="fr-CH"/>
        </w:rPr>
        <w:t xml:space="preserve">ertaines des solutions </w:t>
      </w:r>
      <w:r w:rsidR="003C4006" w:rsidRPr="00731644">
        <w:rPr>
          <w:lang w:val="fr-CH"/>
        </w:rPr>
        <w:t>adopté</w:t>
      </w:r>
      <w:r w:rsidR="00394E0B" w:rsidRPr="00731644">
        <w:rPr>
          <w:lang w:val="fr-CH"/>
        </w:rPr>
        <w:t xml:space="preserve">es ne peut </w:t>
      </w:r>
      <w:r w:rsidR="00A375FF" w:rsidRPr="00731644">
        <w:rPr>
          <w:lang w:val="fr-CH"/>
        </w:rPr>
        <w:t xml:space="preserve">pas </w:t>
      </w:r>
      <w:r w:rsidR="00394E0B" w:rsidRPr="00731644">
        <w:rPr>
          <w:lang w:val="fr-CH"/>
        </w:rPr>
        <w:t xml:space="preserve">être vérifié </w:t>
      </w:r>
      <w:r w:rsidR="003C4006" w:rsidRPr="00731644">
        <w:rPr>
          <w:lang w:val="fr-CH"/>
        </w:rPr>
        <w:t>t</w:t>
      </w:r>
      <w:r w:rsidR="00FE346F" w:rsidRPr="00731644">
        <w:rPr>
          <w:lang w:val="fr-CH"/>
        </w:rPr>
        <w:t xml:space="preserve">ant que les dispositions </w:t>
      </w:r>
      <w:r w:rsidR="003C4006" w:rsidRPr="00731644">
        <w:rPr>
          <w:lang w:val="fr-CH"/>
        </w:rPr>
        <w:t>n</w:t>
      </w:r>
      <w:r w:rsidR="00425386" w:rsidRPr="00731644">
        <w:rPr>
          <w:lang w:val="fr-CH"/>
        </w:rPr>
        <w:t>’</w:t>
      </w:r>
      <w:r w:rsidR="003C4006" w:rsidRPr="00731644">
        <w:rPr>
          <w:lang w:val="fr-CH"/>
        </w:rPr>
        <w:t>o</w:t>
      </w:r>
      <w:r w:rsidR="00FE346F" w:rsidRPr="00731644">
        <w:rPr>
          <w:lang w:val="fr-CH"/>
        </w:rPr>
        <w:t xml:space="preserve">nt </w:t>
      </w:r>
      <w:r w:rsidR="003C4006" w:rsidRPr="00731644">
        <w:rPr>
          <w:lang w:val="fr-CH"/>
        </w:rPr>
        <w:t xml:space="preserve">pas </w:t>
      </w:r>
      <w:r w:rsidR="00FE346F" w:rsidRPr="00731644">
        <w:rPr>
          <w:lang w:val="fr-CH"/>
        </w:rPr>
        <w:t xml:space="preserve">été pleinement mises en œuvre et, en particulier, </w:t>
      </w:r>
      <w:r w:rsidR="003C4006" w:rsidRPr="00731644">
        <w:rPr>
          <w:lang w:val="fr-CH"/>
        </w:rPr>
        <w:t>tant qu</w:t>
      </w:r>
      <w:r w:rsidR="00425386" w:rsidRPr="00731644">
        <w:rPr>
          <w:lang w:val="fr-CH"/>
        </w:rPr>
        <w:t>’</w:t>
      </w:r>
      <w:r w:rsidR="001602B9" w:rsidRPr="00731644">
        <w:rPr>
          <w:lang w:val="fr-CH"/>
        </w:rPr>
        <w:t>il n</w:t>
      </w:r>
      <w:r w:rsidR="00425386" w:rsidRPr="00731644">
        <w:rPr>
          <w:lang w:val="fr-CH"/>
        </w:rPr>
        <w:t>’</w:t>
      </w:r>
      <w:r w:rsidR="001602B9" w:rsidRPr="00731644">
        <w:rPr>
          <w:lang w:val="fr-CH"/>
        </w:rPr>
        <w:t xml:space="preserve">y a pas eu </w:t>
      </w:r>
      <w:r w:rsidR="00FE346F" w:rsidRPr="00731644">
        <w:rPr>
          <w:lang w:val="fr-CH"/>
        </w:rPr>
        <w:t>un certain nombre d</w:t>
      </w:r>
      <w:r w:rsidR="00425386" w:rsidRPr="00731644">
        <w:rPr>
          <w:lang w:val="fr-CH"/>
        </w:rPr>
        <w:t>’</w:t>
      </w:r>
      <w:r w:rsidR="00FE346F" w:rsidRPr="00731644">
        <w:rPr>
          <w:lang w:val="fr-CH"/>
        </w:rPr>
        <w:t xml:space="preserve">actions judiciaires, </w:t>
      </w:r>
      <w:r w:rsidR="001602B9" w:rsidRPr="00731644">
        <w:rPr>
          <w:lang w:val="fr-CH"/>
        </w:rPr>
        <w:t>celles-ci</w:t>
      </w:r>
      <w:r w:rsidR="00FE346F" w:rsidRPr="00731644">
        <w:rPr>
          <w:lang w:val="fr-CH"/>
        </w:rPr>
        <w:t xml:space="preserve"> constitu</w:t>
      </w:r>
      <w:r w:rsidR="001602B9" w:rsidRPr="00731644">
        <w:rPr>
          <w:lang w:val="fr-CH"/>
        </w:rPr>
        <w:t>a</w:t>
      </w:r>
      <w:r w:rsidR="00FE346F" w:rsidRPr="00731644">
        <w:rPr>
          <w:lang w:val="fr-CH"/>
        </w:rPr>
        <w:t>nt le mode de protection le plus efficace.</w:t>
      </w:r>
    </w:p>
    <w:p w:rsidR="007A774E" w:rsidRPr="00731644" w:rsidRDefault="00BA71E4" w:rsidP="007A774E">
      <w:pPr>
        <w:pStyle w:val="SingleTxtG"/>
        <w:rPr>
          <w:lang w:val="fr-CH"/>
        </w:rPr>
      </w:pPr>
      <w:r w:rsidRPr="00731644">
        <w:rPr>
          <w:lang w:val="fr-CH"/>
        </w:rPr>
        <w:t>61.</w:t>
      </w:r>
      <w:r w:rsidRPr="00731644">
        <w:rPr>
          <w:lang w:val="fr-CH"/>
        </w:rPr>
        <w:tab/>
      </w:r>
      <w:r w:rsidR="00FE346F" w:rsidRPr="00731644">
        <w:rPr>
          <w:lang w:val="fr-CH"/>
        </w:rPr>
        <w:t xml:space="preserve">La Stratégie relative à la politique </w:t>
      </w:r>
      <w:r w:rsidR="003C4006" w:rsidRPr="00731644">
        <w:rPr>
          <w:lang w:val="fr-CH"/>
        </w:rPr>
        <w:t>à l</w:t>
      </w:r>
      <w:r w:rsidR="00425386" w:rsidRPr="00731644">
        <w:rPr>
          <w:lang w:val="fr-CH"/>
        </w:rPr>
        <w:t>’</w:t>
      </w:r>
      <w:r w:rsidR="003C4006" w:rsidRPr="00731644">
        <w:rPr>
          <w:lang w:val="fr-CH"/>
        </w:rPr>
        <w:t xml:space="preserve">égard </w:t>
      </w:r>
      <w:r w:rsidR="00FE346F" w:rsidRPr="00731644">
        <w:rPr>
          <w:lang w:val="fr-CH"/>
        </w:rPr>
        <w:t>des minorités</w:t>
      </w:r>
      <w:r w:rsidR="007634E2" w:rsidRPr="00731644">
        <w:rPr>
          <w:rStyle w:val="FootnoteReference"/>
          <w:lang w:val="fr-CH"/>
        </w:rPr>
        <w:footnoteReference w:id="13"/>
      </w:r>
      <w:r w:rsidR="007A774E" w:rsidRPr="00731644">
        <w:rPr>
          <w:lang w:val="fr-CH"/>
        </w:rPr>
        <w:t xml:space="preserve"> </w:t>
      </w:r>
      <w:r w:rsidR="003C4006" w:rsidRPr="00731644">
        <w:rPr>
          <w:lang w:val="fr-CH"/>
        </w:rPr>
        <w:t>qui est en cours d</w:t>
      </w:r>
      <w:r w:rsidR="00425386" w:rsidRPr="00731644">
        <w:rPr>
          <w:lang w:val="fr-CH"/>
        </w:rPr>
        <w:t>’</w:t>
      </w:r>
      <w:r w:rsidR="00A66512" w:rsidRPr="00731644">
        <w:rPr>
          <w:lang w:val="fr-CH"/>
        </w:rPr>
        <w:t>application</w:t>
      </w:r>
      <w:r w:rsidR="003C4006" w:rsidRPr="00731644">
        <w:rPr>
          <w:lang w:val="fr-CH"/>
        </w:rPr>
        <w:t xml:space="preserve"> et qui a</w:t>
      </w:r>
      <w:r w:rsidR="00F31DD5" w:rsidRPr="00731644">
        <w:rPr>
          <w:lang w:val="fr-CH"/>
        </w:rPr>
        <w:t xml:space="preserve"> </w:t>
      </w:r>
      <w:r w:rsidR="003C4006" w:rsidRPr="00731644">
        <w:rPr>
          <w:lang w:val="fr-CH"/>
        </w:rPr>
        <w:t xml:space="preserve">été </w:t>
      </w:r>
      <w:r w:rsidR="007A774E" w:rsidRPr="00731644">
        <w:rPr>
          <w:lang w:val="fr-CH"/>
        </w:rPr>
        <w:t>adopt</w:t>
      </w:r>
      <w:r w:rsidR="008067FF" w:rsidRPr="00731644">
        <w:rPr>
          <w:lang w:val="fr-CH"/>
        </w:rPr>
        <w:t>ée à la fin de</w:t>
      </w:r>
      <w:r w:rsidR="007A774E" w:rsidRPr="00731644">
        <w:rPr>
          <w:lang w:val="fr-CH"/>
        </w:rPr>
        <w:t xml:space="preserve"> 2008 </w:t>
      </w:r>
      <w:r w:rsidR="008067FF" w:rsidRPr="00731644">
        <w:rPr>
          <w:lang w:val="fr-CH"/>
        </w:rPr>
        <w:t xml:space="preserve">comprend </w:t>
      </w:r>
      <w:r w:rsidR="00BC231A" w:rsidRPr="00731644">
        <w:rPr>
          <w:lang w:val="fr-CH"/>
        </w:rPr>
        <w:t>le</w:t>
      </w:r>
      <w:r w:rsidR="008067FF" w:rsidRPr="00731644">
        <w:rPr>
          <w:lang w:val="fr-CH"/>
        </w:rPr>
        <w:t>s domaines d</w:t>
      </w:r>
      <w:r w:rsidR="00425386" w:rsidRPr="00731644">
        <w:rPr>
          <w:lang w:val="fr-CH"/>
        </w:rPr>
        <w:t>’</w:t>
      </w:r>
      <w:r w:rsidR="008067FF" w:rsidRPr="00731644">
        <w:rPr>
          <w:lang w:val="fr-CH"/>
        </w:rPr>
        <w:t xml:space="preserve">action prioritaires </w:t>
      </w:r>
      <w:r w:rsidR="00BC231A" w:rsidRPr="00731644">
        <w:rPr>
          <w:lang w:val="fr-CH"/>
        </w:rPr>
        <w:t>suivants, qui déterminent</w:t>
      </w:r>
      <w:r w:rsidR="008067FF" w:rsidRPr="00731644">
        <w:rPr>
          <w:lang w:val="fr-CH"/>
        </w:rPr>
        <w:t xml:space="preserve"> l</w:t>
      </w:r>
      <w:r w:rsidR="00425386" w:rsidRPr="00731644">
        <w:rPr>
          <w:lang w:val="fr-CH"/>
        </w:rPr>
        <w:t>’</w:t>
      </w:r>
      <w:r w:rsidR="00A66512" w:rsidRPr="00731644">
        <w:rPr>
          <w:lang w:val="fr-CH"/>
        </w:rPr>
        <w:t>intervention</w:t>
      </w:r>
      <w:r w:rsidR="008067FF" w:rsidRPr="00731644">
        <w:rPr>
          <w:lang w:val="fr-CH"/>
        </w:rPr>
        <w:t xml:space="preserve"> future </w:t>
      </w:r>
      <w:r w:rsidR="00BC231A" w:rsidRPr="00731644">
        <w:rPr>
          <w:lang w:val="fr-CH"/>
        </w:rPr>
        <w:t>du législateur</w:t>
      </w:r>
      <w:r w:rsidR="008067FF" w:rsidRPr="00731644">
        <w:rPr>
          <w:lang w:val="fr-CH"/>
        </w:rPr>
        <w:t xml:space="preserve"> et </w:t>
      </w:r>
      <w:r w:rsidR="00BC231A" w:rsidRPr="00731644">
        <w:rPr>
          <w:lang w:val="fr-CH"/>
        </w:rPr>
        <w:t>sous-tendent l</w:t>
      </w:r>
      <w:r w:rsidR="008067FF" w:rsidRPr="00731644">
        <w:rPr>
          <w:lang w:val="fr-CH"/>
        </w:rPr>
        <w:t>es objectifs</w:t>
      </w:r>
      <w:r w:rsidR="00BC231A" w:rsidRPr="00731644">
        <w:rPr>
          <w:lang w:val="fr-CH"/>
        </w:rPr>
        <w:t xml:space="preserve"> visés</w:t>
      </w:r>
      <w:r w:rsidR="008067FF" w:rsidRPr="00731644">
        <w:rPr>
          <w:lang w:val="fr-CH"/>
        </w:rPr>
        <w:t>, dont certains sont déjà atteints</w:t>
      </w:r>
      <w:r w:rsidR="00F31DD5" w:rsidRPr="00731644">
        <w:rPr>
          <w:lang w:val="fr-CH"/>
        </w:rPr>
        <w:t>:</w:t>
      </w:r>
      <w:r w:rsidR="008067FF" w:rsidRPr="00731644">
        <w:rPr>
          <w:lang w:val="fr-CH"/>
        </w:rPr>
        <w:t xml:space="preserve"> </w:t>
      </w:r>
    </w:p>
    <w:p w:rsidR="007A774E" w:rsidRPr="00731644" w:rsidRDefault="007A774E" w:rsidP="007634E2">
      <w:pPr>
        <w:pStyle w:val="SingleTxtG"/>
        <w:ind w:firstLine="567"/>
        <w:rPr>
          <w:lang w:val="fr-CH"/>
        </w:rPr>
      </w:pPr>
      <w:r w:rsidRPr="00731644">
        <w:rPr>
          <w:lang w:val="fr-CH"/>
        </w:rPr>
        <w:t>1</w:t>
      </w:r>
      <w:r w:rsidR="007634E2" w:rsidRPr="00731644">
        <w:rPr>
          <w:lang w:val="fr-CH"/>
        </w:rPr>
        <w:t>)</w:t>
      </w:r>
      <w:r w:rsidRPr="00731644">
        <w:rPr>
          <w:lang w:val="fr-CH"/>
        </w:rPr>
        <w:tab/>
      </w:r>
      <w:r w:rsidR="00BC231A" w:rsidRPr="00731644">
        <w:rPr>
          <w:lang w:val="fr-CH"/>
        </w:rPr>
        <w:t>Une v</w:t>
      </w:r>
      <w:r w:rsidR="008067FF" w:rsidRPr="00731644">
        <w:rPr>
          <w:lang w:val="fr-CH"/>
        </w:rPr>
        <w:t xml:space="preserve">éritable représentation politique </w:t>
      </w:r>
      <w:r w:rsidRPr="00731644">
        <w:rPr>
          <w:lang w:val="fr-CH"/>
        </w:rPr>
        <w:t>(</w:t>
      </w:r>
      <w:r w:rsidR="008067FF" w:rsidRPr="00731644">
        <w:rPr>
          <w:lang w:val="fr-CH"/>
        </w:rPr>
        <w:t>législation é</w:t>
      </w:r>
      <w:r w:rsidRPr="00731644">
        <w:rPr>
          <w:lang w:val="fr-CH"/>
        </w:rPr>
        <w:t>lectoral</w:t>
      </w:r>
      <w:r w:rsidR="008067FF" w:rsidRPr="00731644">
        <w:rPr>
          <w:lang w:val="fr-CH"/>
        </w:rPr>
        <w:t>e</w:t>
      </w:r>
      <w:r w:rsidRPr="00731644">
        <w:rPr>
          <w:lang w:val="fr-CH"/>
        </w:rPr>
        <w:t>);</w:t>
      </w:r>
    </w:p>
    <w:p w:rsidR="007A774E" w:rsidRPr="00731644" w:rsidRDefault="007A774E" w:rsidP="007634E2">
      <w:pPr>
        <w:pStyle w:val="SingleTxtG"/>
        <w:ind w:firstLine="567"/>
        <w:rPr>
          <w:lang w:val="fr-CH"/>
        </w:rPr>
      </w:pPr>
      <w:r w:rsidRPr="00731644">
        <w:rPr>
          <w:lang w:val="fr-CH"/>
        </w:rPr>
        <w:t>2</w:t>
      </w:r>
      <w:r w:rsidR="007634E2" w:rsidRPr="00731644">
        <w:rPr>
          <w:lang w:val="fr-CH"/>
        </w:rPr>
        <w:t>)</w:t>
      </w:r>
      <w:r w:rsidRPr="00731644">
        <w:rPr>
          <w:lang w:val="fr-CH"/>
        </w:rPr>
        <w:tab/>
      </w:r>
      <w:r w:rsidR="00BC231A" w:rsidRPr="00731644">
        <w:rPr>
          <w:lang w:val="fr-CH"/>
        </w:rPr>
        <w:t>Une r</w:t>
      </w:r>
      <w:r w:rsidRPr="00731644">
        <w:rPr>
          <w:lang w:val="fr-CH"/>
        </w:rPr>
        <w:t>epr</w:t>
      </w:r>
      <w:r w:rsidR="008067FF" w:rsidRPr="00731644">
        <w:rPr>
          <w:lang w:val="fr-CH"/>
        </w:rPr>
        <w:t>ésentation dans les organes de l</w:t>
      </w:r>
      <w:r w:rsidR="00425386" w:rsidRPr="00731644">
        <w:rPr>
          <w:lang w:val="fr-CH"/>
        </w:rPr>
        <w:t>’</w:t>
      </w:r>
      <w:r w:rsidR="008067FF" w:rsidRPr="00731644">
        <w:rPr>
          <w:lang w:val="fr-CH"/>
        </w:rPr>
        <w:t xml:space="preserve">État et dans ceux des </w:t>
      </w:r>
      <w:r w:rsidR="001602B9" w:rsidRPr="00731644">
        <w:rPr>
          <w:lang w:val="fr-CH"/>
        </w:rPr>
        <w:t>collectivités</w:t>
      </w:r>
      <w:r w:rsidR="008067FF" w:rsidRPr="00731644">
        <w:rPr>
          <w:lang w:val="fr-CH"/>
        </w:rPr>
        <w:t xml:space="preserve"> locales autonomes </w:t>
      </w:r>
      <w:r w:rsidRPr="00731644">
        <w:rPr>
          <w:lang w:val="fr-CH"/>
        </w:rPr>
        <w:t>(</w:t>
      </w:r>
      <w:r w:rsidR="008067FF" w:rsidRPr="00731644">
        <w:rPr>
          <w:lang w:val="fr-CH"/>
        </w:rPr>
        <w:t>règlements relatifs aux administrations centrales et locales, et dispositions législatives concernant les agents de l</w:t>
      </w:r>
      <w:r w:rsidR="00425386" w:rsidRPr="00731644">
        <w:rPr>
          <w:lang w:val="fr-CH"/>
        </w:rPr>
        <w:t>’</w:t>
      </w:r>
      <w:r w:rsidR="008067FF" w:rsidRPr="00731644">
        <w:rPr>
          <w:lang w:val="fr-CH"/>
        </w:rPr>
        <w:t>État et ceux des autorités locales autonomes</w:t>
      </w:r>
      <w:r w:rsidRPr="00731644">
        <w:rPr>
          <w:lang w:val="fr-CH"/>
        </w:rPr>
        <w:t>);</w:t>
      </w:r>
    </w:p>
    <w:p w:rsidR="007A774E" w:rsidRPr="00731644" w:rsidRDefault="007634E2" w:rsidP="007634E2">
      <w:pPr>
        <w:pStyle w:val="SingleTxtG"/>
        <w:ind w:firstLine="567"/>
        <w:rPr>
          <w:lang w:val="fr-CH"/>
        </w:rPr>
      </w:pPr>
      <w:r w:rsidRPr="00731644">
        <w:rPr>
          <w:lang w:val="fr-CH"/>
        </w:rPr>
        <w:t>3)</w:t>
      </w:r>
      <w:r w:rsidR="007A774E" w:rsidRPr="00731644">
        <w:rPr>
          <w:lang w:val="fr-CH"/>
        </w:rPr>
        <w:tab/>
      </w:r>
      <w:r w:rsidR="00BC231A" w:rsidRPr="00731644">
        <w:rPr>
          <w:lang w:val="fr-CH"/>
        </w:rPr>
        <w:t>Les d</w:t>
      </w:r>
      <w:r w:rsidR="00B94E62" w:rsidRPr="00731644">
        <w:rPr>
          <w:lang w:val="fr-CH"/>
        </w:rPr>
        <w:t xml:space="preserve">roits procéduraux des membres des minorités </w:t>
      </w:r>
      <w:r w:rsidR="007A774E" w:rsidRPr="00731644">
        <w:rPr>
          <w:lang w:val="fr-CH"/>
        </w:rPr>
        <w:t>(</w:t>
      </w:r>
      <w:r w:rsidR="00B94E62" w:rsidRPr="00731644">
        <w:rPr>
          <w:lang w:val="fr-CH"/>
        </w:rPr>
        <w:t>droit d</w:t>
      </w:r>
      <w:r w:rsidR="00425386" w:rsidRPr="00731644">
        <w:rPr>
          <w:lang w:val="fr-CH"/>
        </w:rPr>
        <w:t>’</w:t>
      </w:r>
      <w:r w:rsidR="00B94E62" w:rsidRPr="00731644">
        <w:rPr>
          <w:lang w:val="fr-CH"/>
        </w:rPr>
        <w:t>une minorité qui forme une part importante de la population d</w:t>
      </w:r>
      <w:r w:rsidR="00425386" w:rsidRPr="00731644">
        <w:rPr>
          <w:lang w:val="fr-CH"/>
        </w:rPr>
        <w:t>’</w:t>
      </w:r>
      <w:r w:rsidR="00B94E62" w:rsidRPr="00731644">
        <w:rPr>
          <w:lang w:val="fr-CH"/>
        </w:rPr>
        <w:t xml:space="preserve">une </w:t>
      </w:r>
      <w:r w:rsidR="00BC231A" w:rsidRPr="00731644">
        <w:rPr>
          <w:lang w:val="fr-CH"/>
        </w:rPr>
        <w:t>région</w:t>
      </w:r>
      <w:r w:rsidR="00B94E62" w:rsidRPr="00731644">
        <w:rPr>
          <w:lang w:val="fr-CH"/>
        </w:rPr>
        <w:t xml:space="preserve"> d</w:t>
      </w:r>
      <w:r w:rsidR="00425386" w:rsidRPr="00731644">
        <w:rPr>
          <w:lang w:val="fr-CH"/>
        </w:rPr>
        <w:t>’</w:t>
      </w:r>
      <w:r w:rsidR="00B94E62" w:rsidRPr="00731644">
        <w:rPr>
          <w:lang w:val="fr-CH"/>
        </w:rPr>
        <w:t xml:space="preserve">utiliser sa langue et </w:t>
      </w:r>
      <w:r w:rsidR="00BC231A" w:rsidRPr="00731644">
        <w:rPr>
          <w:lang w:val="fr-CH"/>
        </w:rPr>
        <w:t>son alphabet</w:t>
      </w:r>
      <w:r w:rsidR="00B94E62" w:rsidRPr="00731644">
        <w:rPr>
          <w:lang w:val="fr-CH"/>
        </w:rPr>
        <w:t xml:space="preserve"> dans ses </w:t>
      </w:r>
      <w:r w:rsidR="00BC231A" w:rsidRPr="00731644">
        <w:rPr>
          <w:lang w:val="fr-CH"/>
        </w:rPr>
        <w:t>communication</w:t>
      </w:r>
      <w:r w:rsidR="00B94E62" w:rsidRPr="00731644">
        <w:rPr>
          <w:lang w:val="fr-CH"/>
        </w:rPr>
        <w:t>s avec les tribunaux et d</w:t>
      </w:r>
      <w:r w:rsidR="00425386" w:rsidRPr="00731644">
        <w:rPr>
          <w:lang w:val="fr-CH"/>
        </w:rPr>
        <w:t>’</w:t>
      </w:r>
      <w:r w:rsidR="00B94E62" w:rsidRPr="00731644">
        <w:rPr>
          <w:lang w:val="fr-CH"/>
        </w:rPr>
        <w:t>autres autorités</w:t>
      </w:r>
      <w:r w:rsidR="007A774E" w:rsidRPr="00731644">
        <w:rPr>
          <w:lang w:val="fr-CH"/>
        </w:rPr>
        <w:t>);</w:t>
      </w:r>
    </w:p>
    <w:p w:rsidR="007A774E" w:rsidRPr="00731644" w:rsidRDefault="007A774E" w:rsidP="007634E2">
      <w:pPr>
        <w:pStyle w:val="SingleTxtG"/>
        <w:ind w:firstLine="567"/>
        <w:rPr>
          <w:lang w:val="fr-CH"/>
        </w:rPr>
      </w:pPr>
      <w:r w:rsidRPr="00731644">
        <w:rPr>
          <w:lang w:val="fr-CH"/>
        </w:rPr>
        <w:t>4</w:t>
      </w:r>
      <w:r w:rsidR="007634E2" w:rsidRPr="00731644">
        <w:rPr>
          <w:lang w:val="fr-CH"/>
        </w:rPr>
        <w:t>)</w:t>
      </w:r>
      <w:r w:rsidRPr="00731644">
        <w:rPr>
          <w:lang w:val="fr-CH"/>
        </w:rPr>
        <w:tab/>
      </w:r>
      <w:r w:rsidR="00757B02" w:rsidRPr="00731644">
        <w:rPr>
          <w:lang w:val="fr-CH"/>
        </w:rPr>
        <w:t>Les particularité</w:t>
      </w:r>
      <w:r w:rsidR="00B94E62" w:rsidRPr="00731644">
        <w:rPr>
          <w:lang w:val="fr-CH"/>
        </w:rPr>
        <w:t xml:space="preserve">s identitaires </w:t>
      </w:r>
      <w:r w:rsidRPr="00731644">
        <w:rPr>
          <w:lang w:val="fr-CH"/>
        </w:rPr>
        <w:t>(</w:t>
      </w:r>
      <w:r w:rsidR="00B94E62" w:rsidRPr="00731644">
        <w:rPr>
          <w:lang w:val="fr-CH"/>
        </w:rPr>
        <w:t>utilisation d</w:t>
      </w:r>
      <w:r w:rsidR="00425386" w:rsidRPr="00731644">
        <w:rPr>
          <w:lang w:val="fr-CH"/>
        </w:rPr>
        <w:t>’</w:t>
      </w:r>
      <w:r w:rsidR="00B94E62" w:rsidRPr="00731644">
        <w:rPr>
          <w:lang w:val="fr-CH"/>
        </w:rPr>
        <w:t xml:space="preserve">emblèmes nationaux et </w:t>
      </w:r>
      <w:r w:rsidRPr="00731644">
        <w:rPr>
          <w:lang w:val="fr-CH"/>
        </w:rPr>
        <w:t>c</w:t>
      </w:r>
      <w:r w:rsidR="00B94E62" w:rsidRPr="00731644">
        <w:rPr>
          <w:lang w:val="fr-CH"/>
        </w:rPr>
        <w:t>élé</w:t>
      </w:r>
      <w:r w:rsidRPr="00731644">
        <w:rPr>
          <w:lang w:val="fr-CH"/>
        </w:rPr>
        <w:t xml:space="preserve">bration </w:t>
      </w:r>
      <w:r w:rsidR="00B94E62" w:rsidRPr="00731644">
        <w:rPr>
          <w:lang w:val="fr-CH"/>
        </w:rPr>
        <w:t xml:space="preserve">de fêtes </w:t>
      </w:r>
      <w:r w:rsidRPr="00731644">
        <w:rPr>
          <w:lang w:val="fr-CH"/>
        </w:rPr>
        <w:t>national</w:t>
      </w:r>
      <w:r w:rsidR="00B94E62" w:rsidRPr="00731644">
        <w:rPr>
          <w:lang w:val="fr-CH"/>
        </w:rPr>
        <w:t>es</w:t>
      </w:r>
      <w:r w:rsidRPr="00731644">
        <w:rPr>
          <w:lang w:val="fr-CH"/>
        </w:rPr>
        <w:t>);</w:t>
      </w:r>
    </w:p>
    <w:p w:rsidR="007A774E" w:rsidRPr="00731644" w:rsidRDefault="007A774E" w:rsidP="007634E2">
      <w:pPr>
        <w:pStyle w:val="SingleTxtG"/>
        <w:ind w:firstLine="567"/>
        <w:rPr>
          <w:lang w:val="fr-CH"/>
        </w:rPr>
      </w:pPr>
      <w:r w:rsidRPr="00731644">
        <w:rPr>
          <w:lang w:val="fr-CH"/>
        </w:rPr>
        <w:t>5</w:t>
      </w:r>
      <w:r w:rsidR="007634E2" w:rsidRPr="00731644">
        <w:rPr>
          <w:lang w:val="fr-CH"/>
        </w:rPr>
        <w:t>)</w:t>
      </w:r>
      <w:r w:rsidRPr="00731644">
        <w:rPr>
          <w:lang w:val="fr-CH"/>
        </w:rPr>
        <w:tab/>
      </w:r>
      <w:r w:rsidR="00757B02" w:rsidRPr="00731644">
        <w:rPr>
          <w:lang w:val="fr-CH"/>
        </w:rPr>
        <w:t>La d</w:t>
      </w:r>
      <w:r w:rsidR="00B94E62" w:rsidRPr="00731644">
        <w:rPr>
          <w:lang w:val="fr-CH"/>
        </w:rPr>
        <w:t>élivrance des</w:t>
      </w:r>
      <w:r w:rsidRPr="00731644">
        <w:rPr>
          <w:lang w:val="fr-CH"/>
        </w:rPr>
        <w:t xml:space="preserve"> documents</w:t>
      </w:r>
      <w:r w:rsidR="00B94E62" w:rsidRPr="00731644">
        <w:rPr>
          <w:lang w:val="fr-CH"/>
        </w:rPr>
        <w:t xml:space="preserve"> officiels </w:t>
      </w:r>
      <w:r w:rsidRPr="00731644">
        <w:rPr>
          <w:lang w:val="fr-CH"/>
        </w:rPr>
        <w:t>(</w:t>
      </w:r>
      <w:r w:rsidR="00B94E62" w:rsidRPr="00731644">
        <w:rPr>
          <w:lang w:val="fr-CH"/>
        </w:rPr>
        <w:t>insc</w:t>
      </w:r>
      <w:r w:rsidR="00757B02" w:rsidRPr="00731644">
        <w:rPr>
          <w:lang w:val="fr-CH"/>
        </w:rPr>
        <w:t>r</w:t>
      </w:r>
      <w:r w:rsidR="00B94E62" w:rsidRPr="00731644">
        <w:rPr>
          <w:lang w:val="fr-CH"/>
        </w:rPr>
        <w:t>iption</w:t>
      </w:r>
      <w:r w:rsidR="001602B9" w:rsidRPr="00731644">
        <w:rPr>
          <w:lang w:val="fr-CH"/>
        </w:rPr>
        <w:t xml:space="preserve"> sur les registres</w:t>
      </w:r>
      <w:r w:rsidR="00B94E62" w:rsidRPr="00731644">
        <w:rPr>
          <w:lang w:val="fr-CH"/>
        </w:rPr>
        <w:t xml:space="preserve"> dans la langue </w:t>
      </w:r>
      <w:r w:rsidR="00757B02" w:rsidRPr="00731644">
        <w:rPr>
          <w:lang w:val="fr-CH"/>
        </w:rPr>
        <w:t>et l</w:t>
      </w:r>
      <w:r w:rsidR="00425386" w:rsidRPr="00731644">
        <w:rPr>
          <w:lang w:val="fr-CH"/>
        </w:rPr>
        <w:t>’</w:t>
      </w:r>
      <w:r w:rsidR="00757B02" w:rsidRPr="00731644">
        <w:rPr>
          <w:lang w:val="fr-CH"/>
        </w:rPr>
        <w:t>alphabet de la minorité</w:t>
      </w:r>
      <w:r w:rsidRPr="00731644">
        <w:rPr>
          <w:lang w:val="fr-CH"/>
        </w:rPr>
        <w:t>);</w:t>
      </w:r>
    </w:p>
    <w:p w:rsidR="007A774E" w:rsidRPr="00731644" w:rsidRDefault="007A774E" w:rsidP="007A429C">
      <w:pPr>
        <w:pStyle w:val="SingleTxtG"/>
        <w:ind w:firstLine="567"/>
        <w:rPr>
          <w:lang w:val="fr-CH"/>
        </w:rPr>
      </w:pPr>
      <w:r w:rsidRPr="00731644">
        <w:rPr>
          <w:lang w:val="fr-CH"/>
        </w:rPr>
        <w:t>6</w:t>
      </w:r>
      <w:r w:rsidR="007634E2" w:rsidRPr="00731644">
        <w:rPr>
          <w:lang w:val="fr-CH"/>
        </w:rPr>
        <w:t>)</w:t>
      </w:r>
      <w:r w:rsidRPr="00731644">
        <w:rPr>
          <w:lang w:val="fr-CH"/>
        </w:rPr>
        <w:tab/>
      </w:r>
      <w:r w:rsidR="00757B02" w:rsidRPr="00731644">
        <w:rPr>
          <w:lang w:val="fr-CH"/>
        </w:rPr>
        <w:t>Les c</w:t>
      </w:r>
      <w:r w:rsidR="003900E3" w:rsidRPr="00731644">
        <w:rPr>
          <w:lang w:val="fr-CH"/>
        </w:rPr>
        <w:t>aractéristiques culturelles</w:t>
      </w:r>
      <w:r w:rsidRPr="00731644">
        <w:rPr>
          <w:lang w:val="fr-CH"/>
        </w:rPr>
        <w:t xml:space="preserve"> (</w:t>
      </w:r>
      <w:r w:rsidR="003900E3" w:rsidRPr="00731644">
        <w:rPr>
          <w:lang w:val="fr-CH"/>
        </w:rPr>
        <w:t>exercice des droits culturels avec l</w:t>
      </w:r>
      <w:r w:rsidR="00425386" w:rsidRPr="00731644">
        <w:rPr>
          <w:lang w:val="fr-CH"/>
        </w:rPr>
        <w:t>’</w:t>
      </w:r>
      <w:r w:rsidR="003900E3" w:rsidRPr="00731644">
        <w:rPr>
          <w:lang w:val="fr-CH"/>
        </w:rPr>
        <w:t>aide financière de l</w:t>
      </w:r>
      <w:r w:rsidR="00425386" w:rsidRPr="00731644">
        <w:rPr>
          <w:lang w:val="fr-CH"/>
        </w:rPr>
        <w:t>’</w:t>
      </w:r>
      <w:r w:rsidR="003900E3" w:rsidRPr="00731644">
        <w:rPr>
          <w:lang w:val="fr-CH"/>
        </w:rPr>
        <w:t>État</w:t>
      </w:r>
      <w:r w:rsidRPr="00731644">
        <w:rPr>
          <w:lang w:val="fr-CH"/>
        </w:rPr>
        <w:t>);</w:t>
      </w:r>
    </w:p>
    <w:p w:rsidR="007A774E" w:rsidRPr="00731644" w:rsidRDefault="007A774E" w:rsidP="007634E2">
      <w:pPr>
        <w:pStyle w:val="SingleTxtG"/>
        <w:ind w:firstLine="567"/>
        <w:rPr>
          <w:lang w:val="fr-CH"/>
        </w:rPr>
      </w:pPr>
      <w:r w:rsidRPr="00731644">
        <w:rPr>
          <w:lang w:val="fr-CH"/>
        </w:rPr>
        <w:t>7</w:t>
      </w:r>
      <w:r w:rsidR="007634E2" w:rsidRPr="00731644">
        <w:rPr>
          <w:lang w:val="fr-CH"/>
        </w:rPr>
        <w:t>)</w:t>
      </w:r>
      <w:r w:rsidRPr="00731644">
        <w:rPr>
          <w:lang w:val="fr-CH"/>
        </w:rPr>
        <w:tab/>
      </w:r>
      <w:r w:rsidR="00757B02" w:rsidRPr="00731644">
        <w:rPr>
          <w:lang w:val="fr-CH"/>
        </w:rPr>
        <w:t>L</w:t>
      </w:r>
      <w:r w:rsidR="00425386" w:rsidRPr="00731644">
        <w:rPr>
          <w:lang w:val="fr-CH"/>
        </w:rPr>
        <w:t>’</w:t>
      </w:r>
      <w:r w:rsidR="00757B02" w:rsidRPr="00731644">
        <w:rPr>
          <w:lang w:val="fr-CH"/>
        </w:rPr>
        <w:t>é</w:t>
      </w:r>
      <w:r w:rsidRPr="00731644">
        <w:rPr>
          <w:lang w:val="fr-CH"/>
        </w:rPr>
        <w:t>ducation (</w:t>
      </w:r>
      <w:r w:rsidR="003900E3" w:rsidRPr="00731644">
        <w:rPr>
          <w:lang w:val="fr-CH"/>
        </w:rPr>
        <w:t>dans l</w:t>
      </w:r>
      <w:r w:rsidR="00425386" w:rsidRPr="00731644">
        <w:rPr>
          <w:lang w:val="fr-CH"/>
        </w:rPr>
        <w:t>’</w:t>
      </w:r>
      <w:r w:rsidR="003900E3" w:rsidRPr="00731644">
        <w:rPr>
          <w:lang w:val="fr-CH"/>
        </w:rPr>
        <w:t>acception la plus large et internationalement admise du terme</w:t>
      </w:r>
      <w:r w:rsidRPr="00731644">
        <w:rPr>
          <w:lang w:val="fr-CH"/>
        </w:rPr>
        <w:t xml:space="preserve">) </w:t>
      </w:r>
      <w:r w:rsidR="003900E3" w:rsidRPr="00731644">
        <w:rPr>
          <w:lang w:val="fr-CH"/>
        </w:rPr>
        <w:t xml:space="preserve">et </w:t>
      </w:r>
      <w:r w:rsidR="00757B02" w:rsidRPr="00731644">
        <w:rPr>
          <w:lang w:val="fr-CH"/>
        </w:rPr>
        <w:t xml:space="preserve">la </w:t>
      </w:r>
      <w:r w:rsidR="003900E3" w:rsidRPr="00731644">
        <w:rPr>
          <w:lang w:val="fr-CH"/>
        </w:rPr>
        <w:t xml:space="preserve">scolarité dans </w:t>
      </w:r>
      <w:r w:rsidR="00757B02" w:rsidRPr="00731644">
        <w:rPr>
          <w:lang w:val="fr-CH"/>
        </w:rPr>
        <w:t>l</w:t>
      </w:r>
      <w:r w:rsidR="003900E3" w:rsidRPr="00731644">
        <w:rPr>
          <w:lang w:val="fr-CH"/>
        </w:rPr>
        <w:t>es langues minoritaires</w:t>
      </w:r>
      <w:r w:rsidRPr="00731644">
        <w:rPr>
          <w:lang w:val="fr-CH"/>
        </w:rPr>
        <w:t xml:space="preserve"> (</w:t>
      </w:r>
      <w:r w:rsidR="00757B02" w:rsidRPr="00731644">
        <w:rPr>
          <w:lang w:val="fr-CH"/>
        </w:rPr>
        <w:t>pratique</w:t>
      </w:r>
      <w:r w:rsidR="003900E3" w:rsidRPr="00731644">
        <w:rPr>
          <w:lang w:val="fr-CH"/>
        </w:rPr>
        <w:t xml:space="preserve"> institutionnelle et contenu des programmes d</w:t>
      </w:r>
      <w:r w:rsidR="00425386" w:rsidRPr="00731644">
        <w:rPr>
          <w:lang w:val="fr-CH"/>
        </w:rPr>
        <w:t>’</w:t>
      </w:r>
      <w:r w:rsidR="003900E3" w:rsidRPr="00731644">
        <w:rPr>
          <w:lang w:val="fr-CH"/>
        </w:rPr>
        <w:t>études</w:t>
      </w:r>
      <w:r w:rsidRPr="00731644">
        <w:rPr>
          <w:lang w:val="fr-CH"/>
        </w:rPr>
        <w:t>);</w:t>
      </w:r>
    </w:p>
    <w:p w:rsidR="007A774E" w:rsidRPr="00731644" w:rsidRDefault="007A774E" w:rsidP="007634E2">
      <w:pPr>
        <w:pStyle w:val="SingleTxtG"/>
        <w:ind w:firstLine="567"/>
        <w:rPr>
          <w:lang w:val="fr-CH"/>
        </w:rPr>
      </w:pPr>
      <w:r w:rsidRPr="00731644">
        <w:rPr>
          <w:lang w:val="fr-CH"/>
        </w:rPr>
        <w:t>8</w:t>
      </w:r>
      <w:r w:rsidR="007634E2" w:rsidRPr="00731644">
        <w:rPr>
          <w:lang w:val="fr-CH"/>
        </w:rPr>
        <w:t>)</w:t>
      </w:r>
      <w:r w:rsidRPr="00731644">
        <w:rPr>
          <w:lang w:val="fr-CH"/>
        </w:rPr>
        <w:tab/>
      </w:r>
      <w:r w:rsidR="00757B02" w:rsidRPr="00731644">
        <w:rPr>
          <w:lang w:val="fr-CH"/>
        </w:rPr>
        <w:t>L</w:t>
      </w:r>
      <w:r w:rsidR="00425386" w:rsidRPr="00731644">
        <w:rPr>
          <w:lang w:val="fr-CH"/>
        </w:rPr>
        <w:t>’</w:t>
      </w:r>
      <w:r w:rsidR="00757B02" w:rsidRPr="00731644">
        <w:rPr>
          <w:lang w:val="fr-CH"/>
        </w:rPr>
        <w:t>i</w:t>
      </w:r>
      <w:r w:rsidRPr="00731644">
        <w:rPr>
          <w:lang w:val="fr-CH"/>
        </w:rPr>
        <w:t>nformation (</w:t>
      </w:r>
      <w:r w:rsidR="0003159B" w:rsidRPr="00731644">
        <w:rPr>
          <w:lang w:val="fr-CH"/>
        </w:rPr>
        <w:t xml:space="preserve">médias et </w:t>
      </w:r>
      <w:r w:rsidR="003900E3" w:rsidRPr="00731644">
        <w:rPr>
          <w:lang w:val="fr-CH"/>
        </w:rPr>
        <w:t>services publics nationaux de radiotélévision</w:t>
      </w:r>
      <w:r w:rsidRPr="00731644">
        <w:rPr>
          <w:lang w:val="fr-CH"/>
        </w:rPr>
        <w:t>);</w:t>
      </w:r>
    </w:p>
    <w:p w:rsidR="007A774E" w:rsidRPr="00731644" w:rsidRDefault="007A774E" w:rsidP="007634E2">
      <w:pPr>
        <w:pStyle w:val="SingleTxtG"/>
        <w:ind w:firstLine="567"/>
        <w:rPr>
          <w:lang w:val="fr-CH"/>
        </w:rPr>
      </w:pPr>
      <w:r w:rsidRPr="00731644">
        <w:rPr>
          <w:lang w:val="fr-CH"/>
        </w:rPr>
        <w:t>9</w:t>
      </w:r>
      <w:r w:rsidR="007634E2" w:rsidRPr="00731644">
        <w:rPr>
          <w:lang w:val="fr-CH"/>
        </w:rPr>
        <w:t>)</w:t>
      </w:r>
      <w:r w:rsidRPr="00731644">
        <w:rPr>
          <w:lang w:val="fr-CH"/>
        </w:rPr>
        <w:tab/>
      </w:r>
      <w:r w:rsidR="0003159B" w:rsidRPr="00731644">
        <w:rPr>
          <w:lang w:val="fr-CH"/>
        </w:rPr>
        <w:t>La p</w:t>
      </w:r>
      <w:r w:rsidR="002A79C4" w:rsidRPr="00731644">
        <w:rPr>
          <w:lang w:val="fr-CH"/>
        </w:rPr>
        <w:t>rise</w:t>
      </w:r>
      <w:r w:rsidR="003900E3" w:rsidRPr="00731644">
        <w:rPr>
          <w:lang w:val="fr-CH"/>
        </w:rPr>
        <w:t xml:space="preserve"> de contacts </w:t>
      </w:r>
      <w:r w:rsidR="000C5F96" w:rsidRPr="00731644">
        <w:rPr>
          <w:lang w:val="fr-CH"/>
        </w:rPr>
        <w:t>à l</w:t>
      </w:r>
      <w:r w:rsidR="00425386" w:rsidRPr="00731644">
        <w:rPr>
          <w:lang w:val="fr-CH"/>
        </w:rPr>
        <w:t>’</w:t>
      </w:r>
      <w:r w:rsidR="000C5F96" w:rsidRPr="00731644">
        <w:rPr>
          <w:lang w:val="fr-CH"/>
        </w:rPr>
        <w:t>extérieur</w:t>
      </w:r>
      <w:r w:rsidR="003900E3" w:rsidRPr="00731644">
        <w:rPr>
          <w:lang w:val="fr-CH"/>
        </w:rPr>
        <w:t xml:space="preserve"> du Monténégro (avec des </w:t>
      </w:r>
      <w:r w:rsidR="0003159B" w:rsidRPr="00731644">
        <w:rPr>
          <w:lang w:val="fr-CH"/>
        </w:rPr>
        <w:t>particuliers</w:t>
      </w:r>
      <w:r w:rsidR="003900E3" w:rsidRPr="00731644">
        <w:rPr>
          <w:lang w:val="fr-CH"/>
        </w:rPr>
        <w:t xml:space="preserve"> et des associations avec lesquels les minorités </w:t>
      </w:r>
      <w:r w:rsidR="000C5F96" w:rsidRPr="00731644">
        <w:rPr>
          <w:lang w:val="fr-CH"/>
        </w:rPr>
        <w:t>o</w:t>
      </w:r>
      <w:r w:rsidR="003900E3" w:rsidRPr="00731644">
        <w:rPr>
          <w:lang w:val="fr-CH"/>
        </w:rPr>
        <w:t>nt des origines nationales et ethniques, un patrimoine culturel et historique et des convictions religieuses communs</w:t>
      </w:r>
      <w:r w:rsidRPr="00731644">
        <w:rPr>
          <w:lang w:val="fr-CH"/>
        </w:rPr>
        <w:t>);</w:t>
      </w:r>
    </w:p>
    <w:p w:rsidR="007A774E" w:rsidRPr="00731644" w:rsidRDefault="007A774E" w:rsidP="007634E2">
      <w:pPr>
        <w:pStyle w:val="SingleTxtG"/>
        <w:ind w:firstLine="567"/>
        <w:rPr>
          <w:lang w:val="fr-CH"/>
        </w:rPr>
      </w:pPr>
      <w:r w:rsidRPr="00731644">
        <w:rPr>
          <w:lang w:val="fr-CH"/>
        </w:rPr>
        <w:t>1</w:t>
      </w:r>
      <w:r w:rsidR="007634E2" w:rsidRPr="00731644">
        <w:rPr>
          <w:lang w:val="fr-CH"/>
        </w:rPr>
        <w:t>0)</w:t>
      </w:r>
      <w:r w:rsidRPr="00731644">
        <w:rPr>
          <w:lang w:val="fr-CH"/>
        </w:rPr>
        <w:tab/>
      </w:r>
      <w:r w:rsidR="0003159B" w:rsidRPr="00731644">
        <w:rPr>
          <w:lang w:val="fr-CH"/>
        </w:rPr>
        <w:t>Les o</w:t>
      </w:r>
      <w:r w:rsidR="00B07E7C" w:rsidRPr="00731644">
        <w:rPr>
          <w:lang w:val="fr-CH"/>
        </w:rPr>
        <w:t xml:space="preserve">rganismes </w:t>
      </w:r>
      <w:r w:rsidR="003900E3" w:rsidRPr="00731644">
        <w:rPr>
          <w:lang w:val="fr-CH"/>
        </w:rPr>
        <w:t xml:space="preserve">ayant </w:t>
      </w:r>
      <w:r w:rsidR="00B07E7C" w:rsidRPr="00731644">
        <w:rPr>
          <w:lang w:val="fr-CH"/>
        </w:rPr>
        <w:t xml:space="preserve">officiellement </w:t>
      </w:r>
      <w:r w:rsidR="003900E3" w:rsidRPr="00731644">
        <w:rPr>
          <w:lang w:val="fr-CH"/>
        </w:rPr>
        <w:t>pout but d</w:t>
      </w:r>
      <w:r w:rsidR="00425386" w:rsidRPr="00731644">
        <w:rPr>
          <w:lang w:val="fr-CH"/>
        </w:rPr>
        <w:t>’</w:t>
      </w:r>
      <w:r w:rsidR="003900E3" w:rsidRPr="00731644">
        <w:rPr>
          <w:lang w:val="fr-CH"/>
        </w:rPr>
        <w:t>assurer la protection directe ou indirecte des droits des minorités</w:t>
      </w:r>
      <w:r w:rsidRPr="00731644">
        <w:rPr>
          <w:lang w:val="fr-CH"/>
        </w:rPr>
        <w:t>.</w:t>
      </w:r>
    </w:p>
    <w:p w:rsidR="007A774E" w:rsidRPr="00731644" w:rsidRDefault="007634E2" w:rsidP="00E139B1">
      <w:pPr>
        <w:pStyle w:val="SingleTxtG"/>
        <w:keepNext/>
        <w:rPr>
          <w:lang w:val="fr-CH"/>
        </w:rPr>
      </w:pPr>
      <w:r w:rsidRPr="00731644">
        <w:rPr>
          <w:lang w:val="fr-CH"/>
        </w:rPr>
        <w:t>62.</w:t>
      </w:r>
      <w:r w:rsidRPr="00731644">
        <w:rPr>
          <w:lang w:val="fr-CH"/>
        </w:rPr>
        <w:tab/>
      </w:r>
      <w:r w:rsidR="002A79C4" w:rsidRPr="00731644">
        <w:rPr>
          <w:lang w:val="fr-CH"/>
        </w:rPr>
        <w:t>Dans le même document sont conçues des mesures juridiques, sociales, économiques</w:t>
      </w:r>
      <w:r w:rsidR="000C5F96" w:rsidRPr="00731644">
        <w:rPr>
          <w:lang w:val="fr-CH"/>
        </w:rPr>
        <w:t>,</w:t>
      </w:r>
      <w:r w:rsidR="002A79C4" w:rsidRPr="00731644">
        <w:rPr>
          <w:lang w:val="fr-CH"/>
        </w:rPr>
        <w:t xml:space="preserve"> culturelles et autres pour prévenir la </w:t>
      </w:r>
      <w:r w:rsidR="007A774E" w:rsidRPr="00731644">
        <w:rPr>
          <w:lang w:val="fr-CH"/>
        </w:rPr>
        <w:t xml:space="preserve">discrimination </w:t>
      </w:r>
      <w:r w:rsidR="002A79C4" w:rsidRPr="00731644">
        <w:rPr>
          <w:lang w:val="fr-CH"/>
        </w:rPr>
        <w:t>à l</w:t>
      </w:r>
      <w:r w:rsidR="00425386" w:rsidRPr="00731644">
        <w:rPr>
          <w:lang w:val="fr-CH"/>
        </w:rPr>
        <w:t>’</w:t>
      </w:r>
      <w:r w:rsidR="002A79C4" w:rsidRPr="00731644">
        <w:rPr>
          <w:lang w:val="fr-CH"/>
        </w:rPr>
        <w:t>égard des groupes ethniques</w:t>
      </w:r>
      <w:r w:rsidR="00F31DD5" w:rsidRPr="00731644">
        <w:rPr>
          <w:lang w:val="fr-CH"/>
        </w:rPr>
        <w:t>;</w:t>
      </w:r>
      <w:r w:rsidR="002A79C4" w:rsidRPr="00731644">
        <w:rPr>
          <w:lang w:val="fr-CH"/>
        </w:rPr>
        <w:t xml:space="preserve"> ce sont principalement</w:t>
      </w:r>
      <w:r w:rsidR="00F31DD5" w:rsidRPr="00731644">
        <w:rPr>
          <w:lang w:val="fr-CH"/>
        </w:rPr>
        <w:t>:</w:t>
      </w:r>
    </w:p>
    <w:p w:rsidR="007A774E" w:rsidRPr="00731644" w:rsidRDefault="002A79C4" w:rsidP="00905ADA">
      <w:pPr>
        <w:pStyle w:val="Bullet1G"/>
        <w:rPr>
          <w:lang w:val="fr-CH"/>
        </w:rPr>
      </w:pPr>
      <w:r w:rsidRPr="00731644">
        <w:rPr>
          <w:lang w:val="fr-CH"/>
        </w:rPr>
        <w:t>L</w:t>
      </w:r>
      <w:r w:rsidR="0003159B" w:rsidRPr="00731644">
        <w:rPr>
          <w:lang w:val="fr-CH"/>
        </w:rPr>
        <w:t>a prohibition</w:t>
      </w:r>
      <w:r w:rsidRPr="00731644">
        <w:rPr>
          <w:lang w:val="fr-CH"/>
        </w:rPr>
        <w:t xml:space="preserve"> générale de la</w:t>
      </w:r>
      <w:r w:rsidR="007A774E" w:rsidRPr="00731644">
        <w:rPr>
          <w:lang w:val="fr-CH"/>
        </w:rPr>
        <w:t xml:space="preserve"> discrimination</w:t>
      </w:r>
      <w:r w:rsidR="00425386" w:rsidRPr="00731644">
        <w:rPr>
          <w:lang w:val="fr-CH"/>
        </w:rPr>
        <w:t>;</w:t>
      </w:r>
    </w:p>
    <w:p w:rsidR="007A774E" w:rsidRPr="00731644" w:rsidRDefault="002A79C4" w:rsidP="00905ADA">
      <w:pPr>
        <w:pStyle w:val="Bullet1G"/>
        <w:rPr>
          <w:lang w:val="fr-CH"/>
        </w:rPr>
      </w:pPr>
      <w:r w:rsidRPr="00731644">
        <w:rPr>
          <w:lang w:val="fr-CH"/>
        </w:rPr>
        <w:t>Les conditions n</w:t>
      </w:r>
      <w:r w:rsidR="007A774E" w:rsidRPr="00731644">
        <w:rPr>
          <w:lang w:val="fr-CH"/>
        </w:rPr>
        <w:t>ormative</w:t>
      </w:r>
      <w:r w:rsidRPr="00731644">
        <w:rPr>
          <w:lang w:val="fr-CH"/>
        </w:rPr>
        <w:t>s</w:t>
      </w:r>
      <w:r w:rsidR="007A774E" w:rsidRPr="00731644">
        <w:rPr>
          <w:lang w:val="fr-CH"/>
        </w:rPr>
        <w:t xml:space="preserve"> </w:t>
      </w:r>
      <w:r w:rsidRPr="00731644">
        <w:rPr>
          <w:lang w:val="fr-CH"/>
        </w:rPr>
        <w:t>et</w:t>
      </w:r>
      <w:r w:rsidR="007A774E" w:rsidRPr="00731644">
        <w:rPr>
          <w:lang w:val="fr-CH"/>
        </w:rPr>
        <w:t xml:space="preserve"> techni</w:t>
      </w:r>
      <w:r w:rsidRPr="00731644">
        <w:rPr>
          <w:lang w:val="fr-CH"/>
        </w:rPr>
        <w:t>ques à re</w:t>
      </w:r>
      <w:r w:rsidR="0003159B" w:rsidRPr="00731644">
        <w:rPr>
          <w:lang w:val="fr-CH"/>
        </w:rPr>
        <w:t xml:space="preserve">mplir pour donner effet aux </w:t>
      </w:r>
      <w:r w:rsidRPr="00731644">
        <w:rPr>
          <w:lang w:val="fr-CH"/>
        </w:rPr>
        <w:t>garanties relatives à l</w:t>
      </w:r>
      <w:r w:rsidR="00425386" w:rsidRPr="00731644">
        <w:rPr>
          <w:lang w:val="fr-CH"/>
        </w:rPr>
        <w:t>’</w:t>
      </w:r>
      <w:r w:rsidRPr="00731644">
        <w:rPr>
          <w:lang w:val="fr-CH"/>
        </w:rPr>
        <w:t>utilisation de</w:t>
      </w:r>
      <w:r w:rsidR="0003159B" w:rsidRPr="00731644">
        <w:rPr>
          <w:lang w:val="fr-CH"/>
        </w:rPr>
        <w:t>s</w:t>
      </w:r>
      <w:r w:rsidRPr="00731644">
        <w:rPr>
          <w:lang w:val="fr-CH"/>
        </w:rPr>
        <w:t xml:space="preserve"> langue</w:t>
      </w:r>
      <w:r w:rsidR="0003159B" w:rsidRPr="00731644">
        <w:rPr>
          <w:lang w:val="fr-CH"/>
        </w:rPr>
        <w:t>s</w:t>
      </w:r>
      <w:r w:rsidRPr="00731644">
        <w:rPr>
          <w:lang w:val="fr-CH"/>
        </w:rPr>
        <w:t xml:space="preserve"> et de</w:t>
      </w:r>
      <w:r w:rsidR="0003159B" w:rsidRPr="00731644">
        <w:rPr>
          <w:lang w:val="fr-CH"/>
        </w:rPr>
        <w:t>s alphabets des minorités</w:t>
      </w:r>
      <w:r w:rsidR="00425386" w:rsidRPr="00731644">
        <w:rPr>
          <w:lang w:val="fr-CH"/>
        </w:rPr>
        <w:t>;</w:t>
      </w:r>
    </w:p>
    <w:p w:rsidR="007A774E" w:rsidRPr="00731644" w:rsidRDefault="002A79C4" w:rsidP="00905ADA">
      <w:pPr>
        <w:pStyle w:val="Bullet1G"/>
        <w:rPr>
          <w:lang w:val="fr-CH"/>
        </w:rPr>
      </w:pPr>
      <w:r w:rsidRPr="00731644">
        <w:rPr>
          <w:lang w:val="fr-CH"/>
        </w:rPr>
        <w:t>Le développement de l</w:t>
      </w:r>
      <w:r w:rsidR="00425386" w:rsidRPr="00731644">
        <w:rPr>
          <w:lang w:val="fr-CH"/>
        </w:rPr>
        <w:t>’</w:t>
      </w:r>
      <w:r w:rsidRPr="00731644">
        <w:rPr>
          <w:lang w:val="fr-CH"/>
        </w:rPr>
        <w:t>éducation préscolaire et des enseignements primaire et secondaire</w:t>
      </w:r>
      <w:r w:rsidR="00425386" w:rsidRPr="00731644">
        <w:rPr>
          <w:lang w:val="fr-CH"/>
        </w:rPr>
        <w:t>;</w:t>
      </w:r>
      <w:r w:rsidRPr="00731644">
        <w:rPr>
          <w:lang w:val="fr-CH"/>
        </w:rPr>
        <w:t xml:space="preserve"> </w:t>
      </w:r>
    </w:p>
    <w:p w:rsidR="002A79C4" w:rsidRPr="00731644" w:rsidRDefault="002A79C4" w:rsidP="00905ADA">
      <w:pPr>
        <w:pStyle w:val="Bullet1G"/>
        <w:rPr>
          <w:lang w:val="fr-CH"/>
        </w:rPr>
      </w:pPr>
      <w:r w:rsidRPr="00731644">
        <w:rPr>
          <w:lang w:val="fr-CH"/>
        </w:rPr>
        <w:t>L</w:t>
      </w:r>
      <w:r w:rsidR="00425386" w:rsidRPr="00731644">
        <w:rPr>
          <w:lang w:val="fr-CH"/>
        </w:rPr>
        <w:t>’</w:t>
      </w:r>
      <w:r w:rsidRPr="00731644">
        <w:rPr>
          <w:lang w:val="fr-CH"/>
        </w:rPr>
        <w:t>accès à l</w:t>
      </w:r>
      <w:r w:rsidR="00425386" w:rsidRPr="00731644">
        <w:rPr>
          <w:lang w:val="fr-CH"/>
        </w:rPr>
        <w:t>’</w:t>
      </w:r>
      <w:r w:rsidRPr="00731644">
        <w:rPr>
          <w:lang w:val="fr-CH"/>
        </w:rPr>
        <w:t>enseignement supérieur par l</w:t>
      </w:r>
      <w:r w:rsidR="00425386" w:rsidRPr="00731644">
        <w:rPr>
          <w:lang w:val="fr-CH"/>
        </w:rPr>
        <w:t>’</w:t>
      </w:r>
      <w:r w:rsidRPr="00731644">
        <w:rPr>
          <w:lang w:val="fr-CH"/>
        </w:rPr>
        <w:t>application des principes de l</w:t>
      </w:r>
      <w:r w:rsidR="00425386" w:rsidRPr="00731644">
        <w:rPr>
          <w:lang w:val="fr-CH"/>
        </w:rPr>
        <w:t>’</w:t>
      </w:r>
      <w:r w:rsidRPr="00731644">
        <w:rPr>
          <w:lang w:val="fr-CH"/>
        </w:rPr>
        <w:t>action positive</w:t>
      </w:r>
      <w:r w:rsidR="00425386" w:rsidRPr="00731644">
        <w:rPr>
          <w:lang w:val="fr-CH"/>
        </w:rPr>
        <w:t>;</w:t>
      </w:r>
      <w:r w:rsidRPr="00731644">
        <w:rPr>
          <w:lang w:val="fr-CH"/>
        </w:rPr>
        <w:t xml:space="preserve"> </w:t>
      </w:r>
    </w:p>
    <w:p w:rsidR="005559D9" w:rsidRPr="00731644" w:rsidRDefault="002A79C4" w:rsidP="00905ADA">
      <w:pPr>
        <w:pStyle w:val="Bullet1G"/>
        <w:rPr>
          <w:lang w:val="fr-CH"/>
        </w:rPr>
      </w:pPr>
      <w:r w:rsidRPr="00731644">
        <w:rPr>
          <w:lang w:val="fr-CH"/>
        </w:rPr>
        <w:t>L</w:t>
      </w:r>
      <w:r w:rsidR="00425386" w:rsidRPr="00731644">
        <w:rPr>
          <w:lang w:val="fr-CH"/>
        </w:rPr>
        <w:t>’</w:t>
      </w:r>
      <w:r w:rsidRPr="00731644">
        <w:rPr>
          <w:lang w:val="fr-CH"/>
        </w:rPr>
        <w:t>a</w:t>
      </w:r>
      <w:r w:rsidR="007A774E" w:rsidRPr="00731644">
        <w:rPr>
          <w:lang w:val="fr-CH"/>
        </w:rPr>
        <w:t>ffirmation</w:t>
      </w:r>
      <w:r w:rsidR="005559D9" w:rsidRPr="00731644">
        <w:rPr>
          <w:lang w:val="fr-CH"/>
        </w:rPr>
        <w:t xml:space="preserve"> du patrimoine culturel des</w:t>
      </w:r>
      <w:r w:rsidR="00F31DD5" w:rsidRPr="00731644">
        <w:rPr>
          <w:lang w:val="fr-CH"/>
        </w:rPr>
        <w:t xml:space="preserve"> </w:t>
      </w:r>
      <w:r w:rsidR="005559D9" w:rsidRPr="00731644">
        <w:rPr>
          <w:lang w:val="fr-CH"/>
        </w:rPr>
        <w:t>minorités au Monténégro</w:t>
      </w:r>
      <w:r w:rsidR="00425386" w:rsidRPr="00731644">
        <w:rPr>
          <w:lang w:val="fr-CH"/>
        </w:rPr>
        <w:t>;</w:t>
      </w:r>
      <w:r w:rsidR="00F31DD5" w:rsidRPr="00731644">
        <w:rPr>
          <w:lang w:val="fr-CH"/>
        </w:rPr>
        <w:t xml:space="preserve"> </w:t>
      </w:r>
    </w:p>
    <w:p w:rsidR="005559D9" w:rsidRPr="00731644" w:rsidRDefault="005559D9" w:rsidP="00905ADA">
      <w:pPr>
        <w:pStyle w:val="Bullet1G"/>
        <w:rPr>
          <w:lang w:val="fr-CH"/>
        </w:rPr>
      </w:pPr>
      <w:r w:rsidRPr="00731644">
        <w:rPr>
          <w:lang w:val="fr-CH"/>
        </w:rPr>
        <w:t>Le développement du système d</w:t>
      </w:r>
      <w:r w:rsidR="00425386" w:rsidRPr="00731644">
        <w:rPr>
          <w:lang w:val="fr-CH"/>
        </w:rPr>
        <w:t>’</w:t>
      </w:r>
      <w:r w:rsidR="007A774E" w:rsidRPr="00731644">
        <w:rPr>
          <w:lang w:val="fr-CH"/>
        </w:rPr>
        <w:t>information</w:t>
      </w:r>
      <w:r w:rsidR="00425386" w:rsidRPr="00731644">
        <w:rPr>
          <w:lang w:val="fr-CH"/>
        </w:rPr>
        <w:t>;</w:t>
      </w:r>
      <w:r w:rsidR="007A774E" w:rsidRPr="00731644">
        <w:rPr>
          <w:lang w:val="fr-CH"/>
        </w:rPr>
        <w:t xml:space="preserve"> </w:t>
      </w:r>
    </w:p>
    <w:p w:rsidR="005559D9" w:rsidRPr="00731644" w:rsidRDefault="005559D9" w:rsidP="00905ADA">
      <w:pPr>
        <w:pStyle w:val="Bullet1G"/>
        <w:rPr>
          <w:lang w:val="fr-CH"/>
        </w:rPr>
      </w:pPr>
      <w:r w:rsidRPr="00731644">
        <w:rPr>
          <w:lang w:val="fr-CH"/>
        </w:rPr>
        <w:t>Une représentation adéquate des minorités dans les services publics</w:t>
      </w:r>
      <w:r w:rsidR="00425386" w:rsidRPr="00731644">
        <w:rPr>
          <w:lang w:val="fr-CH"/>
        </w:rPr>
        <w:t>;</w:t>
      </w:r>
      <w:r w:rsidRPr="00731644">
        <w:rPr>
          <w:lang w:val="fr-CH"/>
        </w:rPr>
        <w:t xml:space="preserve"> </w:t>
      </w:r>
    </w:p>
    <w:p w:rsidR="007A774E" w:rsidRPr="00731644" w:rsidRDefault="005559D9" w:rsidP="00905ADA">
      <w:pPr>
        <w:pStyle w:val="Bullet1G"/>
        <w:rPr>
          <w:lang w:val="fr-CH"/>
        </w:rPr>
      </w:pPr>
      <w:r w:rsidRPr="00731644">
        <w:rPr>
          <w:lang w:val="fr-CH"/>
        </w:rPr>
        <w:t>La conception et l</w:t>
      </w:r>
      <w:r w:rsidR="00425386" w:rsidRPr="00731644">
        <w:rPr>
          <w:lang w:val="fr-CH"/>
        </w:rPr>
        <w:t>’</w:t>
      </w:r>
      <w:r w:rsidRPr="00731644">
        <w:rPr>
          <w:lang w:val="fr-CH"/>
        </w:rPr>
        <w:t>élaboration d</w:t>
      </w:r>
      <w:r w:rsidR="00425386" w:rsidRPr="00731644">
        <w:rPr>
          <w:lang w:val="fr-CH"/>
        </w:rPr>
        <w:t>’</w:t>
      </w:r>
      <w:r w:rsidRPr="00731644">
        <w:rPr>
          <w:lang w:val="fr-CH"/>
        </w:rPr>
        <w:t xml:space="preserve">une politique économique centrée sur les régions où </w:t>
      </w:r>
      <w:r w:rsidR="0003159B" w:rsidRPr="00731644">
        <w:rPr>
          <w:lang w:val="fr-CH"/>
        </w:rPr>
        <w:t>l</w:t>
      </w:r>
      <w:r w:rsidRPr="00731644">
        <w:rPr>
          <w:lang w:val="fr-CH"/>
        </w:rPr>
        <w:t xml:space="preserve">es </w:t>
      </w:r>
      <w:r w:rsidR="0003159B" w:rsidRPr="00731644">
        <w:rPr>
          <w:lang w:val="fr-CH"/>
        </w:rPr>
        <w:t xml:space="preserve">membres de </w:t>
      </w:r>
      <w:r w:rsidRPr="00731644">
        <w:rPr>
          <w:lang w:val="fr-CH"/>
        </w:rPr>
        <w:t>minorités</w:t>
      </w:r>
      <w:r w:rsidR="0003159B" w:rsidRPr="00731644">
        <w:rPr>
          <w:lang w:val="fr-CH"/>
        </w:rPr>
        <w:t xml:space="preserve"> sont </w:t>
      </w:r>
      <w:r w:rsidR="00A66512" w:rsidRPr="00731644">
        <w:rPr>
          <w:lang w:val="fr-CH"/>
        </w:rPr>
        <w:t>particulièrement</w:t>
      </w:r>
      <w:r w:rsidR="0003159B" w:rsidRPr="00731644">
        <w:rPr>
          <w:lang w:val="fr-CH"/>
        </w:rPr>
        <w:t xml:space="preserve"> nombreux</w:t>
      </w:r>
      <w:r w:rsidR="007A774E" w:rsidRPr="00731644">
        <w:rPr>
          <w:lang w:val="fr-CH"/>
        </w:rPr>
        <w:t>.</w:t>
      </w:r>
    </w:p>
    <w:p w:rsidR="007A774E" w:rsidRPr="00731644" w:rsidRDefault="005559D9" w:rsidP="006E7DDA">
      <w:pPr>
        <w:pStyle w:val="H1G"/>
        <w:rPr>
          <w:lang w:val="fr-CH"/>
        </w:rPr>
      </w:pPr>
      <w:r w:rsidRPr="00731644">
        <w:rPr>
          <w:lang w:val="fr-CH"/>
        </w:rPr>
        <w:tab/>
      </w:r>
      <w:r w:rsidRPr="00731644">
        <w:rPr>
          <w:lang w:val="fr-CH"/>
        </w:rPr>
        <w:tab/>
      </w:r>
      <w:r w:rsidR="007A774E" w:rsidRPr="00731644">
        <w:rPr>
          <w:lang w:val="fr-CH"/>
        </w:rPr>
        <w:t xml:space="preserve">Article 3 </w:t>
      </w:r>
    </w:p>
    <w:p w:rsidR="007A774E" w:rsidRPr="00731644" w:rsidRDefault="007634E2" w:rsidP="007A429C">
      <w:pPr>
        <w:pStyle w:val="SingleTxtG"/>
        <w:rPr>
          <w:lang w:val="fr-CH"/>
        </w:rPr>
      </w:pPr>
      <w:r w:rsidRPr="00731644">
        <w:rPr>
          <w:lang w:val="fr-CH"/>
        </w:rPr>
        <w:t>63.</w:t>
      </w:r>
      <w:r w:rsidR="00C451B6" w:rsidRPr="00731644">
        <w:rPr>
          <w:lang w:val="fr-CH"/>
        </w:rPr>
        <w:tab/>
      </w:r>
      <w:r w:rsidR="0046740C" w:rsidRPr="00731644">
        <w:rPr>
          <w:lang w:val="fr-CH"/>
        </w:rPr>
        <w:t>L</w:t>
      </w:r>
      <w:r w:rsidR="005559D9" w:rsidRPr="00731644">
        <w:rPr>
          <w:lang w:val="fr-CH"/>
        </w:rPr>
        <w:t xml:space="preserve">a nouvelle </w:t>
      </w:r>
      <w:r w:rsidR="005559D9" w:rsidRPr="005E7B4F">
        <w:rPr>
          <w:iCs/>
          <w:lang w:val="fr-CH"/>
        </w:rPr>
        <w:t>loi relative à l</w:t>
      </w:r>
      <w:r w:rsidR="00425386" w:rsidRPr="005E7B4F">
        <w:rPr>
          <w:iCs/>
          <w:lang w:val="fr-CH"/>
        </w:rPr>
        <w:t>’</w:t>
      </w:r>
      <w:r w:rsidR="005559D9" w:rsidRPr="005E7B4F">
        <w:rPr>
          <w:iCs/>
          <w:lang w:val="fr-CH"/>
        </w:rPr>
        <w:t>interdiction de la discrimination</w:t>
      </w:r>
      <w:r w:rsidR="005559D9" w:rsidRPr="00731644">
        <w:rPr>
          <w:lang w:val="fr-CH"/>
        </w:rPr>
        <w:t xml:space="preserve"> définit des formes et des domaines particuliers de discrimination, et not</w:t>
      </w:r>
      <w:r w:rsidR="0046740C" w:rsidRPr="00731644">
        <w:rPr>
          <w:lang w:val="fr-CH"/>
        </w:rPr>
        <w:t>amment la ségrégation, qui est</w:t>
      </w:r>
      <w:r w:rsidR="005559D9" w:rsidRPr="00731644">
        <w:rPr>
          <w:lang w:val="fr-CH"/>
        </w:rPr>
        <w:t xml:space="preserve"> (</w:t>
      </w:r>
      <w:r w:rsidR="00F31DD5" w:rsidRPr="00731644">
        <w:rPr>
          <w:lang w:val="fr-CH"/>
        </w:rPr>
        <w:t>art. </w:t>
      </w:r>
      <w:r w:rsidR="005559D9" w:rsidRPr="00731644">
        <w:rPr>
          <w:lang w:val="fr-CH"/>
        </w:rPr>
        <w:t xml:space="preserve">9) toute </w:t>
      </w:r>
      <w:r w:rsidR="000A2948" w:rsidRPr="00731644">
        <w:rPr>
          <w:lang w:val="fr-CH"/>
        </w:rPr>
        <w:t>distinc</w:t>
      </w:r>
      <w:r w:rsidR="005559D9" w:rsidRPr="00731644">
        <w:rPr>
          <w:lang w:val="fr-CH"/>
        </w:rPr>
        <w:t xml:space="preserve">tion établie entre une personne ou un groupe </w:t>
      </w:r>
      <w:r w:rsidR="00B569C5" w:rsidRPr="00731644">
        <w:rPr>
          <w:lang w:val="fr-CH"/>
        </w:rPr>
        <w:t>de personnes</w:t>
      </w:r>
      <w:r w:rsidR="005559D9" w:rsidRPr="00731644">
        <w:rPr>
          <w:lang w:val="fr-CH"/>
        </w:rPr>
        <w:t xml:space="preserve"> et les autres </w:t>
      </w:r>
      <w:r w:rsidR="000A2948" w:rsidRPr="00731644">
        <w:rPr>
          <w:lang w:val="fr-CH"/>
        </w:rPr>
        <w:t>en raison de</w:t>
      </w:r>
      <w:r w:rsidR="0046740C" w:rsidRPr="00731644">
        <w:rPr>
          <w:lang w:val="fr-CH"/>
        </w:rPr>
        <w:t xml:space="preserve"> </w:t>
      </w:r>
      <w:r w:rsidR="005559D9" w:rsidRPr="00731644">
        <w:rPr>
          <w:lang w:val="fr-CH"/>
        </w:rPr>
        <w:t>l</w:t>
      </w:r>
      <w:r w:rsidR="00425386" w:rsidRPr="00731644">
        <w:rPr>
          <w:lang w:val="fr-CH"/>
        </w:rPr>
        <w:t>’</w:t>
      </w:r>
      <w:r w:rsidR="005559D9" w:rsidRPr="00731644">
        <w:rPr>
          <w:lang w:val="fr-CH"/>
        </w:rPr>
        <w:t>un</w:t>
      </w:r>
      <w:r w:rsidR="0046740C" w:rsidRPr="00731644">
        <w:rPr>
          <w:lang w:val="fr-CH"/>
        </w:rPr>
        <w:t>e</w:t>
      </w:r>
      <w:r w:rsidR="005559D9" w:rsidRPr="00731644">
        <w:rPr>
          <w:lang w:val="fr-CH"/>
        </w:rPr>
        <w:t xml:space="preserve"> quelconque des </w:t>
      </w:r>
      <w:r w:rsidR="0046740C" w:rsidRPr="00731644">
        <w:rPr>
          <w:lang w:val="fr-CH"/>
        </w:rPr>
        <w:t xml:space="preserve">considérations énumérées au </w:t>
      </w:r>
      <w:r w:rsidR="00CB7658" w:rsidRPr="00731644">
        <w:rPr>
          <w:lang w:val="fr-CH"/>
        </w:rPr>
        <w:t>paragraphe </w:t>
      </w:r>
      <w:r w:rsidR="0046740C" w:rsidRPr="00731644">
        <w:rPr>
          <w:lang w:val="fr-CH"/>
        </w:rPr>
        <w:t xml:space="preserve">1 de </w:t>
      </w:r>
      <w:r w:rsidR="00374D76" w:rsidRPr="00731644">
        <w:rPr>
          <w:lang w:val="fr-CH"/>
        </w:rPr>
        <w:t>l</w:t>
      </w:r>
      <w:r w:rsidR="00425386" w:rsidRPr="00731644">
        <w:rPr>
          <w:lang w:val="fr-CH"/>
        </w:rPr>
        <w:t>’</w:t>
      </w:r>
      <w:r w:rsidR="001753EC">
        <w:rPr>
          <w:lang w:val="fr-CH"/>
        </w:rPr>
        <w:t>article </w:t>
      </w:r>
      <w:r w:rsidR="0046740C" w:rsidRPr="00731644">
        <w:rPr>
          <w:lang w:val="fr-CH"/>
        </w:rPr>
        <w:t>3 de la loi, sous réserve qu</w:t>
      </w:r>
      <w:r w:rsidR="00425386" w:rsidRPr="00731644">
        <w:rPr>
          <w:lang w:val="fr-CH"/>
        </w:rPr>
        <w:t>’</w:t>
      </w:r>
      <w:r w:rsidR="0046740C" w:rsidRPr="00731644">
        <w:rPr>
          <w:lang w:val="fr-CH"/>
        </w:rPr>
        <w:t>il n</w:t>
      </w:r>
      <w:r w:rsidR="00425386" w:rsidRPr="00731644">
        <w:rPr>
          <w:lang w:val="fr-CH"/>
        </w:rPr>
        <w:t>’</w:t>
      </w:r>
      <w:r w:rsidR="0046740C" w:rsidRPr="00731644">
        <w:rPr>
          <w:lang w:val="fr-CH"/>
        </w:rPr>
        <w:t xml:space="preserve">y ait aucune justification objective et raisonnable à pareil traitement. </w:t>
      </w:r>
      <w:r w:rsidR="000A2948" w:rsidRPr="00731644">
        <w:rPr>
          <w:lang w:val="fr-CH"/>
        </w:rPr>
        <w:t>En vertu</w:t>
      </w:r>
      <w:r w:rsidR="0046740C" w:rsidRPr="00731644">
        <w:rPr>
          <w:lang w:val="fr-CH"/>
        </w:rPr>
        <w:t xml:space="preserve"> de la loi, les services d</w:t>
      </w:r>
      <w:r w:rsidR="00425386" w:rsidRPr="00731644">
        <w:rPr>
          <w:lang w:val="fr-CH"/>
        </w:rPr>
        <w:t>’</w:t>
      </w:r>
      <w:r w:rsidR="0046740C" w:rsidRPr="00731644">
        <w:rPr>
          <w:lang w:val="fr-CH"/>
        </w:rPr>
        <w:t>inspection compétents de l</w:t>
      </w:r>
      <w:r w:rsidR="00425386" w:rsidRPr="00731644">
        <w:rPr>
          <w:lang w:val="fr-CH"/>
        </w:rPr>
        <w:t>’</w:t>
      </w:r>
      <w:r w:rsidR="0046740C" w:rsidRPr="00731644">
        <w:rPr>
          <w:lang w:val="fr-CH"/>
        </w:rPr>
        <w:t>État et le Protecteur des droits de l</w:t>
      </w:r>
      <w:r w:rsidR="00425386" w:rsidRPr="00731644">
        <w:rPr>
          <w:lang w:val="fr-CH"/>
        </w:rPr>
        <w:t>’</w:t>
      </w:r>
      <w:r w:rsidR="0046740C" w:rsidRPr="00731644">
        <w:rPr>
          <w:lang w:val="fr-CH"/>
        </w:rPr>
        <w:t>homme et des libertés</w:t>
      </w:r>
      <w:r w:rsidR="00703618" w:rsidRPr="00731644">
        <w:rPr>
          <w:rStyle w:val="FootnoteReference"/>
          <w:lang w:val="fr-CH"/>
        </w:rPr>
        <w:footnoteReference w:id="14"/>
      </w:r>
      <w:r w:rsidR="0046740C" w:rsidRPr="00731644">
        <w:rPr>
          <w:lang w:val="fr-CH"/>
        </w:rPr>
        <w:t xml:space="preserve"> sont tenus de réagir à tout traitement de cette nature</w:t>
      </w:r>
      <w:r w:rsidR="000A2948" w:rsidRPr="00731644">
        <w:rPr>
          <w:lang w:val="fr-CH"/>
        </w:rPr>
        <w:t>,</w:t>
      </w:r>
      <w:r w:rsidR="0046740C" w:rsidRPr="00731644">
        <w:rPr>
          <w:lang w:val="fr-CH"/>
        </w:rPr>
        <w:t xml:space="preserve"> et le texte habilite </w:t>
      </w:r>
      <w:r w:rsidR="000A2948" w:rsidRPr="00731644">
        <w:rPr>
          <w:lang w:val="fr-CH"/>
        </w:rPr>
        <w:t xml:space="preserve">les </w:t>
      </w:r>
      <w:r w:rsidR="0046740C" w:rsidRPr="00731644">
        <w:rPr>
          <w:lang w:val="fr-CH"/>
        </w:rPr>
        <w:t xml:space="preserve">tribunaux nationaux à se prononcer sur la matérialité de la </w:t>
      </w:r>
      <w:r w:rsidR="000A2948" w:rsidRPr="00731644">
        <w:rPr>
          <w:lang w:val="fr-CH"/>
        </w:rPr>
        <w:t>ségrégation</w:t>
      </w:r>
      <w:r w:rsidR="0046740C" w:rsidRPr="00731644">
        <w:rPr>
          <w:lang w:val="fr-CH"/>
        </w:rPr>
        <w:t xml:space="preserve"> ainsi que sur ses </w:t>
      </w:r>
      <w:r w:rsidR="00A66512" w:rsidRPr="00731644">
        <w:rPr>
          <w:lang w:val="fr-CH"/>
        </w:rPr>
        <w:t>conséquences</w:t>
      </w:r>
      <w:r w:rsidR="0046740C" w:rsidRPr="00731644">
        <w:rPr>
          <w:lang w:val="fr-CH"/>
        </w:rPr>
        <w:t xml:space="preserve"> </w:t>
      </w:r>
      <w:r w:rsidR="007A774E" w:rsidRPr="00731644">
        <w:rPr>
          <w:lang w:val="fr-CH"/>
        </w:rPr>
        <w:t>(</w:t>
      </w:r>
      <w:r w:rsidR="0046740C" w:rsidRPr="00731644">
        <w:rPr>
          <w:lang w:val="fr-CH"/>
        </w:rPr>
        <w:t xml:space="preserve">le </w:t>
      </w:r>
      <w:r w:rsidR="006B5B26" w:rsidRPr="00731644">
        <w:rPr>
          <w:lang w:val="fr-CH"/>
        </w:rPr>
        <w:t>préjudic</w:t>
      </w:r>
      <w:r w:rsidR="0046740C" w:rsidRPr="00731644">
        <w:rPr>
          <w:lang w:val="fr-CH"/>
        </w:rPr>
        <w:t>e causé</w:t>
      </w:r>
      <w:r w:rsidR="007A774E" w:rsidRPr="00731644">
        <w:rPr>
          <w:lang w:val="fr-CH"/>
        </w:rPr>
        <w:t xml:space="preserve">), </w:t>
      </w:r>
      <w:r w:rsidR="002F2A20" w:rsidRPr="00731644">
        <w:rPr>
          <w:lang w:val="fr-CH"/>
        </w:rPr>
        <w:t xml:space="preserve">à la </w:t>
      </w:r>
      <w:r w:rsidR="00A66512" w:rsidRPr="00731644">
        <w:rPr>
          <w:lang w:val="fr-CH"/>
        </w:rPr>
        <w:t>demande</w:t>
      </w:r>
      <w:r w:rsidR="002F2A20" w:rsidRPr="00731644">
        <w:rPr>
          <w:lang w:val="fr-CH"/>
        </w:rPr>
        <w:t xml:space="preserve"> de la victime. </w:t>
      </w:r>
    </w:p>
    <w:p w:rsidR="007A774E" w:rsidRPr="00731644" w:rsidRDefault="000A2948" w:rsidP="006E7DDA">
      <w:pPr>
        <w:pStyle w:val="H1G"/>
        <w:rPr>
          <w:lang w:val="fr-CH"/>
        </w:rPr>
      </w:pPr>
      <w:r w:rsidRPr="00731644">
        <w:rPr>
          <w:lang w:val="fr-CH"/>
        </w:rPr>
        <w:tab/>
      </w:r>
      <w:r w:rsidRPr="00731644">
        <w:rPr>
          <w:lang w:val="fr-CH"/>
        </w:rPr>
        <w:tab/>
      </w:r>
      <w:r w:rsidR="007A774E" w:rsidRPr="00731644">
        <w:rPr>
          <w:lang w:val="fr-CH"/>
        </w:rPr>
        <w:t xml:space="preserve">Article 4 </w:t>
      </w:r>
    </w:p>
    <w:p w:rsidR="007A774E" w:rsidRPr="00731644" w:rsidRDefault="00C451B6" w:rsidP="007A774E">
      <w:pPr>
        <w:pStyle w:val="SingleTxtG"/>
        <w:rPr>
          <w:lang w:val="fr-CH"/>
        </w:rPr>
      </w:pPr>
      <w:r w:rsidRPr="00731644">
        <w:rPr>
          <w:lang w:val="fr-CH"/>
        </w:rPr>
        <w:t>64.</w:t>
      </w:r>
      <w:r w:rsidRPr="00731644">
        <w:rPr>
          <w:lang w:val="fr-CH"/>
        </w:rPr>
        <w:tab/>
      </w:r>
      <w:r w:rsidR="000A2948" w:rsidRPr="00731644">
        <w:rPr>
          <w:lang w:val="fr-CH"/>
        </w:rPr>
        <w:t>D</w:t>
      </w:r>
      <w:r w:rsidR="00D54CB2" w:rsidRPr="00731644">
        <w:rPr>
          <w:lang w:val="fr-CH"/>
        </w:rPr>
        <w:t>ans le système juridique du Monténégro, la discrimination est réprimée par le droit pénal. Les dispositions pertinente</w:t>
      </w:r>
      <w:r w:rsidR="000A2948" w:rsidRPr="00731644">
        <w:rPr>
          <w:lang w:val="fr-CH"/>
        </w:rPr>
        <w:t>s</w:t>
      </w:r>
      <w:r w:rsidR="00D54CB2" w:rsidRPr="00731644">
        <w:rPr>
          <w:lang w:val="fr-CH"/>
        </w:rPr>
        <w:t xml:space="preserve"> figurent </w:t>
      </w:r>
      <w:r w:rsidR="000A2948" w:rsidRPr="00731644">
        <w:rPr>
          <w:lang w:val="fr-CH"/>
        </w:rPr>
        <w:t>au</w:t>
      </w:r>
      <w:r w:rsidR="00D54CB2" w:rsidRPr="00731644">
        <w:rPr>
          <w:lang w:val="fr-CH"/>
        </w:rPr>
        <w:t xml:space="preserve"> titre </w:t>
      </w:r>
      <w:r w:rsidR="007A774E" w:rsidRPr="00731644">
        <w:rPr>
          <w:lang w:val="fr-CH"/>
        </w:rPr>
        <w:t>XV</w:t>
      </w:r>
      <w:r w:rsidR="00D54CB2" w:rsidRPr="00731644">
        <w:rPr>
          <w:lang w:val="fr-CH"/>
        </w:rPr>
        <w:t xml:space="preserve"> du Code pénal</w:t>
      </w:r>
      <w:r w:rsidR="007A774E" w:rsidRPr="00731644">
        <w:rPr>
          <w:lang w:val="fr-CH"/>
        </w:rPr>
        <w:t xml:space="preserve"> –</w:t>
      </w:r>
      <w:r w:rsidR="00425386" w:rsidRPr="00731644">
        <w:rPr>
          <w:lang w:val="fr-CH"/>
        </w:rPr>
        <w:t xml:space="preserve"> </w:t>
      </w:r>
      <w:r w:rsidR="000A2948" w:rsidRPr="00731644">
        <w:rPr>
          <w:lang w:val="fr-CH"/>
        </w:rPr>
        <w:t>A</w:t>
      </w:r>
      <w:r w:rsidR="00D54CB2" w:rsidRPr="00731644">
        <w:rPr>
          <w:lang w:val="fr-CH"/>
        </w:rPr>
        <w:t>tteinte</w:t>
      </w:r>
      <w:r w:rsidR="000A2948" w:rsidRPr="00731644">
        <w:rPr>
          <w:lang w:val="fr-CH"/>
        </w:rPr>
        <w:t>s</w:t>
      </w:r>
      <w:r w:rsidR="00D54CB2" w:rsidRPr="00731644">
        <w:rPr>
          <w:lang w:val="fr-CH"/>
        </w:rPr>
        <w:t xml:space="preserve"> aux libertés et aux droits des particuliers et des citoyens</w:t>
      </w:r>
      <w:r w:rsidR="007A774E" w:rsidRPr="00731644">
        <w:rPr>
          <w:lang w:val="fr-CH"/>
        </w:rPr>
        <w:t>.</w:t>
      </w:r>
    </w:p>
    <w:p w:rsidR="007A774E" w:rsidRPr="00731644" w:rsidRDefault="00C451B6" w:rsidP="00C15A9A">
      <w:pPr>
        <w:pStyle w:val="SingleTxtG"/>
        <w:rPr>
          <w:lang w:val="fr-CH"/>
        </w:rPr>
      </w:pPr>
      <w:r w:rsidRPr="00731644">
        <w:rPr>
          <w:lang w:val="fr-CH"/>
        </w:rPr>
        <w:t>65.</w:t>
      </w:r>
      <w:r w:rsidRPr="00731644">
        <w:rPr>
          <w:lang w:val="fr-CH"/>
        </w:rPr>
        <w:tab/>
      </w:r>
      <w:r w:rsidR="00D54CB2" w:rsidRPr="00731644">
        <w:rPr>
          <w:lang w:val="fr-CH"/>
        </w:rPr>
        <w:t>L</w:t>
      </w:r>
      <w:r w:rsidR="00425386" w:rsidRPr="00731644">
        <w:rPr>
          <w:lang w:val="fr-CH"/>
        </w:rPr>
        <w:t>’</w:t>
      </w:r>
      <w:r w:rsidR="00BE0910" w:rsidRPr="00731644">
        <w:rPr>
          <w:lang w:val="fr-CH"/>
        </w:rPr>
        <w:t>atteinte au</w:t>
      </w:r>
      <w:r w:rsidR="00D54CB2" w:rsidRPr="00731644">
        <w:rPr>
          <w:lang w:val="fr-CH"/>
        </w:rPr>
        <w:t xml:space="preserve"> droit d</w:t>
      </w:r>
      <w:r w:rsidR="00425386" w:rsidRPr="00731644">
        <w:rPr>
          <w:lang w:val="fr-CH"/>
        </w:rPr>
        <w:t>’</w:t>
      </w:r>
      <w:r w:rsidR="00D54CB2" w:rsidRPr="00731644">
        <w:rPr>
          <w:lang w:val="fr-CH"/>
        </w:rPr>
        <w:t xml:space="preserve">utiliser </w:t>
      </w:r>
      <w:r w:rsidR="000A2948" w:rsidRPr="00731644">
        <w:rPr>
          <w:lang w:val="fr-CH"/>
        </w:rPr>
        <w:t xml:space="preserve">sa langue et son </w:t>
      </w:r>
      <w:r w:rsidR="007A774E" w:rsidRPr="00731644">
        <w:rPr>
          <w:lang w:val="fr-CH"/>
        </w:rPr>
        <w:t xml:space="preserve">alphabet </w:t>
      </w:r>
      <w:r w:rsidR="00D54CB2" w:rsidRPr="00731644">
        <w:rPr>
          <w:lang w:val="fr-CH"/>
        </w:rPr>
        <w:t>est visé</w:t>
      </w:r>
      <w:r w:rsidR="003155CE" w:rsidRPr="00731644">
        <w:rPr>
          <w:lang w:val="fr-CH"/>
        </w:rPr>
        <w:t>e</w:t>
      </w:r>
      <w:r w:rsidR="00D54CB2" w:rsidRPr="00731644">
        <w:rPr>
          <w:lang w:val="fr-CH"/>
        </w:rPr>
        <w:t xml:space="preserve"> par </w:t>
      </w:r>
      <w:r w:rsidR="00374D76" w:rsidRPr="00731644">
        <w:rPr>
          <w:lang w:val="fr-CH"/>
        </w:rPr>
        <w:t>l</w:t>
      </w:r>
      <w:r w:rsidR="00425386" w:rsidRPr="00731644">
        <w:rPr>
          <w:lang w:val="fr-CH"/>
        </w:rPr>
        <w:t>’</w:t>
      </w:r>
      <w:r w:rsidR="001753EC">
        <w:rPr>
          <w:lang w:val="fr-CH"/>
        </w:rPr>
        <w:t>article </w:t>
      </w:r>
      <w:r w:rsidR="007A774E" w:rsidRPr="00731644">
        <w:rPr>
          <w:lang w:val="fr-CH"/>
        </w:rPr>
        <w:t xml:space="preserve">158 </w:t>
      </w:r>
      <w:r w:rsidR="00D54CB2" w:rsidRPr="00731644">
        <w:rPr>
          <w:lang w:val="fr-CH"/>
        </w:rPr>
        <w:t>du</w:t>
      </w:r>
      <w:r w:rsidR="007A774E" w:rsidRPr="00731644">
        <w:rPr>
          <w:lang w:val="fr-CH"/>
        </w:rPr>
        <w:t xml:space="preserve"> Code </w:t>
      </w:r>
      <w:r w:rsidR="00D54CB2" w:rsidRPr="00731644">
        <w:rPr>
          <w:lang w:val="fr-CH"/>
        </w:rPr>
        <w:t>pénal. Il s</w:t>
      </w:r>
      <w:r w:rsidR="00425386" w:rsidRPr="00731644">
        <w:rPr>
          <w:lang w:val="fr-CH"/>
        </w:rPr>
        <w:t>’</w:t>
      </w:r>
      <w:r w:rsidR="00D54CB2" w:rsidRPr="00731644">
        <w:rPr>
          <w:lang w:val="fr-CH"/>
        </w:rPr>
        <w:t xml:space="preserve">agit de cette </w:t>
      </w:r>
      <w:r w:rsidR="00BE0910" w:rsidRPr="00731644">
        <w:rPr>
          <w:lang w:val="fr-CH"/>
        </w:rPr>
        <w:t>forme</w:t>
      </w:r>
      <w:r w:rsidR="00D54CB2" w:rsidRPr="00731644">
        <w:rPr>
          <w:lang w:val="fr-CH"/>
        </w:rPr>
        <w:t xml:space="preserve"> particulière </w:t>
      </w:r>
      <w:r w:rsidR="00BE0910" w:rsidRPr="00731644">
        <w:rPr>
          <w:lang w:val="fr-CH"/>
        </w:rPr>
        <w:t>de violation de</w:t>
      </w:r>
      <w:r w:rsidR="00D54CB2" w:rsidRPr="00731644">
        <w:rPr>
          <w:lang w:val="fr-CH"/>
        </w:rPr>
        <w:t xml:space="preserve"> l</w:t>
      </w:r>
      <w:r w:rsidR="00425386" w:rsidRPr="00731644">
        <w:rPr>
          <w:lang w:val="fr-CH"/>
        </w:rPr>
        <w:t>’</w:t>
      </w:r>
      <w:r w:rsidR="00D54CB2" w:rsidRPr="00731644">
        <w:rPr>
          <w:lang w:val="fr-CH"/>
        </w:rPr>
        <w:t>égalité qui consiste à dénier ou à restreindre le droit qu</w:t>
      </w:r>
      <w:r w:rsidR="00425386" w:rsidRPr="00731644">
        <w:rPr>
          <w:lang w:val="fr-CH"/>
        </w:rPr>
        <w:t>’</w:t>
      </w:r>
      <w:r w:rsidR="00D54CB2" w:rsidRPr="00731644">
        <w:rPr>
          <w:lang w:val="fr-CH"/>
        </w:rPr>
        <w:t>a un citoyen</w:t>
      </w:r>
      <w:r w:rsidR="003155CE" w:rsidRPr="00731644">
        <w:rPr>
          <w:lang w:val="fr-CH"/>
        </w:rPr>
        <w:t xml:space="preserve"> d</w:t>
      </w:r>
      <w:r w:rsidR="00425386" w:rsidRPr="00731644">
        <w:rPr>
          <w:lang w:val="fr-CH"/>
        </w:rPr>
        <w:t>’</w:t>
      </w:r>
      <w:r w:rsidR="003155CE" w:rsidRPr="00731644">
        <w:rPr>
          <w:lang w:val="fr-CH"/>
        </w:rPr>
        <w:t>utiliser sa langue et son alphabet</w:t>
      </w:r>
      <w:r w:rsidR="00D54CB2" w:rsidRPr="00731644">
        <w:rPr>
          <w:lang w:val="fr-CH"/>
        </w:rPr>
        <w:t xml:space="preserve"> </w:t>
      </w:r>
      <w:r w:rsidR="003155CE" w:rsidRPr="00731644">
        <w:rPr>
          <w:lang w:val="fr-CH"/>
        </w:rPr>
        <w:t>lorsqu</w:t>
      </w:r>
      <w:r w:rsidR="00425386" w:rsidRPr="00731644">
        <w:rPr>
          <w:lang w:val="fr-CH"/>
        </w:rPr>
        <w:t>’</w:t>
      </w:r>
      <w:r w:rsidR="003155CE" w:rsidRPr="00731644">
        <w:rPr>
          <w:lang w:val="fr-CH"/>
        </w:rPr>
        <w:t>il exerc</w:t>
      </w:r>
      <w:r w:rsidR="00D54CB2" w:rsidRPr="00731644">
        <w:rPr>
          <w:lang w:val="fr-CH"/>
        </w:rPr>
        <w:t>e ses droits ou qu</w:t>
      </w:r>
      <w:r w:rsidR="00425386" w:rsidRPr="00731644">
        <w:rPr>
          <w:lang w:val="fr-CH"/>
        </w:rPr>
        <w:t>’</w:t>
      </w:r>
      <w:r w:rsidR="00D54CB2" w:rsidRPr="00731644">
        <w:rPr>
          <w:lang w:val="fr-CH"/>
        </w:rPr>
        <w:t>il s</w:t>
      </w:r>
      <w:r w:rsidR="00425386" w:rsidRPr="00731644">
        <w:rPr>
          <w:lang w:val="fr-CH"/>
        </w:rPr>
        <w:t>’</w:t>
      </w:r>
      <w:r w:rsidR="00D54CB2" w:rsidRPr="00731644">
        <w:rPr>
          <w:lang w:val="fr-CH"/>
        </w:rPr>
        <w:t>adresse au</w:t>
      </w:r>
      <w:r w:rsidR="003155CE" w:rsidRPr="00731644">
        <w:rPr>
          <w:lang w:val="fr-CH"/>
        </w:rPr>
        <w:t>x</w:t>
      </w:r>
      <w:r w:rsidR="00D54CB2" w:rsidRPr="00731644">
        <w:rPr>
          <w:lang w:val="fr-CH"/>
        </w:rPr>
        <w:t xml:space="preserve"> autorités ou à une organisation</w:t>
      </w:r>
      <w:r w:rsidR="00BE0910" w:rsidRPr="00731644">
        <w:rPr>
          <w:lang w:val="fr-CH"/>
        </w:rPr>
        <w:t>. Cette violation de la réglementation relative à l</w:t>
      </w:r>
      <w:r w:rsidR="00425386" w:rsidRPr="00731644">
        <w:rPr>
          <w:lang w:val="fr-CH"/>
        </w:rPr>
        <w:t>’</w:t>
      </w:r>
      <w:r w:rsidR="00BE0910" w:rsidRPr="00731644">
        <w:rPr>
          <w:lang w:val="fr-CH"/>
        </w:rPr>
        <w:t xml:space="preserve">utilisation de </w:t>
      </w:r>
      <w:r w:rsidR="003155CE" w:rsidRPr="00731644">
        <w:rPr>
          <w:lang w:val="fr-CH"/>
        </w:rPr>
        <w:t>la</w:t>
      </w:r>
      <w:r w:rsidR="00BE0910" w:rsidRPr="00731644">
        <w:rPr>
          <w:lang w:val="fr-CH"/>
        </w:rPr>
        <w:t xml:space="preserve"> langue et de l</w:t>
      </w:r>
      <w:r w:rsidR="00425386" w:rsidRPr="00731644">
        <w:rPr>
          <w:lang w:val="fr-CH"/>
        </w:rPr>
        <w:t>’</w:t>
      </w:r>
      <w:r w:rsidR="00BE0910" w:rsidRPr="00731644">
        <w:rPr>
          <w:lang w:val="fr-CH"/>
        </w:rPr>
        <w:t xml:space="preserve">alphabet </w:t>
      </w:r>
      <w:r w:rsidR="003155CE" w:rsidRPr="00731644">
        <w:rPr>
          <w:lang w:val="fr-CH"/>
        </w:rPr>
        <w:t>de</w:t>
      </w:r>
      <w:r w:rsidR="00BE0910" w:rsidRPr="00731644">
        <w:rPr>
          <w:lang w:val="fr-CH"/>
        </w:rPr>
        <w:t xml:space="preserve">s peuples et </w:t>
      </w:r>
      <w:r w:rsidR="003155CE" w:rsidRPr="00731644">
        <w:rPr>
          <w:lang w:val="fr-CH"/>
        </w:rPr>
        <w:t>d</w:t>
      </w:r>
      <w:r w:rsidR="00BE0910" w:rsidRPr="00731644">
        <w:rPr>
          <w:lang w:val="fr-CH"/>
        </w:rPr>
        <w:t>es communautés nationales minoritaires</w:t>
      </w:r>
      <w:r w:rsidR="007A774E" w:rsidRPr="00731644">
        <w:rPr>
          <w:lang w:val="fr-CH"/>
        </w:rPr>
        <w:t xml:space="preserve"> </w:t>
      </w:r>
      <w:r w:rsidR="00BE0910" w:rsidRPr="00731644">
        <w:rPr>
          <w:lang w:val="fr-CH"/>
        </w:rPr>
        <w:t>vivant au Monténégro entraîne une amende ou une peine de prison pouvant aller jusqu</w:t>
      </w:r>
      <w:r w:rsidR="00425386" w:rsidRPr="00731644">
        <w:rPr>
          <w:lang w:val="fr-CH"/>
        </w:rPr>
        <w:t>’</w:t>
      </w:r>
      <w:r w:rsidR="00BE0910" w:rsidRPr="00731644">
        <w:rPr>
          <w:lang w:val="fr-CH"/>
        </w:rPr>
        <w:t>à un an. L</w:t>
      </w:r>
      <w:r w:rsidR="00425386" w:rsidRPr="00731644">
        <w:rPr>
          <w:lang w:val="fr-CH"/>
        </w:rPr>
        <w:t>’</w:t>
      </w:r>
      <w:r w:rsidR="001753EC">
        <w:rPr>
          <w:lang w:val="fr-CH"/>
        </w:rPr>
        <w:t>article </w:t>
      </w:r>
      <w:r w:rsidR="007A774E" w:rsidRPr="00731644">
        <w:rPr>
          <w:lang w:val="fr-CH"/>
        </w:rPr>
        <w:t xml:space="preserve">159 </w:t>
      </w:r>
      <w:r w:rsidR="00BE0910" w:rsidRPr="00731644">
        <w:rPr>
          <w:lang w:val="fr-CH"/>
        </w:rPr>
        <w:t>du</w:t>
      </w:r>
      <w:r w:rsidR="007A774E" w:rsidRPr="00731644">
        <w:rPr>
          <w:lang w:val="fr-CH"/>
        </w:rPr>
        <w:t xml:space="preserve"> Code </w:t>
      </w:r>
      <w:r w:rsidR="00BE0910" w:rsidRPr="00731644">
        <w:rPr>
          <w:lang w:val="fr-CH"/>
        </w:rPr>
        <w:t xml:space="preserve">définit </w:t>
      </w:r>
      <w:r w:rsidR="003155CE" w:rsidRPr="00731644">
        <w:rPr>
          <w:lang w:val="fr-CH"/>
        </w:rPr>
        <w:t>l</w:t>
      </w:r>
      <w:r w:rsidR="00425386" w:rsidRPr="00731644">
        <w:rPr>
          <w:lang w:val="fr-CH"/>
        </w:rPr>
        <w:t>’</w:t>
      </w:r>
      <w:r w:rsidR="00BE0910" w:rsidRPr="00731644">
        <w:rPr>
          <w:lang w:val="fr-CH"/>
        </w:rPr>
        <w:t>atteinte à l</w:t>
      </w:r>
      <w:r w:rsidR="00425386" w:rsidRPr="00731644">
        <w:rPr>
          <w:lang w:val="fr-CH"/>
        </w:rPr>
        <w:t>’</w:t>
      </w:r>
      <w:r w:rsidR="00BE0910" w:rsidRPr="00731644">
        <w:rPr>
          <w:lang w:val="fr-CH"/>
        </w:rPr>
        <w:t>égalité</w:t>
      </w:r>
      <w:r w:rsidR="007A774E" w:rsidRPr="00731644">
        <w:rPr>
          <w:lang w:val="fr-CH"/>
        </w:rPr>
        <w:t xml:space="preserve">. </w:t>
      </w:r>
      <w:r w:rsidR="00BE0910" w:rsidRPr="00731644">
        <w:rPr>
          <w:lang w:val="fr-CH"/>
        </w:rPr>
        <w:t>L</w:t>
      </w:r>
      <w:r w:rsidR="00425386" w:rsidRPr="00731644">
        <w:rPr>
          <w:lang w:val="fr-CH"/>
        </w:rPr>
        <w:t>’</w:t>
      </w:r>
      <w:r w:rsidR="00BE0910" w:rsidRPr="00731644">
        <w:rPr>
          <w:lang w:val="fr-CH"/>
        </w:rPr>
        <w:t xml:space="preserve">atteinte à la liberté de circuler et de choisir son lieu de résidence est incriminée par </w:t>
      </w:r>
      <w:r w:rsidR="00374D76" w:rsidRPr="00731644">
        <w:rPr>
          <w:lang w:val="fr-CH"/>
        </w:rPr>
        <w:t>l</w:t>
      </w:r>
      <w:r w:rsidR="00425386" w:rsidRPr="00731644">
        <w:rPr>
          <w:lang w:val="fr-CH"/>
        </w:rPr>
        <w:t>’</w:t>
      </w:r>
      <w:r w:rsidR="001753EC">
        <w:rPr>
          <w:lang w:val="fr-CH"/>
        </w:rPr>
        <w:t>article </w:t>
      </w:r>
      <w:r w:rsidR="007A774E" w:rsidRPr="00731644">
        <w:rPr>
          <w:lang w:val="fr-CH"/>
        </w:rPr>
        <w:t>163.</w:t>
      </w:r>
    </w:p>
    <w:p w:rsidR="007A774E" w:rsidRPr="00731644" w:rsidRDefault="00C451B6" w:rsidP="00C15A9A">
      <w:pPr>
        <w:pStyle w:val="SingleTxtG"/>
        <w:rPr>
          <w:lang w:val="fr-CH"/>
        </w:rPr>
      </w:pPr>
      <w:r w:rsidRPr="00731644">
        <w:rPr>
          <w:lang w:val="fr-CH"/>
        </w:rPr>
        <w:t>66.</w:t>
      </w:r>
      <w:r w:rsidRPr="00731644">
        <w:rPr>
          <w:lang w:val="fr-CH"/>
        </w:rPr>
        <w:tab/>
      </w:r>
      <w:r w:rsidR="00BE0910" w:rsidRPr="00731644">
        <w:rPr>
          <w:lang w:val="fr-CH"/>
        </w:rPr>
        <w:t>L</w:t>
      </w:r>
      <w:r w:rsidR="00425386" w:rsidRPr="00731644">
        <w:rPr>
          <w:lang w:val="fr-CH"/>
        </w:rPr>
        <w:t>’</w:t>
      </w:r>
      <w:r w:rsidR="00BE0910" w:rsidRPr="00731644">
        <w:rPr>
          <w:lang w:val="fr-CH"/>
        </w:rPr>
        <w:t>atteinte au droit d</w:t>
      </w:r>
      <w:r w:rsidR="00425386" w:rsidRPr="00731644">
        <w:rPr>
          <w:lang w:val="fr-CH"/>
        </w:rPr>
        <w:t>’</w:t>
      </w:r>
      <w:r w:rsidR="00BE0910" w:rsidRPr="00731644">
        <w:rPr>
          <w:lang w:val="fr-CH"/>
        </w:rPr>
        <w:t xml:space="preserve">exprimer son appartenance nationale ou ethnique est sanctionnée par </w:t>
      </w:r>
      <w:r w:rsidR="00374D76" w:rsidRPr="00731644">
        <w:rPr>
          <w:lang w:val="fr-CH"/>
        </w:rPr>
        <w:t>l</w:t>
      </w:r>
      <w:r w:rsidR="00425386" w:rsidRPr="00731644">
        <w:rPr>
          <w:lang w:val="fr-CH"/>
        </w:rPr>
        <w:t>’</w:t>
      </w:r>
      <w:r w:rsidR="001753EC">
        <w:rPr>
          <w:lang w:val="fr-CH"/>
        </w:rPr>
        <w:t>article </w:t>
      </w:r>
      <w:r w:rsidR="007A774E" w:rsidRPr="00731644">
        <w:rPr>
          <w:lang w:val="fr-CH"/>
        </w:rPr>
        <w:t>160</w:t>
      </w:r>
      <w:r w:rsidR="00BE0910" w:rsidRPr="00731644">
        <w:rPr>
          <w:lang w:val="fr-CH"/>
        </w:rPr>
        <w:t xml:space="preserve"> d</w:t>
      </w:r>
      <w:r w:rsidR="00425386" w:rsidRPr="00731644">
        <w:rPr>
          <w:lang w:val="fr-CH"/>
        </w:rPr>
        <w:t>’</w:t>
      </w:r>
      <w:r w:rsidR="00BE0910" w:rsidRPr="00731644">
        <w:rPr>
          <w:lang w:val="fr-CH"/>
        </w:rPr>
        <w:t>une amende ou d</w:t>
      </w:r>
      <w:r w:rsidR="00425386" w:rsidRPr="00731644">
        <w:rPr>
          <w:lang w:val="fr-CH"/>
        </w:rPr>
        <w:t>’</w:t>
      </w:r>
      <w:r w:rsidR="00BE0910" w:rsidRPr="00731644">
        <w:rPr>
          <w:lang w:val="fr-CH"/>
        </w:rPr>
        <w:t>une incarcération allant jusqu</w:t>
      </w:r>
      <w:r w:rsidR="00425386" w:rsidRPr="00731644">
        <w:rPr>
          <w:lang w:val="fr-CH"/>
        </w:rPr>
        <w:t>’</w:t>
      </w:r>
      <w:r w:rsidR="00BE0910" w:rsidRPr="00731644">
        <w:rPr>
          <w:lang w:val="fr-CH"/>
        </w:rPr>
        <w:t xml:space="preserve">à un an. </w:t>
      </w:r>
      <w:r w:rsidR="000205FA" w:rsidRPr="00731644">
        <w:rPr>
          <w:lang w:val="fr-CH"/>
        </w:rPr>
        <w:t>Le fonctionnaire qui s</w:t>
      </w:r>
      <w:r w:rsidR="00425386" w:rsidRPr="00731644">
        <w:rPr>
          <w:lang w:val="fr-CH"/>
        </w:rPr>
        <w:t>’</w:t>
      </w:r>
      <w:r w:rsidR="000205FA" w:rsidRPr="00731644">
        <w:rPr>
          <w:lang w:val="fr-CH"/>
        </w:rPr>
        <w:t>en rend coupable dans l</w:t>
      </w:r>
      <w:r w:rsidR="00425386" w:rsidRPr="00731644">
        <w:rPr>
          <w:lang w:val="fr-CH"/>
        </w:rPr>
        <w:t>’</w:t>
      </w:r>
      <w:r w:rsidR="000205FA" w:rsidRPr="00731644">
        <w:rPr>
          <w:lang w:val="fr-CH"/>
        </w:rPr>
        <w:t xml:space="preserve">exercice de ses fonctions est condamné à un </w:t>
      </w:r>
      <w:r w:rsidR="003155CE" w:rsidRPr="00731644">
        <w:rPr>
          <w:lang w:val="fr-CH"/>
        </w:rPr>
        <w:t>em</w:t>
      </w:r>
      <w:r w:rsidR="000205FA" w:rsidRPr="00731644">
        <w:rPr>
          <w:lang w:val="fr-CH"/>
        </w:rPr>
        <w:t>prison</w:t>
      </w:r>
      <w:r w:rsidR="003155CE" w:rsidRPr="00731644">
        <w:rPr>
          <w:lang w:val="fr-CH"/>
        </w:rPr>
        <w:t>nement</w:t>
      </w:r>
      <w:r w:rsidR="000205FA" w:rsidRPr="00731644">
        <w:rPr>
          <w:lang w:val="fr-CH"/>
        </w:rPr>
        <w:t xml:space="preserve"> ne dépassant pas trois</w:t>
      </w:r>
      <w:r w:rsidR="00976D48">
        <w:rPr>
          <w:lang w:val="fr-CH"/>
        </w:rPr>
        <w:t> ans</w:t>
      </w:r>
      <w:r w:rsidR="000205FA" w:rsidRPr="00731644">
        <w:rPr>
          <w:lang w:val="fr-CH"/>
        </w:rPr>
        <w:t>. L</w:t>
      </w:r>
      <w:r w:rsidR="00425386" w:rsidRPr="00731644">
        <w:rPr>
          <w:lang w:val="fr-CH"/>
        </w:rPr>
        <w:t>’</w:t>
      </w:r>
      <w:r w:rsidR="000205FA" w:rsidRPr="00731644">
        <w:rPr>
          <w:lang w:val="fr-CH"/>
        </w:rPr>
        <w:t xml:space="preserve">auteur </w:t>
      </w:r>
      <w:r w:rsidR="003155CE" w:rsidRPr="00731644">
        <w:rPr>
          <w:lang w:val="fr-CH"/>
        </w:rPr>
        <w:t>d</w:t>
      </w:r>
      <w:r w:rsidR="00425386" w:rsidRPr="00731644">
        <w:rPr>
          <w:lang w:val="fr-CH"/>
        </w:rPr>
        <w:t>’</w:t>
      </w:r>
      <w:r w:rsidR="003155CE" w:rsidRPr="00731644">
        <w:rPr>
          <w:lang w:val="fr-CH"/>
        </w:rPr>
        <w:t xml:space="preserve">une </w:t>
      </w:r>
      <w:r w:rsidR="000205FA" w:rsidRPr="00731644">
        <w:rPr>
          <w:lang w:val="fr-CH"/>
        </w:rPr>
        <w:t xml:space="preserve">atteinte à la </w:t>
      </w:r>
      <w:r w:rsidR="00A66512" w:rsidRPr="00731644">
        <w:rPr>
          <w:lang w:val="fr-CH"/>
        </w:rPr>
        <w:t>liberté</w:t>
      </w:r>
      <w:r w:rsidR="000205FA" w:rsidRPr="00731644">
        <w:rPr>
          <w:lang w:val="fr-CH"/>
        </w:rPr>
        <w:t xml:space="preserve"> de culte ou de religion et de pratique des rites religieux</w:t>
      </w:r>
      <w:r w:rsidR="00F31DD5" w:rsidRPr="00731644">
        <w:rPr>
          <w:lang w:val="fr-CH"/>
        </w:rPr>
        <w:t xml:space="preserve"> </w:t>
      </w:r>
      <w:r w:rsidR="000205FA" w:rsidRPr="00731644">
        <w:rPr>
          <w:lang w:val="fr-CH"/>
        </w:rPr>
        <w:t>(</w:t>
      </w:r>
      <w:r w:rsidR="00F31DD5" w:rsidRPr="00731644">
        <w:rPr>
          <w:lang w:val="fr-CH"/>
        </w:rPr>
        <w:t>art. </w:t>
      </w:r>
      <w:r w:rsidR="007A774E" w:rsidRPr="00731644">
        <w:rPr>
          <w:lang w:val="fr-CH"/>
        </w:rPr>
        <w:t>161</w:t>
      </w:r>
      <w:r w:rsidR="000205FA" w:rsidRPr="00731644">
        <w:rPr>
          <w:lang w:val="fr-CH"/>
        </w:rPr>
        <w:t>) est passible d</w:t>
      </w:r>
      <w:r w:rsidR="00425386" w:rsidRPr="00731644">
        <w:rPr>
          <w:lang w:val="fr-CH"/>
        </w:rPr>
        <w:t>’</w:t>
      </w:r>
      <w:r w:rsidR="000205FA" w:rsidRPr="00731644">
        <w:rPr>
          <w:lang w:val="fr-CH"/>
        </w:rPr>
        <w:t>une amende ou d</w:t>
      </w:r>
      <w:r w:rsidR="00425386" w:rsidRPr="00731644">
        <w:rPr>
          <w:lang w:val="fr-CH"/>
        </w:rPr>
        <w:t>’</w:t>
      </w:r>
      <w:r w:rsidR="000205FA" w:rsidRPr="00731644">
        <w:rPr>
          <w:lang w:val="fr-CH"/>
        </w:rPr>
        <w:t xml:space="preserve">un emprisonnement pouvant </w:t>
      </w:r>
      <w:r w:rsidR="00A66512" w:rsidRPr="00731644">
        <w:rPr>
          <w:lang w:val="fr-CH"/>
        </w:rPr>
        <w:t xml:space="preserve">aller </w:t>
      </w:r>
      <w:r w:rsidR="000205FA" w:rsidRPr="00731644">
        <w:rPr>
          <w:lang w:val="fr-CH"/>
        </w:rPr>
        <w:t>jusqu</w:t>
      </w:r>
      <w:r w:rsidR="00425386" w:rsidRPr="00731644">
        <w:rPr>
          <w:lang w:val="fr-CH"/>
        </w:rPr>
        <w:t>’</w:t>
      </w:r>
      <w:r w:rsidR="000205FA" w:rsidRPr="00731644">
        <w:rPr>
          <w:lang w:val="fr-CH"/>
        </w:rPr>
        <w:t>à deux</w:t>
      </w:r>
      <w:r w:rsidR="00976D48">
        <w:rPr>
          <w:lang w:val="fr-CH"/>
        </w:rPr>
        <w:t> ans</w:t>
      </w:r>
      <w:r w:rsidR="000205FA" w:rsidRPr="00731644">
        <w:rPr>
          <w:lang w:val="fr-CH"/>
        </w:rPr>
        <w:t xml:space="preserve"> – et d</w:t>
      </w:r>
      <w:r w:rsidR="00425386" w:rsidRPr="00731644">
        <w:rPr>
          <w:lang w:val="fr-CH"/>
        </w:rPr>
        <w:t>’</w:t>
      </w:r>
      <w:r w:rsidR="000205FA" w:rsidRPr="00731644">
        <w:rPr>
          <w:lang w:val="fr-CH"/>
        </w:rPr>
        <w:t>une incarcération de trois</w:t>
      </w:r>
      <w:r w:rsidR="00976D48">
        <w:rPr>
          <w:lang w:val="fr-CH"/>
        </w:rPr>
        <w:t> ans</w:t>
      </w:r>
      <w:r w:rsidR="000205FA" w:rsidRPr="00731644">
        <w:rPr>
          <w:lang w:val="fr-CH"/>
        </w:rPr>
        <w:t xml:space="preserve"> au maximum s</w:t>
      </w:r>
      <w:r w:rsidR="00425386" w:rsidRPr="00731644">
        <w:rPr>
          <w:lang w:val="fr-CH"/>
        </w:rPr>
        <w:t>’</w:t>
      </w:r>
      <w:r w:rsidR="000205FA" w:rsidRPr="00731644">
        <w:rPr>
          <w:lang w:val="fr-CH"/>
        </w:rPr>
        <w:t>il est un fonctionnaire dans l</w:t>
      </w:r>
      <w:r w:rsidR="00425386" w:rsidRPr="00731644">
        <w:rPr>
          <w:lang w:val="fr-CH"/>
        </w:rPr>
        <w:t>’</w:t>
      </w:r>
      <w:r w:rsidR="000205FA" w:rsidRPr="00731644">
        <w:rPr>
          <w:lang w:val="fr-CH"/>
        </w:rPr>
        <w:t>exercice de ses fonctions.</w:t>
      </w:r>
    </w:p>
    <w:p w:rsidR="007A774E" w:rsidRPr="00731644" w:rsidRDefault="00C451B6" w:rsidP="007A176F">
      <w:pPr>
        <w:pStyle w:val="SingleTxtG"/>
        <w:rPr>
          <w:lang w:val="fr-CH"/>
        </w:rPr>
      </w:pPr>
      <w:r w:rsidRPr="00731644">
        <w:rPr>
          <w:lang w:val="fr-CH"/>
        </w:rPr>
        <w:t>67.</w:t>
      </w:r>
      <w:r w:rsidRPr="00731644">
        <w:rPr>
          <w:lang w:val="fr-CH"/>
        </w:rPr>
        <w:tab/>
      </w:r>
      <w:r w:rsidR="000205FA" w:rsidRPr="00731644">
        <w:rPr>
          <w:lang w:val="fr-CH"/>
        </w:rPr>
        <w:t>Le titre</w:t>
      </w:r>
      <w:r w:rsidR="007A774E" w:rsidRPr="00731644">
        <w:rPr>
          <w:lang w:val="fr-CH"/>
        </w:rPr>
        <w:t xml:space="preserve"> XVII </w:t>
      </w:r>
      <w:r w:rsidR="000205FA" w:rsidRPr="00731644">
        <w:rPr>
          <w:lang w:val="fr-CH"/>
        </w:rPr>
        <w:t xml:space="preserve">du Code pénal traite des </w:t>
      </w:r>
      <w:r w:rsidR="00C434AC" w:rsidRPr="00731644">
        <w:rPr>
          <w:lang w:val="fr-CH"/>
        </w:rPr>
        <w:t>atteintes à l</w:t>
      </w:r>
      <w:r w:rsidR="00425386" w:rsidRPr="00731644">
        <w:rPr>
          <w:lang w:val="fr-CH"/>
        </w:rPr>
        <w:t>’</w:t>
      </w:r>
      <w:r w:rsidR="00C434AC" w:rsidRPr="00731644">
        <w:rPr>
          <w:lang w:val="fr-CH"/>
        </w:rPr>
        <w:t xml:space="preserve">honneur et à </w:t>
      </w:r>
      <w:r w:rsidR="001C0DAE" w:rsidRPr="00731644">
        <w:rPr>
          <w:lang w:val="fr-CH"/>
        </w:rPr>
        <w:t>la</w:t>
      </w:r>
      <w:r w:rsidR="00C434AC" w:rsidRPr="00731644">
        <w:rPr>
          <w:lang w:val="fr-CH"/>
        </w:rPr>
        <w:t xml:space="preserve"> réputation, et </w:t>
      </w:r>
      <w:r w:rsidR="00374D76" w:rsidRPr="00731644">
        <w:rPr>
          <w:lang w:val="fr-CH"/>
        </w:rPr>
        <w:t>l</w:t>
      </w:r>
      <w:r w:rsidR="00425386" w:rsidRPr="00731644">
        <w:rPr>
          <w:lang w:val="fr-CH"/>
        </w:rPr>
        <w:t>’</w:t>
      </w:r>
      <w:r w:rsidR="001753EC">
        <w:rPr>
          <w:lang w:val="fr-CH"/>
        </w:rPr>
        <w:t>article </w:t>
      </w:r>
      <w:r w:rsidR="007A774E" w:rsidRPr="00731644">
        <w:rPr>
          <w:lang w:val="fr-CH"/>
        </w:rPr>
        <w:t xml:space="preserve">199 </w:t>
      </w:r>
      <w:r w:rsidR="001C0DAE" w:rsidRPr="00731644">
        <w:rPr>
          <w:lang w:val="fr-CH"/>
        </w:rPr>
        <w:t>punit</w:t>
      </w:r>
      <w:r w:rsidR="00C434AC" w:rsidRPr="00731644">
        <w:rPr>
          <w:lang w:val="fr-CH"/>
        </w:rPr>
        <w:t xml:space="preserve"> d</w:t>
      </w:r>
      <w:r w:rsidR="00425386" w:rsidRPr="00731644">
        <w:rPr>
          <w:lang w:val="fr-CH"/>
        </w:rPr>
        <w:t>’</w:t>
      </w:r>
      <w:r w:rsidR="00C434AC" w:rsidRPr="00731644">
        <w:rPr>
          <w:lang w:val="fr-CH"/>
        </w:rPr>
        <w:t xml:space="preserve">une amende allant de </w:t>
      </w:r>
      <w:r w:rsidR="00425386" w:rsidRPr="00731644">
        <w:rPr>
          <w:lang w:val="fr-CH"/>
        </w:rPr>
        <w:t>€ </w:t>
      </w:r>
      <w:r w:rsidR="00667E8D" w:rsidRPr="00731644">
        <w:rPr>
          <w:lang w:val="fr-CH"/>
        </w:rPr>
        <w:t>3</w:t>
      </w:r>
      <w:r w:rsidR="00425386" w:rsidRPr="00731644">
        <w:rPr>
          <w:lang w:val="fr-CH"/>
        </w:rPr>
        <w:t> </w:t>
      </w:r>
      <w:r w:rsidR="00667E8D" w:rsidRPr="00731644">
        <w:rPr>
          <w:lang w:val="fr-CH"/>
        </w:rPr>
        <w:t>000</w:t>
      </w:r>
      <w:r w:rsidR="00C434AC" w:rsidRPr="00731644">
        <w:rPr>
          <w:lang w:val="fr-CH"/>
        </w:rPr>
        <w:t xml:space="preserve"> à </w:t>
      </w:r>
      <w:r w:rsidR="00425386" w:rsidRPr="00731644">
        <w:rPr>
          <w:lang w:val="fr-CH"/>
        </w:rPr>
        <w:t>€ </w:t>
      </w:r>
      <w:r w:rsidR="00667E8D" w:rsidRPr="00731644">
        <w:rPr>
          <w:lang w:val="fr-CH"/>
        </w:rPr>
        <w:t xml:space="preserve">10 000 </w:t>
      </w:r>
      <w:r w:rsidR="001C0DAE" w:rsidRPr="00731644">
        <w:rPr>
          <w:lang w:val="fr-CH"/>
        </w:rPr>
        <w:t xml:space="preserve">quiconque </w:t>
      </w:r>
      <w:r w:rsidR="00FE41CF" w:rsidRPr="00731644">
        <w:rPr>
          <w:lang w:val="fr-CH"/>
        </w:rPr>
        <w:t>tourne</w:t>
      </w:r>
      <w:r w:rsidR="00C434AC" w:rsidRPr="00731644">
        <w:rPr>
          <w:highlight w:val="red"/>
          <w:lang w:val="fr-CH"/>
        </w:rPr>
        <w:t xml:space="preserve"> </w:t>
      </w:r>
      <w:r w:rsidR="00C434AC" w:rsidRPr="00731644">
        <w:rPr>
          <w:lang w:val="fr-CH"/>
        </w:rPr>
        <w:t>publique</w:t>
      </w:r>
      <w:r w:rsidR="001C0DAE" w:rsidRPr="00731644">
        <w:rPr>
          <w:lang w:val="fr-CH"/>
        </w:rPr>
        <w:t>ment</w:t>
      </w:r>
      <w:r w:rsidR="00C434AC" w:rsidRPr="00731644">
        <w:rPr>
          <w:lang w:val="fr-CH"/>
        </w:rPr>
        <w:t xml:space="preserve"> </w:t>
      </w:r>
      <w:r w:rsidR="00FE41CF" w:rsidRPr="00731644">
        <w:rPr>
          <w:lang w:val="fr-CH"/>
        </w:rPr>
        <w:t xml:space="preserve">en dérision </w:t>
      </w:r>
      <w:r w:rsidR="00C434AC" w:rsidRPr="00731644">
        <w:rPr>
          <w:lang w:val="fr-CH"/>
        </w:rPr>
        <w:t>une nation ou un groupe ethnique ou national vivant au Monténégro</w:t>
      </w:r>
      <w:r w:rsidR="007A774E" w:rsidRPr="00731644">
        <w:rPr>
          <w:lang w:val="fr-CH"/>
        </w:rPr>
        <w:t>.</w:t>
      </w:r>
    </w:p>
    <w:p w:rsidR="007A774E" w:rsidRPr="00731644" w:rsidRDefault="00C451B6" w:rsidP="00C15A9A">
      <w:pPr>
        <w:pStyle w:val="SingleTxtG"/>
        <w:rPr>
          <w:lang w:val="fr-CH"/>
        </w:rPr>
      </w:pPr>
      <w:r w:rsidRPr="00731644">
        <w:rPr>
          <w:lang w:val="fr-CH"/>
        </w:rPr>
        <w:t>68.</w:t>
      </w:r>
      <w:r w:rsidRPr="00731644">
        <w:rPr>
          <w:lang w:val="fr-CH"/>
        </w:rPr>
        <w:tab/>
      </w:r>
      <w:r w:rsidR="00C434AC" w:rsidRPr="00731644">
        <w:rPr>
          <w:lang w:val="fr-CH"/>
        </w:rPr>
        <w:t>Au titre</w:t>
      </w:r>
      <w:r w:rsidR="007A774E" w:rsidRPr="00731644">
        <w:rPr>
          <w:lang w:val="fr-CH"/>
        </w:rPr>
        <w:t xml:space="preserve"> XX</w:t>
      </w:r>
      <w:r w:rsidR="00C434AC" w:rsidRPr="00731644">
        <w:rPr>
          <w:lang w:val="fr-CH"/>
        </w:rPr>
        <w:t>,</w:t>
      </w:r>
      <w:r w:rsidR="00F31DD5" w:rsidRPr="00731644">
        <w:rPr>
          <w:lang w:val="fr-CH"/>
        </w:rPr>
        <w:t xml:space="preserve"> </w:t>
      </w:r>
      <w:r w:rsidR="00C434AC" w:rsidRPr="00731644">
        <w:rPr>
          <w:lang w:val="fr-CH"/>
        </w:rPr>
        <w:t xml:space="preserve">les </w:t>
      </w:r>
      <w:r w:rsidR="00CB7658" w:rsidRPr="00731644">
        <w:rPr>
          <w:lang w:val="fr-CH"/>
        </w:rPr>
        <w:t>articles </w:t>
      </w:r>
      <w:r w:rsidR="00C434AC" w:rsidRPr="00731644">
        <w:rPr>
          <w:lang w:val="fr-CH"/>
        </w:rPr>
        <w:t xml:space="preserve">224 à 232 sont consacrés aux violations du droit du travail. Ainsi, </w:t>
      </w:r>
      <w:r w:rsidR="00374D76" w:rsidRPr="00731644">
        <w:rPr>
          <w:lang w:val="fr-CH"/>
        </w:rPr>
        <w:t>l</w:t>
      </w:r>
      <w:r w:rsidR="00425386" w:rsidRPr="00731644">
        <w:rPr>
          <w:lang w:val="fr-CH"/>
        </w:rPr>
        <w:t>’</w:t>
      </w:r>
      <w:r w:rsidR="001753EC">
        <w:rPr>
          <w:lang w:val="fr-CH"/>
        </w:rPr>
        <w:t>article </w:t>
      </w:r>
      <w:r w:rsidR="007A774E" w:rsidRPr="00731644">
        <w:rPr>
          <w:lang w:val="fr-CH"/>
        </w:rPr>
        <w:t xml:space="preserve">225 </w:t>
      </w:r>
      <w:r w:rsidR="00C434AC" w:rsidRPr="00731644">
        <w:rPr>
          <w:lang w:val="fr-CH"/>
        </w:rPr>
        <w:t>réprime l</w:t>
      </w:r>
      <w:r w:rsidR="00425386" w:rsidRPr="00731644">
        <w:rPr>
          <w:lang w:val="fr-CH"/>
        </w:rPr>
        <w:t>’</w:t>
      </w:r>
      <w:r w:rsidR="00C434AC" w:rsidRPr="00731644">
        <w:rPr>
          <w:lang w:val="fr-CH"/>
        </w:rPr>
        <w:t>atteint</w:t>
      </w:r>
      <w:r w:rsidR="001C0DAE" w:rsidRPr="00731644">
        <w:rPr>
          <w:lang w:val="fr-CH"/>
        </w:rPr>
        <w:t>e à l</w:t>
      </w:r>
      <w:r w:rsidR="00425386" w:rsidRPr="00731644">
        <w:rPr>
          <w:lang w:val="fr-CH"/>
        </w:rPr>
        <w:t>’</w:t>
      </w:r>
      <w:r w:rsidR="001C0DAE" w:rsidRPr="00731644">
        <w:rPr>
          <w:lang w:val="fr-CH"/>
        </w:rPr>
        <w:t>égalité dans l</w:t>
      </w:r>
      <w:r w:rsidR="00425386" w:rsidRPr="00731644">
        <w:rPr>
          <w:lang w:val="fr-CH"/>
        </w:rPr>
        <w:t>’</w:t>
      </w:r>
      <w:r w:rsidR="001C0DAE" w:rsidRPr="00731644">
        <w:rPr>
          <w:lang w:val="fr-CH"/>
        </w:rPr>
        <w:t xml:space="preserve">emploi, </w:t>
      </w:r>
      <w:r w:rsidR="00374D76" w:rsidRPr="00731644">
        <w:rPr>
          <w:lang w:val="fr-CH"/>
        </w:rPr>
        <w:t>l</w:t>
      </w:r>
      <w:r w:rsidR="00425386" w:rsidRPr="00731644">
        <w:rPr>
          <w:lang w:val="fr-CH"/>
        </w:rPr>
        <w:t>’</w:t>
      </w:r>
      <w:r w:rsidR="001753EC">
        <w:rPr>
          <w:lang w:val="fr-CH"/>
        </w:rPr>
        <w:t>article </w:t>
      </w:r>
      <w:r w:rsidR="007A774E" w:rsidRPr="00731644">
        <w:rPr>
          <w:lang w:val="fr-CH"/>
        </w:rPr>
        <w:t>231</w:t>
      </w:r>
      <w:r w:rsidR="00C434AC" w:rsidRPr="00731644">
        <w:rPr>
          <w:lang w:val="fr-CH"/>
        </w:rPr>
        <w:t>, l</w:t>
      </w:r>
      <w:r w:rsidR="00425386" w:rsidRPr="00731644">
        <w:rPr>
          <w:lang w:val="fr-CH"/>
        </w:rPr>
        <w:t>’</w:t>
      </w:r>
      <w:r w:rsidR="00C434AC" w:rsidRPr="00731644">
        <w:rPr>
          <w:lang w:val="fr-CH"/>
        </w:rPr>
        <w:t>atteinte aux droits liés au chômage temporaire,</w:t>
      </w:r>
      <w:r w:rsidR="00F31DD5" w:rsidRPr="00731644">
        <w:rPr>
          <w:lang w:val="fr-CH"/>
        </w:rPr>
        <w:t xml:space="preserve"> </w:t>
      </w:r>
      <w:r w:rsidR="00C434AC" w:rsidRPr="00731644">
        <w:rPr>
          <w:lang w:val="fr-CH"/>
        </w:rPr>
        <w:t xml:space="preserve">et </w:t>
      </w:r>
      <w:r w:rsidR="00374D76" w:rsidRPr="00731644">
        <w:rPr>
          <w:lang w:val="fr-CH"/>
        </w:rPr>
        <w:t>l</w:t>
      </w:r>
      <w:r w:rsidR="00425386" w:rsidRPr="00731644">
        <w:rPr>
          <w:lang w:val="fr-CH"/>
        </w:rPr>
        <w:t>’</w:t>
      </w:r>
      <w:r w:rsidR="001753EC">
        <w:rPr>
          <w:lang w:val="fr-CH"/>
        </w:rPr>
        <w:t>article </w:t>
      </w:r>
      <w:r w:rsidR="007A774E" w:rsidRPr="00731644">
        <w:rPr>
          <w:lang w:val="fr-CH"/>
        </w:rPr>
        <w:t>269</w:t>
      </w:r>
      <w:r w:rsidR="001C0DAE" w:rsidRPr="00731644">
        <w:rPr>
          <w:lang w:val="fr-CH"/>
        </w:rPr>
        <w:t>,</w:t>
      </w:r>
      <w:r w:rsidR="007A774E" w:rsidRPr="00731644">
        <w:rPr>
          <w:lang w:val="fr-CH"/>
        </w:rPr>
        <w:t xml:space="preserve"> </w:t>
      </w:r>
      <w:r w:rsidR="00C434AC" w:rsidRPr="00731644">
        <w:rPr>
          <w:lang w:val="fr-CH"/>
        </w:rPr>
        <w:t>la</w:t>
      </w:r>
      <w:r w:rsidR="007A774E" w:rsidRPr="00731644">
        <w:rPr>
          <w:lang w:val="fr-CH"/>
        </w:rPr>
        <w:t xml:space="preserve"> violation </w:t>
      </w:r>
      <w:r w:rsidR="00C434AC" w:rsidRPr="00731644">
        <w:rPr>
          <w:lang w:val="fr-CH"/>
        </w:rPr>
        <w:t>de l</w:t>
      </w:r>
      <w:r w:rsidR="00425386" w:rsidRPr="00731644">
        <w:rPr>
          <w:lang w:val="fr-CH"/>
        </w:rPr>
        <w:t>’</w:t>
      </w:r>
      <w:r w:rsidR="00C434AC" w:rsidRPr="00731644">
        <w:rPr>
          <w:lang w:val="fr-CH"/>
        </w:rPr>
        <w:t>égalité dans la conduite des activités économiques.</w:t>
      </w:r>
    </w:p>
    <w:p w:rsidR="007A774E" w:rsidRPr="00731644" w:rsidRDefault="00C451B6" w:rsidP="00FE5D72">
      <w:pPr>
        <w:pStyle w:val="SingleTxtG"/>
        <w:rPr>
          <w:lang w:val="fr-CH"/>
        </w:rPr>
      </w:pPr>
      <w:r w:rsidRPr="00731644">
        <w:rPr>
          <w:lang w:val="fr-CH"/>
        </w:rPr>
        <w:t>69.</w:t>
      </w:r>
      <w:r w:rsidRPr="00731644">
        <w:rPr>
          <w:lang w:val="fr-CH"/>
        </w:rPr>
        <w:tab/>
      </w:r>
      <w:r w:rsidR="00C434AC" w:rsidRPr="00731644">
        <w:rPr>
          <w:lang w:val="fr-CH"/>
        </w:rPr>
        <w:t xml:space="preserve">Les délits visés </w:t>
      </w:r>
      <w:r w:rsidR="009F7888" w:rsidRPr="00731644">
        <w:rPr>
          <w:lang w:val="fr-CH"/>
        </w:rPr>
        <w:t>don</w:t>
      </w:r>
      <w:r w:rsidR="004A4B4D" w:rsidRPr="00731644">
        <w:rPr>
          <w:lang w:val="fr-CH"/>
        </w:rPr>
        <w:t>n</w:t>
      </w:r>
      <w:r w:rsidR="009F7888" w:rsidRPr="00731644">
        <w:rPr>
          <w:lang w:val="fr-CH"/>
        </w:rPr>
        <w:t>ent lieu à l</w:t>
      </w:r>
      <w:r w:rsidR="00425386" w:rsidRPr="00731644">
        <w:rPr>
          <w:lang w:val="fr-CH"/>
        </w:rPr>
        <w:t>’</w:t>
      </w:r>
      <w:r w:rsidR="009F7888" w:rsidRPr="00731644">
        <w:rPr>
          <w:lang w:val="fr-CH"/>
        </w:rPr>
        <w:t xml:space="preserve">ouverture de poursuites par le procureur </w:t>
      </w:r>
      <w:r w:rsidR="00D8592D" w:rsidRPr="00731644">
        <w:rPr>
          <w:lang w:val="fr-CH"/>
        </w:rPr>
        <w:t>c</w:t>
      </w:r>
      <w:r w:rsidR="009F7888" w:rsidRPr="00731644">
        <w:rPr>
          <w:lang w:val="fr-CH"/>
        </w:rPr>
        <w:t>ompétent</w:t>
      </w:r>
      <w:r w:rsidR="00683604" w:rsidRPr="00731644">
        <w:rPr>
          <w:lang w:val="fr-CH"/>
        </w:rPr>
        <w:t>, agissant ès qualités</w:t>
      </w:r>
      <w:r w:rsidR="009F7888" w:rsidRPr="00731644">
        <w:rPr>
          <w:lang w:val="fr-CH"/>
        </w:rPr>
        <w:t xml:space="preserve">. </w:t>
      </w:r>
      <w:r w:rsidR="00D8592D" w:rsidRPr="00731644">
        <w:rPr>
          <w:lang w:val="fr-CH"/>
        </w:rPr>
        <w:t>Dans tous les cas précités, la victime présumée est considérée, pendant la durée de la procédure pénale, comme ayant subi un tort, c</w:t>
      </w:r>
      <w:r w:rsidR="00425386" w:rsidRPr="00731644">
        <w:rPr>
          <w:lang w:val="fr-CH"/>
        </w:rPr>
        <w:t>’</w:t>
      </w:r>
      <w:r w:rsidR="00D8592D" w:rsidRPr="00731644">
        <w:rPr>
          <w:lang w:val="fr-CH"/>
        </w:rPr>
        <w:t>est-à-dire comme la partie dont les dr</w:t>
      </w:r>
      <w:r w:rsidR="004A4B4D" w:rsidRPr="00731644">
        <w:rPr>
          <w:lang w:val="fr-CH"/>
        </w:rPr>
        <w:t>oits personnels ou les droits réels</w:t>
      </w:r>
      <w:r w:rsidR="00D8592D" w:rsidRPr="00731644">
        <w:rPr>
          <w:lang w:val="fr-CH"/>
        </w:rPr>
        <w:t xml:space="preserve"> sont menacés ou lésés par le délit commis</w:t>
      </w:r>
      <w:r w:rsidR="007A774E" w:rsidRPr="00731644">
        <w:rPr>
          <w:lang w:val="fr-CH"/>
        </w:rPr>
        <w:t>.</w:t>
      </w:r>
      <w:r w:rsidR="00D8592D" w:rsidRPr="00731644">
        <w:rPr>
          <w:lang w:val="fr-CH"/>
        </w:rPr>
        <w:t xml:space="preserve"> Elle peut signaler l</w:t>
      </w:r>
      <w:r w:rsidR="00425386" w:rsidRPr="00731644">
        <w:rPr>
          <w:lang w:val="fr-CH"/>
        </w:rPr>
        <w:t>’</w:t>
      </w:r>
      <w:r w:rsidR="00D8592D" w:rsidRPr="00731644">
        <w:rPr>
          <w:lang w:val="fr-CH"/>
        </w:rPr>
        <w:t>infraction au</w:t>
      </w:r>
      <w:r w:rsidR="00F31DD5" w:rsidRPr="00731644">
        <w:rPr>
          <w:lang w:val="fr-CH"/>
        </w:rPr>
        <w:t xml:space="preserve"> </w:t>
      </w:r>
      <w:r w:rsidR="00D8592D" w:rsidRPr="00731644">
        <w:rPr>
          <w:lang w:val="fr-CH"/>
        </w:rPr>
        <w:t>procureur compétent</w:t>
      </w:r>
      <w:r w:rsidR="00526E16" w:rsidRPr="00731644">
        <w:rPr>
          <w:lang w:val="fr-CH"/>
        </w:rPr>
        <w:t xml:space="preserve">. </w:t>
      </w:r>
      <w:r w:rsidR="00683604" w:rsidRPr="00731644">
        <w:rPr>
          <w:lang w:val="fr-CH"/>
        </w:rPr>
        <w:t>En application de</w:t>
      </w:r>
      <w:r w:rsidR="00D8592D" w:rsidRPr="00731644">
        <w:rPr>
          <w:lang w:val="fr-CH"/>
        </w:rPr>
        <w:t xml:space="preserve"> </w:t>
      </w:r>
      <w:r w:rsidR="00374D76" w:rsidRPr="00731644">
        <w:rPr>
          <w:lang w:val="fr-CH"/>
        </w:rPr>
        <w:t>l</w:t>
      </w:r>
      <w:r w:rsidR="00425386" w:rsidRPr="00731644">
        <w:rPr>
          <w:lang w:val="fr-CH"/>
        </w:rPr>
        <w:t>’</w:t>
      </w:r>
      <w:r w:rsidR="001753EC">
        <w:rPr>
          <w:lang w:val="fr-CH"/>
        </w:rPr>
        <w:t>article </w:t>
      </w:r>
      <w:r w:rsidR="007A774E" w:rsidRPr="00731644">
        <w:rPr>
          <w:lang w:val="fr-CH"/>
        </w:rPr>
        <w:t xml:space="preserve">256 </w:t>
      </w:r>
      <w:r w:rsidR="00D8592D" w:rsidRPr="00731644">
        <w:rPr>
          <w:lang w:val="fr-CH"/>
        </w:rPr>
        <w:t>du Code de procédure pénale</w:t>
      </w:r>
      <w:r w:rsidR="00F31DD5" w:rsidRPr="00731644">
        <w:rPr>
          <w:lang w:val="fr-CH"/>
        </w:rPr>
        <w:t xml:space="preserve"> </w:t>
      </w:r>
      <w:r w:rsidR="007A774E"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5072A0">
        <w:rPr>
          <w:lang w:val="fr-CH"/>
        </w:rPr>
        <w:t>n</w:t>
      </w:r>
      <w:r w:rsidR="005072A0" w:rsidRPr="005072A0">
        <w:rPr>
          <w:vertAlign w:val="superscript"/>
          <w:lang w:val="fr-CH"/>
        </w:rPr>
        <w:t>o</w:t>
      </w:r>
      <w:r w:rsidR="00F47A90">
        <w:rPr>
          <w:vertAlign w:val="superscript"/>
          <w:lang w:val="fr-CH"/>
        </w:rPr>
        <w:t>s</w:t>
      </w:r>
      <w:r w:rsidR="005072A0">
        <w:rPr>
          <w:lang w:val="fr-CH"/>
        </w:rPr>
        <w:t> </w:t>
      </w:r>
      <w:r w:rsidR="007A774E" w:rsidRPr="00731644">
        <w:rPr>
          <w:lang w:val="fr-CH"/>
        </w:rPr>
        <w:t xml:space="preserve">57/2009 </w:t>
      </w:r>
      <w:r w:rsidR="00526E16" w:rsidRPr="00731644">
        <w:rPr>
          <w:lang w:val="fr-CH"/>
        </w:rPr>
        <w:t>et</w:t>
      </w:r>
      <w:r w:rsidR="00F47A90">
        <w:rPr>
          <w:lang w:val="fr-CH"/>
        </w:rPr>
        <w:t xml:space="preserve"> </w:t>
      </w:r>
      <w:r w:rsidR="007A774E" w:rsidRPr="00731644">
        <w:rPr>
          <w:lang w:val="fr-CH"/>
        </w:rPr>
        <w:t>49/2010)</w:t>
      </w:r>
      <w:r w:rsidR="00526E16" w:rsidRPr="00731644">
        <w:rPr>
          <w:lang w:val="fr-CH"/>
        </w:rPr>
        <w:t xml:space="preserve"> elle peut </w:t>
      </w:r>
      <w:r w:rsidR="00683604" w:rsidRPr="00731644">
        <w:rPr>
          <w:lang w:val="fr-CH"/>
        </w:rPr>
        <w:t xml:space="preserve">aussi </w:t>
      </w:r>
      <w:r w:rsidR="00526E16" w:rsidRPr="00731644">
        <w:rPr>
          <w:lang w:val="fr-CH"/>
        </w:rPr>
        <w:t>porter plainte auprès du procureur compétent</w:t>
      </w:r>
      <w:r w:rsidR="007A774E" w:rsidRPr="00731644">
        <w:rPr>
          <w:lang w:val="fr-CH"/>
        </w:rPr>
        <w:t xml:space="preserve">. </w:t>
      </w:r>
      <w:r w:rsidR="00526E16" w:rsidRPr="00731644">
        <w:rPr>
          <w:lang w:val="fr-CH"/>
        </w:rPr>
        <w:t xml:space="preserve">Si la plainte est déposée </w:t>
      </w:r>
      <w:r w:rsidR="00683604" w:rsidRPr="00731644">
        <w:rPr>
          <w:lang w:val="fr-CH"/>
        </w:rPr>
        <w:t>auprès d</w:t>
      </w:r>
      <w:r w:rsidR="00425386" w:rsidRPr="00731644">
        <w:rPr>
          <w:lang w:val="fr-CH"/>
        </w:rPr>
        <w:t>’</w:t>
      </w:r>
      <w:r w:rsidR="00683604" w:rsidRPr="00731644">
        <w:rPr>
          <w:lang w:val="fr-CH"/>
        </w:rPr>
        <w:t xml:space="preserve">un </w:t>
      </w:r>
      <w:r w:rsidR="00526E16" w:rsidRPr="00731644">
        <w:rPr>
          <w:lang w:val="fr-CH"/>
        </w:rPr>
        <w:t xml:space="preserve">tribunal, </w:t>
      </w:r>
      <w:r w:rsidR="00683604" w:rsidRPr="00731644">
        <w:rPr>
          <w:lang w:val="fr-CH"/>
        </w:rPr>
        <w:t xml:space="preserve">de </w:t>
      </w:r>
      <w:r w:rsidR="00526E16" w:rsidRPr="00731644">
        <w:rPr>
          <w:lang w:val="fr-CH"/>
        </w:rPr>
        <w:t xml:space="preserve">la police </w:t>
      </w:r>
      <w:r w:rsidR="00683604" w:rsidRPr="00731644">
        <w:rPr>
          <w:lang w:val="fr-CH"/>
        </w:rPr>
        <w:t>ou d</w:t>
      </w:r>
      <w:r w:rsidR="00425386" w:rsidRPr="00731644">
        <w:rPr>
          <w:lang w:val="fr-CH"/>
        </w:rPr>
        <w:t>’</w:t>
      </w:r>
      <w:r w:rsidR="00683604" w:rsidRPr="00731644">
        <w:rPr>
          <w:lang w:val="fr-CH"/>
        </w:rPr>
        <w:t>un</w:t>
      </w:r>
      <w:r w:rsidR="00526E16" w:rsidRPr="00731644">
        <w:rPr>
          <w:lang w:val="fr-CH"/>
        </w:rPr>
        <w:t xml:space="preserve"> procureur incompétent</w:t>
      </w:r>
      <w:r w:rsidR="00683604" w:rsidRPr="00731644">
        <w:rPr>
          <w:lang w:val="fr-CH"/>
        </w:rPr>
        <w:t>, ceux-ci</w:t>
      </w:r>
      <w:r w:rsidR="00526E16" w:rsidRPr="00731644">
        <w:rPr>
          <w:lang w:val="fr-CH"/>
        </w:rPr>
        <w:t> </w:t>
      </w:r>
      <w:r w:rsidR="00683604" w:rsidRPr="00731644">
        <w:rPr>
          <w:lang w:val="fr-CH"/>
        </w:rPr>
        <w:t xml:space="preserve">la transmettent au procureur compétent </w:t>
      </w:r>
      <w:r w:rsidR="00526E16" w:rsidRPr="00731644">
        <w:rPr>
          <w:lang w:val="fr-CH"/>
        </w:rPr>
        <w:t xml:space="preserve">dès </w:t>
      </w:r>
      <w:r w:rsidR="00683604" w:rsidRPr="00731644">
        <w:rPr>
          <w:lang w:val="fr-CH"/>
        </w:rPr>
        <w:t>réception</w:t>
      </w:r>
      <w:r w:rsidR="00526E16" w:rsidRPr="00731644">
        <w:rPr>
          <w:lang w:val="fr-CH"/>
        </w:rPr>
        <w:t xml:space="preserve">. </w:t>
      </w:r>
    </w:p>
    <w:p w:rsidR="007A774E" w:rsidRPr="00731644" w:rsidRDefault="003F6CEA" w:rsidP="007A774E">
      <w:pPr>
        <w:pStyle w:val="SingleTxtG"/>
        <w:rPr>
          <w:lang w:val="fr-CH"/>
        </w:rPr>
      </w:pPr>
      <w:r w:rsidRPr="00731644">
        <w:rPr>
          <w:lang w:val="fr-CH"/>
        </w:rPr>
        <w:t>70.</w:t>
      </w:r>
      <w:r w:rsidRPr="00731644">
        <w:rPr>
          <w:lang w:val="fr-CH"/>
        </w:rPr>
        <w:tab/>
      </w:r>
      <w:r w:rsidR="00526E16" w:rsidRPr="00731644">
        <w:rPr>
          <w:lang w:val="fr-CH"/>
        </w:rPr>
        <w:t>L</w:t>
      </w:r>
      <w:r w:rsidR="00425386" w:rsidRPr="00731644">
        <w:rPr>
          <w:lang w:val="fr-CH"/>
        </w:rPr>
        <w:t>’</w:t>
      </w:r>
      <w:r w:rsidR="001753EC">
        <w:rPr>
          <w:lang w:val="fr-CH"/>
        </w:rPr>
        <w:t>article </w:t>
      </w:r>
      <w:r w:rsidR="007A774E" w:rsidRPr="00731644">
        <w:rPr>
          <w:lang w:val="fr-CH"/>
        </w:rPr>
        <w:t xml:space="preserve">370 </w:t>
      </w:r>
      <w:r w:rsidR="00526E16" w:rsidRPr="00731644">
        <w:rPr>
          <w:lang w:val="fr-CH"/>
        </w:rPr>
        <w:t>du Code pénal</w:t>
      </w:r>
      <w:r w:rsidR="00683604" w:rsidRPr="00731644">
        <w:rPr>
          <w:lang w:val="fr-CH"/>
        </w:rPr>
        <w:t>, qui</w:t>
      </w:r>
      <w:r w:rsidR="00526E16" w:rsidRPr="00731644">
        <w:rPr>
          <w:lang w:val="fr-CH"/>
        </w:rPr>
        <w:t xml:space="preserve"> </w:t>
      </w:r>
      <w:r w:rsidR="0077719B" w:rsidRPr="00731644">
        <w:rPr>
          <w:lang w:val="fr-CH"/>
        </w:rPr>
        <w:t>incrimine</w:t>
      </w:r>
      <w:r w:rsidR="00526E16" w:rsidRPr="00731644">
        <w:rPr>
          <w:lang w:val="fr-CH"/>
        </w:rPr>
        <w:t xml:space="preserve"> </w:t>
      </w:r>
      <w:r w:rsidR="00AC7FF3" w:rsidRPr="00731644">
        <w:rPr>
          <w:lang w:val="fr-CH"/>
        </w:rPr>
        <w:t>l</w:t>
      </w:r>
      <w:r w:rsidR="00425386" w:rsidRPr="00731644">
        <w:rPr>
          <w:lang w:val="fr-CH"/>
        </w:rPr>
        <w:t>’</w:t>
      </w:r>
      <w:r w:rsidR="00526E16" w:rsidRPr="00731644">
        <w:rPr>
          <w:lang w:val="fr-CH"/>
        </w:rPr>
        <w:t xml:space="preserve">incitation à la haine </w:t>
      </w:r>
      <w:r w:rsidR="007A774E" w:rsidRPr="00731644">
        <w:rPr>
          <w:lang w:val="fr-CH"/>
        </w:rPr>
        <w:t>national</w:t>
      </w:r>
      <w:r w:rsidR="00B91730" w:rsidRPr="00731644">
        <w:rPr>
          <w:lang w:val="fr-CH"/>
        </w:rPr>
        <w:t>e</w:t>
      </w:r>
      <w:r w:rsidR="007A774E" w:rsidRPr="00731644">
        <w:rPr>
          <w:lang w:val="fr-CH"/>
        </w:rPr>
        <w:t>, racial</w:t>
      </w:r>
      <w:r w:rsidR="00B91730" w:rsidRPr="00731644">
        <w:rPr>
          <w:lang w:val="fr-CH"/>
        </w:rPr>
        <w:t>e ou religieuse</w:t>
      </w:r>
      <w:r w:rsidR="00683604" w:rsidRPr="00731644">
        <w:rPr>
          <w:lang w:val="fr-CH"/>
        </w:rPr>
        <w:t>,</w:t>
      </w:r>
      <w:r w:rsidR="00B91730" w:rsidRPr="00731644">
        <w:rPr>
          <w:lang w:val="fr-CH"/>
        </w:rPr>
        <w:t xml:space="preserve"> dispose que quiconque incite publiquement à la </w:t>
      </w:r>
      <w:r w:rsidR="00A66512" w:rsidRPr="00731644">
        <w:rPr>
          <w:lang w:val="fr-CH"/>
        </w:rPr>
        <w:t>violence</w:t>
      </w:r>
      <w:r w:rsidR="00B91730" w:rsidRPr="00731644">
        <w:rPr>
          <w:lang w:val="fr-CH"/>
        </w:rPr>
        <w:t xml:space="preserve"> ou à la haine </w:t>
      </w:r>
      <w:r w:rsidR="00683604" w:rsidRPr="00731644">
        <w:rPr>
          <w:lang w:val="fr-CH"/>
        </w:rPr>
        <w:t>envers</w:t>
      </w:r>
      <w:r w:rsidR="00B91730" w:rsidRPr="00731644">
        <w:rPr>
          <w:lang w:val="fr-CH"/>
        </w:rPr>
        <w:t xml:space="preserve"> un groupe ou un membre d</w:t>
      </w:r>
      <w:r w:rsidR="00425386" w:rsidRPr="00731644">
        <w:rPr>
          <w:lang w:val="fr-CH"/>
        </w:rPr>
        <w:t>’</w:t>
      </w:r>
      <w:r w:rsidR="00B91730" w:rsidRPr="00731644">
        <w:rPr>
          <w:lang w:val="fr-CH"/>
        </w:rPr>
        <w:t xml:space="preserve">un groupe </w:t>
      </w:r>
      <w:r w:rsidR="00B569C5" w:rsidRPr="00731644">
        <w:rPr>
          <w:lang w:val="fr-CH"/>
        </w:rPr>
        <w:t>de personnes</w:t>
      </w:r>
      <w:r w:rsidR="00B91730" w:rsidRPr="00731644">
        <w:rPr>
          <w:lang w:val="fr-CH"/>
        </w:rPr>
        <w:t xml:space="preserve"> défini</w:t>
      </w:r>
      <w:r w:rsidR="007A774E" w:rsidRPr="00731644">
        <w:rPr>
          <w:lang w:val="fr-CH"/>
        </w:rPr>
        <w:t xml:space="preserve"> </w:t>
      </w:r>
      <w:r w:rsidR="00B91730" w:rsidRPr="00731644">
        <w:rPr>
          <w:lang w:val="fr-CH"/>
        </w:rPr>
        <w:t>en fonction de sa</w:t>
      </w:r>
      <w:r w:rsidR="00F31DD5" w:rsidRPr="00731644">
        <w:rPr>
          <w:lang w:val="fr-CH"/>
        </w:rPr>
        <w:t xml:space="preserve"> </w:t>
      </w:r>
      <w:r w:rsidR="007A774E" w:rsidRPr="00731644">
        <w:rPr>
          <w:lang w:val="fr-CH"/>
        </w:rPr>
        <w:t xml:space="preserve">race, </w:t>
      </w:r>
      <w:r w:rsidR="00B91730" w:rsidRPr="00731644">
        <w:rPr>
          <w:lang w:val="fr-CH"/>
        </w:rPr>
        <w:t>de la couleur de sa peau, de sa</w:t>
      </w:r>
      <w:r w:rsidR="007A774E" w:rsidRPr="00731644">
        <w:rPr>
          <w:lang w:val="fr-CH"/>
        </w:rPr>
        <w:t xml:space="preserve"> religion, </w:t>
      </w:r>
      <w:r w:rsidR="00B91730" w:rsidRPr="00731644">
        <w:rPr>
          <w:lang w:val="fr-CH"/>
        </w:rPr>
        <w:t xml:space="preserve">de ses </w:t>
      </w:r>
      <w:r w:rsidR="007A774E" w:rsidRPr="00731644">
        <w:rPr>
          <w:lang w:val="fr-CH"/>
        </w:rPr>
        <w:t>origin</w:t>
      </w:r>
      <w:r w:rsidR="00B91730" w:rsidRPr="00731644">
        <w:rPr>
          <w:lang w:val="fr-CH"/>
        </w:rPr>
        <w:t>es</w:t>
      </w:r>
      <w:r w:rsidR="0077719B" w:rsidRPr="00731644">
        <w:rPr>
          <w:lang w:val="fr-CH"/>
        </w:rPr>
        <w:t xml:space="preserve"> ou</w:t>
      </w:r>
      <w:r w:rsidR="007A774E" w:rsidRPr="00731644">
        <w:rPr>
          <w:lang w:val="fr-CH"/>
        </w:rPr>
        <w:t xml:space="preserve"> </w:t>
      </w:r>
      <w:r w:rsidR="00B91730" w:rsidRPr="00731644">
        <w:rPr>
          <w:lang w:val="fr-CH"/>
        </w:rPr>
        <w:t xml:space="preserve">de son appartenance </w:t>
      </w:r>
      <w:r w:rsidR="007A774E" w:rsidRPr="00731644">
        <w:rPr>
          <w:lang w:val="fr-CH"/>
        </w:rPr>
        <w:t>national</w:t>
      </w:r>
      <w:r w:rsidR="00B91730" w:rsidRPr="00731644">
        <w:rPr>
          <w:lang w:val="fr-CH"/>
        </w:rPr>
        <w:t>e</w:t>
      </w:r>
      <w:r w:rsidR="007A774E" w:rsidRPr="00731644">
        <w:rPr>
          <w:lang w:val="fr-CH"/>
        </w:rPr>
        <w:t xml:space="preserve"> </w:t>
      </w:r>
      <w:r w:rsidR="00B91730" w:rsidRPr="00731644">
        <w:rPr>
          <w:lang w:val="fr-CH"/>
        </w:rPr>
        <w:t>ou</w:t>
      </w:r>
      <w:r w:rsidR="007A774E" w:rsidRPr="00731644">
        <w:rPr>
          <w:lang w:val="fr-CH"/>
        </w:rPr>
        <w:t xml:space="preserve"> ethni</w:t>
      </w:r>
      <w:r w:rsidR="00B91730" w:rsidRPr="00731644">
        <w:rPr>
          <w:lang w:val="fr-CH"/>
        </w:rPr>
        <w:t>que</w:t>
      </w:r>
      <w:r w:rsidR="0077719B" w:rsidRPr="00731644">
        <w:rPr>
          <w:lang w:val="fr-CH"/>
        </w:rPr>
        <w:t>,</w:t>
      </w:r>
      <w:r w:rsidR="00B91730" w:rsidRPr="00731644">
        <w:rPr>
          <w:lang w:val="fr-CH"/>
        </w:rPr>
        <w:t xml:space="preserve"> est passible d</w:t>
      </w:r>
      <w:r w:rsidR="00425386" w:rsidRPr="00731644">
        <w:rPr>
          <w:lang w:val="fr-CH"/>
        </w:rPr>
        <w:t>’</w:t>
      </w:r>
      <w:r w:rsidR="00B91730" w:rsidRPr="00731644">
        <w:rPr>
          <w:lang w:val="fr-CH"/>
        </w:rPr>
        <w:t>un emprisonnement compris entre six mois et cinq</w:t>
      </w:r>
      <w:r w:rsidR="00976D48">
        <w:rPr>
          <w:lang w:val="fr-CH"/>
        </w:rPr>
        <w:t> ans</w:t>
      </w:r>
      <w:r w:rsidR="007A774E" w:rsidRPr="00731644">
        <w:rPr>
          <w:lang w:val="fr-CH"/>
        </w:rPr>
        <w:t xml:space="preserve">. </w:t>
      </w:r>
      <w:r w:rsidR="00B91730" w:rsidRPr="00731644">
        <w:rPr>
          <w:lang w:val="fr-CH"/>
        </w:rPr>
        <w:t>Il en va de même de quiconque, publiquement, approuve, nie l</w:t>
      </w:r>
      <w:r w:rsidR="00425386" w:rsidRPr="00731644">
        <w:rPr>
          <w:lang w:val="fr-CH"/>
        </w:rPr>
        <w:t>’</w:t>
      </w:r>
      <w:r w:rsidR="00B91730" w:rsidRPr="00731644">
        <w:rPr>
          <w:lang w:val="fr-CH"/>
        </w:rPr>
        <w:t xml:space="preserve">existence ou minimise fortement </w:t>
      </w:r>
      <w:r w:rsidR="0077719B" w:rsidRPr="00731644">
        <w:rPr>
          <w:lang w:val="fr-CH"/>
        </w:rPr>
        <w:t>la gravité</w:t>
      </w:r>
      <w:r w:rsidR="00B91730" w:rsidRPr="00731644">
        <w:rPr>
          <w:lang w:val="fr-CH"/>
        </w:rPr>
        <w:t xml:space="preserve"> des crimes de génocide, des crimes de guerre ou des crimes contre l</w:t>
      </w:r>
      <w:r w:rsidR="00425386" w:rsidRPr="00731644">
        <w:rPr>
          <w:lang w:val="fr-CH"/>
        </w:rPr>
        <w:t>’</w:t>
      </w:r>
      <w:r w:rsidR="00B91730" w:rsidRPr="00731644">
        <w:rPr>
          <w:lang w:val="fr-CH"/>
        </w:rPr>
        <w:t>humanité perpétrés à l</w:t>
      </w:r>
      <w:r w:rsidR="00425386" w:rsidRPr="00731644">
        <w:rPr>
          <w:lang w:val="fr-CH"/>
        </w:rPr>
        <w:t>’</w:t>
      </w:r>
      <w:r w:rsidR="00B91730" w:rsidRPr="00731644">
        <w:rPr>
          <w:lang w:val="fr-CH"/>
        </w:rPr>
        <w:t>égard d</w:t>
      </w:r>
      <w:r w:rsidR="00425386" w:rsidRPr="00731644">
        <w:rPr>
          <w:lang w:val="fr-CH"/>
        </w:rPr>
        <w:t>’</w:t>
      </w:r>
      <w:r w:rsidR="00B91730" w:rsidRPr="00731644">
        <w:rPr>
          <w:lang w:val="fr-CH"/>
        </w:rPr>
        <w:t>un groupe ou d</w:t>
      </w:r>
      <w:r w:rsidR="00425386" w:rsidRPr="00731644">
        <w:rPr>
          <w:lang w:val="fr-CH"/>
        </w:rPr>
        <w:t>’</w:t>
      </w:r>
      <w:r w:rsidR="00B91730" w:rsidRPr="00731644">
        <w:rPr>
          <w:lang w:val="fr-CH"/>
        </w:rPr>
        <w:t>un membre d</w:t>
      </w:r>
      <w:r w:rsidR="00425386" w:rsidRPr="00731644">
        <w:rPr>
          <w:lang w:val="fr-CH"/>
        </w:rPr>
        <w:t>’</w:t>
      </w:r>
      <w:r w:rsidR="00B91730" w:rsidRPr="00731644">
        <w:rPr>
          <w:lang w:val="fr-CH"/>
        </w:rPr>
        <w:t xml:space="preserve">un groupe </w:t>
      </w:r>
      <w:r w:rsidR="00B569C5" w:rsidRPr="00731644">
        <w:rPr>
          <w:lang w:val="fr-CH"/>
        </w:rPr>
        <w:t>de personnes</w:t>
      </w:r>
      <w:r w:rsidR="00B91730" w:rsidRPr="00731644">
        <w:rPr>
          <w:lang w:val="fr-CH"/>
        </w:rPr>
        <w:t xml:space="preserve"> défini en fonction de sa</w:t>
      </w:r>
      <w:r w:rsidR="00F31DD5" w:rsidRPr="00731644">
        <w:rPr>
          <w:lang w:val="fr-CH"/>
        </w:rPr>
        <w:t xml:space="preserve"> </w:t>
      </w:r>
      <w:r w:rsidR="00B91730" w:rsidRPr="00731644">
        <w:rPr>
          <w:lang w:val="fr-CH"/>
        </w:rPr>
        <w:t>race, de la couleur de sa peau, de sa religion, de ses origines</w:t>
      </w:r>
      <w:r w:rsidR="0077719B" w:rsidRPr="00731644">
        <w:rPr>
          <w:lang w:val="fr-CH"/>
        </w:rPr>
        <w:t xml:space="preserve"> ou</w:t>
      </w:r>
      <w:r w:rsidR="00B91730" w:rsidRPr="00731644">
        <w:rPr>
          <w:lang w:val="fr-CH"/>
        </w:rPr>
        <w:t xml:space="preserve"> de son appartenance nationale ou ethnique</w:t>
      </w:r>
      <w:r w:rsidR="007A774E" w:rsidRPr="00731644">
        <w:rPr>
          <w:lang w:val="fr-CH"/>
        </w:rPr>
        <w:t xml:space="preserve">, </w:t>
      </w:r>
      <w:r w:rsidR="00B91730" w:rsidRPr="00731644">
        <w:rPr>
          <w:lang w:val="fr-CH"/>
        </w:rPr>
        <w:t>d</w:t>
      </w:r>
      <w:r w:rsidR="00425386" w:rsidRPr="00731644">
        <w:rPr>
          <w:lang w:val="fr-CH"/>
        </w:rPr>
        <w:t>’</w:t>
      </w:r>
      <w:r w:rsidR="00B91730" w:rsidRPr="00731644">
        <w:rPr>
          <w:lang w:val="fr-CH"/>
        </w:rPr>
        <w:t xml:space="preserve">une manière qui peut susciter la </w:t>
      </w:r>
      <w:r w:rsidR="007A774E" w:rsidRPr="00731644">
        <w:rPr>
          <w:lang w:val="fr-CH"/>
        </w:rPr>
        <w:t xml:space="preserve">violence </w:t>
      </w:r>
      <w:r w:rsidR="00B91730" w:rsidRPr="00731644">
        <w:rPr>
          <w:lang w:val="fr-CH"/>
        </w:rPr>
        <w:t xml:space="preserve">ou la haine envers un groupe ou </w:t>
      </w:r>
      <w:r w:rsidR="00862C66" w:rsidRPr="00731644">
        <w:rPr>
          <w:lang w:val="fr-CH"/>
        </w:rPr>
        <w:t xml:space="preserve">un </w:t>
      </w:r>
      <w:r w:rsidR="00B91730" w:rsidRPr="00731644">
        <w:rPr>
          <w:lang w:val="fr-CH"/>
        </w:rPr>
        <w:t>membre d</w:t>
      </w:r>
      <w:r w:rsidR="00425386" w:rsidRPr="00731644">
        <w:rPr>
          <w:lang w:val="fr-CH"/>
        </w:rPr>
        <w:t>’</w:t>
      </w:r>
      <w:r w:rsidR="00B91730" w:rsidRPr="00731644">
        <w:rPr>
          <w:lang w:val="fr-CH"/>
        </w:rPr>
        <w:t xml:space="preserve">un groupe </w:t>
      </w:r>
      <w:r w:rsidR="00B569C5" w:rsidRPr="00731644">
        <w:rPr>
          <w:lang w:val="fr-CH"/>
        </w:rPr>
        <w:t>de personnes</w:t>
      </w:r>
      <w:r w:rsidR="00862C66" w:rsidRPr="00731644">
        <w:rPr>
          <w:lang w:val="fr-CH"/>
        </w:rPr>
        <w:t>,</w:t>
      </w:r>
      <w:r w:rsidR="00F31DD5" w:rsidRPr="00731644">
        <w:rPr>
          <w:lang w:val="fr-CH"/>
        </w:rPr>
        <w:t xml:space="preserve"> </w:t>
      </w:r>
      <w:r w:rsidR="00862C66" w:rsidRPr="00731644">
        <w:rPr>
          <w:lang w:val="fr-CH"/>
        </w:rPr>
        <w:t xml:space="preserve">dès lors que </w:t>
      </w:r>
      <w:r w:rsidR="0077719B" w:rsidRPr="00731644">
        <w:rPr>
          <w:lang w:val="fr-CH"/>
        </w:rPr>
        <w:t>ces crimes sont</w:t>
      </w:r>
      <w:r w:rsidR="00862C66" w:rsidRPr="00731644">
        <w:rPr>
          <w:lang w:val="fr-CH"/>
        </w:rPr>
        <w:t xml:space="preserve"> établi</w:t>
      </w:r>
      <w:r w:rsidR="0077719B" w:rsidRPr="00731644">
        <w:rPr>
          <w:lang w:val="fr-CH"/>
        </w:rPr>
        <w:t>s</w:t>
      </w:r>
      <w:r w:rsidR="00862C66" w:rsidRPr="00731644">
        <w:rPr>
          <w:lang w:val="fr-CH"/>
        </w:rPr>
        <w:t xml:space="preserve"> par une décision définitive et exécutoire d</w:t>
      </w:r>
      <w:r w:rsidR="00425386" w:rsidRPr="00731644">
        <w:rPr>
          <w:lang w:val="fr-CH"/>
        </w:rPr>
        <w:t>’</w:t>
      </w:r>
      <w:r w:rsidR="00862C66" w:rsidRPr="00731644">
        <w:rPr>
          <w:lang w:val="fr-CH"/>
        </w:rPr>
        <w:t xml:space="preserve">une juridiction du Monténégro ou du </w:t>
      </w:r>
      <w:r w:rsidR="0077719B" w:rsidRPr="00731644">
        <w:rPr>
          <w:lang w:val="fr-CH"/>
        </w:rPr>
        <w:t>T</w:t>
      </w:r>
      <w:r w:rsidR="00862C66" w:rsidRPr="00731644">
        <w:rPr>
          <w:lang w:val="fr-CH"/>
        </w:rPr>
        <w:t>ribunal pénal international</w:t>
      </w:r>
      <w:r w:rsidR="007A774E" w:rsidRPr="00731644">
        <w:rPr>
          <w:lang w:val="fr-CH"/>
        </w:rPr>
        <w:t xml:space="preserve">. </w:t>
      </w:r>
      <w:r w:rsidR="00AC7FF3" w:rsidRPr="00731644">
        <w:rPr>
          <w:lang w:val="fr-CH"/>
        </w:rPr>
        <w:t>Si l</w:t>
      </w:r>
      <w:r w:rsidR="00425386" w:rsidRPr="00731644">
        <w:rPr>
          <w:lang w:val="fr-CH"/>
        </w:rPr>
        <w:t>’</w:t>
      </w:r>
      <w:r w:rsidR="00AC7FF3" w:rsidRPr="00731644">
        <w:rPr>
          <w:lang w:val="fr-CH"/>
        </w:rPr>
        <w:t>infraction s</w:t>
      </w:r>
      <w:r w:rsidR="00425386" w:rsidRPr="00731644">
        <w:rPr>
          <w:lang w:val="fr-CH"/>
        </w:rPr>
        <w:t>’</w:t>
      </w:r>
      <w:r w:rsidR="00AC7FF3" w:rsidRPr="00731644">
        <w:rPr>
          <w:lang w:val="fr-CH"/>
        </w:rPr>
        <w:t>accompagne de coercition, de mauvais traitements, d</w:t>
      </w:r>
      <w:r w:rsidR="00425386" w:rsidRPr="00731644">
        <w:rPr>
          <w:lang w:val="fr-CH"/>
        </w:rPr>
        <w:t>’</w:t>
      </w:r>
      <w:r w:rsidR="00FE41CF" w:rsidRPr="00731644">
        <w:rPr>
          <w:lang w:val="fr-CH"/>
        </w:rPr>
        <w:t>un</w:t>
      </w:r>
      <w:r w:rsidR="00AC7FF3" w:rsidRPr="00731644">
        <w:rPr>
          <w:lang w:val="fr-CH"/>
        </w:rPr>
        <w:t xml:space="preserve">e mise en danger de la sécurité, </w:t>
      </w:r>
      <w:r w:rsidR="00FE41CF" w:rsidRPr="00731644">
        <w:rPr>
          <w:lang w:val="fr-CH"/>
        </w:rPr>
        <w:t>d</w:t>
      </w:r>
      <w:r w:rsidR="00425386" w:rsidRPr="00731644">
        <w:rPr>
          <w:lang w:val="fr-CH"/>
        </w:rPr>
        <w:t>’</w:t>
      </w:r>
      <w:r w:rsidR="00FE41CF" w:rsidRPr="00731644">
        <w:rPr>
          <w:lang w:val="fr-CH"/>
        </w:rPr>
        <w:t>outrage aux</w:t>
      </w:r>
      <w:r w:rsidR="00AC7FF3" w:rsidRPr="00731644">
        <w:rPr>
          <w:lang w:val="fr-CH"/>
        </w:rPr>
        <w:t xml:space="preserve"> emblèmes nationaux, ethniques ou religieux, de dommages aux biens d</w:t>
      </w:r>
      <w:r w:rsidR="00425386" w:rsidRPr="00731644">
        <w:rPr>
          <w:lang w:val="fr-CH"/>
        </w:rPr>
        <w:t>’</w:t>
      </w:r>
      <w:r w:rsidR="00AC7FF3" w:rsidRPr="00731644">
        <w:rPr>
          <w:lang w:val="fr-CH"/>
        </w:rPr>
        <w:t>autrui, de la profanation de monuments</w:t>
      </w:r>
      <w:r w:rsidR="00C877BA" w:rsidRPr="00731644">
        <w:rPr>
          <w:lang w:val="fr-CH"/>
        </w:rPr>
        <w:t>, notamment commémoratifs,</w:t>
      </w:r>
      <w:r w:rsidR="00F31DD5" w:rsidRPr="00731644">
        <w:rPr>
          <w:lang w:val="fr-CH"/>
        </w:rPr>
        <w:t xml:space="preserve"> </w:t>
      </w:r>
      <w:r w:rsidR="00AC7FF3" w:rsidRPr="00731644">
        <w:rPr>
          <w:lang w:val="fr-CH"/>
        </w:rPr>
        <w:t>ou de tombes, l</w:t>
      </w:r>
      <w:r w:rsidR="00425386" w:rsidRPr="00731644">
        <w:rPr>
          <w:lang w:val="fr-CH"/>
        </w:rPr>
        <w:t>’</w:t>
      </w:r>
      <w:r w:rsidR="00AC7FF3" w:rsidRPr="00731644">
        <w:rPr>
          <w:lang w:val="fr-CH"/>
        </w:rPr>
        <w:t xml:space="preserve">auteur </w:t>
      </w:r>
      <w:r w:rsidR="00FE41CF" w:rsidRPr="00731644">
        <w:rPr>
          <w:lang w:val="fr-CH"/>
        </w:rPr>
        <w:t>encourt</w:t>
      </w:r>
      <w:r w:rsidR="00AC7FF3" w:rsidRPr="00731644">
        <w:rPr>
          <w:lang w:val="fr-CH"/>
        </w:rPr>
        <w:t xml:space="preserve"> un emprisonnement allant d</w:t>
      </w:r>
      <w:r w:rsidR="00425386" w:rsidRPr="00731644">
        <w:rPr>
          <w:lang w:val="fr-CH"/>
        </w:rPr>
        <w:t>’</w:t>
      </w:r>
      <w:r w:rsidR="00AC7FF3" w:rsidRPr="00731644">
        <w:rPr>
          <w:lang w:val="fr-CH"/>
        </w:rPr>
        <w:t>un à huit</w:t>
      </w:r>
      <w:r w:rsidR="00976D48">
        <w:rPr>
          <w:lang w:val="fr-CH"/>
        </w:rPr>
        <w:t> ans</w:t>
      </w:r>
      <w:r w:rsidR="00AC7FF3" w:rsidRPr="00731644">
        <w:rPr>
          <w:lang w:val="fr-CH"/>
        </w:rPr>
        <w:t xml:space="preserve">. Si </w:t>
      </w:r>
      <w:r w:rsidR="00FE41CF" w:rsidRPr="00731644">
        <w:rPr>
          <w:lang w:val="fr-CH"/>
        </w:rPr>
        <w:t>l</w:t>
      </w:r>
      <w:r w:rsidR="00AC7FF3" w:rsidRPr="00731644">
        <w:rPr>
          <w:lang w:val="fr-CH"/>
        </w:rPr>
        <w:t>es actes sont commis par une personne qui abuse de sa situation, ou s</w:t>
      </w:r>
      <w:r w:rsidR="00425386" w:rsidRPr="00731644">
        <w:rPr>
          <w:lang w:val="fr-CH"/>
        </w:rPr>
        <w:t>’</w:t>
      </w:r>
      <w:r w:rsidR="00AC7FF3" w:rsidRPr="00731644">
        <w:rPr>
          <w:lang w:val="fr-CH"/>
        </w:rPr>
        <w:t>ils entraînent des émeutes, des violences ou d</w:t>
      </w:r>
      <w:r w:rsidR="00425386" w:rsidRPr="00731644">
        <w:rPr>
          <w:lang w:val="fr-CH"/>
        </w:rPr>
        <w:t>’</w:t>
      </w:r>
      <w:r w:rsidR="00AC7FF3" w:rsidRPr="00731644">
        <w:rPr>
          <w:lang w:val="fr-CH"/>
        </w:rPr>
        <w:t xml:space="preserve">autres graves conséquences pour la vie commune des nations, </w:t>
      </w:r>
      <w:r w:rsidR="00CF2070" w:rsidRPr="00731644">
        <w:rPr>
          <w:lang w:val="fr-CH"/>
        </w:rPr>
        <w:t xml:space="preserve">des </w:t>
      </w:r>
      <w:r w:rsidR="00AC7FF3" w:rsidRPr="00731644">
        <w:rPr>
          <w:lang w:val="fr-CH"/>
        </w:rPr>
        <w:t xml:space="preserve">minorités nationales ou </w:t>
      </w:r>
      <w:r w:rsidR="00CF2070" w:rsidRPr="00731644">
        <w:rPr>
          <w:lang w:val="fr-CH"/>
        </w:rPr>
        <w:t xml:space="preserve">des </w:t>
      </w:r>
      <w:r w:rsidR="00AC7FF3" w:rsidRPr="00731644">
        <w:rPr>
          <w:lang w:val="fr-CH"/>
        </w:rPr>
        <w:t xml:space="preserve">groupes ethniques </w:t>
      </w:r>
      <w:r w:rsidR="00C877BA" w:rsidRPr="00731644">
        <w:rPr>
          <w:lang w:val="fr-CH"/>
        </w:rPr>
        <w:t>résid</w:t>
      </w:r>
      <w:r w:rsidR="00FE41CF" w:rsidRPr="00731644">
        <w:rPr>
          <w:lang w:val="fr-CH"/>
        </w:rPr>
        <w:t>a</w:t>
      </w:r>
      <w:r w:rsidR="00AC7FF3" w:rsidRPr="00731644">
        <w:rPr>
          <w:lang w:val="fr-CH"/>
        </w:rPr>
        <w:t xml:space="preserve">nt au Monténégro, </w:t>
      </w:r>
      <w:r w:rsidR="00C877BA" w:rsidRPr="00731644">
        <w:rPr>
          <w:lang w:val="fr-CH"/>
        </w:rPr>
        <w:t>la peine de prison est comprise entre un et huit</w:t>
      </w:r>
      <w:r w:rsidR="00976D48">
        <w:rPr>
          <w:lang w:val="fr-CH"/>
        </w:rPr>
        <w:t> ans</w:t>
      </w:r>
      <w:r w:rsidR="00C877BA" w:rsidRPr="00731644">
        <w:rPr>
          <w:lang w:val="fr-CH"/>
        </w:rPr>
        <w:t xml:space="preserve"> dans le premier cas, et deux à dix</w:t>
      </w:r>
      <w:r w:rsidR="00976D48">
        <w:rPr>
          <w:lang w:val="fr-CH"/>
        </w:rPr>
        <w:t> ans</w:t>
      </w:r>
      <w:r w:rsidR="00C877BA" w:rsidRPr="00731644">
        <w:rPr>
          <w:lang w:val="fr-CH"/>
        </w:rPr>
        <w:t xml:space="preserve"> dans le second.</w:t>
      </w:r>
      <w:r w:rsidR="00F31DD5" w:rsidRPr="00731644">
        <w:rPr>
          <w:lang w:val="fr-CH"/>
        </w:rPr>
        <w:t xml:space="preserve"> </w:t>
      </w:r>
    </w:p>
    <w:p w:rsidR="007A774E" w:rsidRPr="00731644" w:rsidRDefault="003F6CEA" w:rsidP="007A774E">
      <w:pPr>
        <w:pStyle w:val="SingleTxtG"/>
        <w:rPr>
          <w:lang w:val="fr-CH"/>
        </w:rPr>
      </w:pPr>
      <w:r w:rsidRPr="00731644">
        <w:rPr>
          <w:lang w:val="fr-CH"/>
        </w:rPr>
        <w:t>71.</w:t>
      </w:r>
      <w:r w:rsidRPr="00731644">
        <w:rPr>
          <w:lang w:val="fr-CH"/>
        </w:rPr>
        <w:tab/>
      </w:r>
      <w:r w:rsidR="00C877BA" w:rsidRPr="00731644">
        <w:rPr>
          <w:lang w:val="fr-CH"/>
        </w:rPr>
        <w:t>Enfin, le titre</w:t>
      </w:r>
      <w:r w:rsidR="007A774E" w:rsidRPr="00731644">
        <w:rPr>
          <w:lang w:val="fr-CH"/>
        </w:rPr>
        <w:t xml:space="preserve"> XXXV </w:t>
      </w:r>
      <w:r w:rsidR="00C877BA" w:rsidRPr="00731644">
        <w:rPr>
          <w:lang w:val="fr-CH"/>
        </w:rPr>
        <w:t>du Code pénal traite des crimes de génocide, des crimes contre l</w:t>
      </w:r>
      <w:r w:rsidR="00425386" w:rsidRPr="00731644">
        <w:rPr>
          <w:lang w:val="fr-CH"/>
        </w:rPr>
        <w:t>’</w:t>
      </w:r>
      <w:r w:rsidR="00C877BA" w:rsidRPr="00731644">
        <w:rPr>
          <w:lang w:val="fr-CH"/>
        </w:rPr>
        <w:t>humanité, des crimes de guerre perpétrés contre des civils, de l</w:t>
      </w:r>
      <w:r w:rsidR="00425386" w:rsidRPr="00731644">
        <w:rPr>
          <w:lang w:val="fr-CH"/>
        </w:rPr>
        <w:t>’</w:t>
      </w:r>
      <w:r w:rsidR="00C877BA" w:rsidRPr="00731644">
        <w:rPr>
          <w:lang w:val="fr-CH"/>
        </w:rPr>
        <w:t>organisation de génocides et de crimes de guerre et de l</w:t>
      </w:r>
      <w:r w:rsidR="00425386" w:rsidRPr="00731644">
        <w:rPr>
          <w:lang w:val="fr-CH"/>
        </w:rPr>
        <w:t>’</w:t>
      </w:r>
      <w:r w:rsidR="00C877BA" w:rsidRPr="00731644">
        <w:rPr>
          <w:lang w:val="fr-CH"/>
        </w:rPr>
        <w:t>instigation à en commettre, de la</w:t>
      </w:r>
      <w:r w:rsidR="00F31DD5" w:rsidRPr="00731644">
        <w:rPr>
          <w:lang w:val="fr-CH"/>
        </w:rPr>
        <w:t xml:space="preserve"> </w:t>
      </w:r>
      <w:r w:rsidR="007A774E" w:rsidRPr="00731644">
        <w:rPr>
          <w:lang w:val="fr-CH"/>
        </w:rPr>
        <w:t xml:space="preserve">destruction </w:t>
      </w:r>
      <w:r w:rsidR="00C877BA" w:rsidRPr="00731644">
        <w:rPr>
          <w:lang w:val="fr-CH"/>
        </w:rPr>
        <w:t>de monuments culturels ou historiques</w:t>
      </w:r>
      <w:r w:rsidR="00CF2070" w:rsidRPr="00731644">
        <w:rPr>
          <w:lang w:val="fr-CH"/>
        </w:rPr>
        <w:t>,</w:t>
      </w:r>
      <w:r w:rsidR="00C877BA" w:rsidRPr="00731644">
        <w:rPr>
          <w:lang w:val="fr-CH"/>
        </w:rPr>
        <w:t xml:space="preserve"> d</w:t>
      </w:r>
      <w:r w:rsidR="00425386" w:rsidRPr="00731644">
        <w:rPr>
          <w:lang w:val="fr-CH"/>
        </w:rPr>
        <w:t>’</w:t>
      </w:r>
      <w:r w:rsidR="00C877BA" w:rsidRPr="00731644">
        <w:rPr>
          <w:lang w:val="fr-CH"/>
        </w:rPr>
        <w:t xml:space="preserve">autres biens culturels, </w:t>
      </w:r>
      <w:r w:rsidR="00CF2070" w:rsidRPr="00731644">
        <w:rPr>
          <w:lang w:val="fr-CH"/>
        </w:rPr>
        <w:t>d</w:t>
      </w:r>
      <w:r w:rsidR="00425386" w:rsidRPr="00731644">
        <w:rPr>
          <w:lang w:val="fr-CH"/>
        </w:rPr>
        <w:t>’</w:t>
      </w:r>
      <w:r w:rsidR="00C877BA" w:rsidRPr="00731644">
        <w:rPr>
          <w:lang w:val="fr-CH"/>
        </w:rPr>
        <w:t xml:space="preserve">institutions </w:t>
      </w:r>
      <w:r w:rsidR="00CF2070" w:rsidRPr="00731644">
        <w:rPr>
          <w:lang w:val="fr-CH"/>
        </w:rPr>
        <w:t>ou d</w:t>
      </w:r>
      <w:r w:rsidR="00425386" w:rsidRPr="00731644">
        <w:rPr>
          <w:lang w:val="fr-CH"/>
        </w:rPr>
        <w:t>’</w:t>
      </w:r>
      <w:r w:rsidR="00CF2070" w:rsidRPr="00731644">
        <w:rPr>
          <w:lang w:val="fr-CH"/>
        </w:rPr>
        <w:t xml:space="preserve">édifices </w:t>
      </w:r>
      <w:r w:rsidR="00C877BA" w:rsidRPr="00731644">
        <w:rPr>
          <w:lang w:val="fr-CH"/>
        </w:rPr>
        <w:t>religieu</w:t>
      </w:r>
      <w:r w:rsidR="00CF2070" w:rsidRPr="00731644">
        <w:rPr>
          <w:lang w:val="fr-CH"/>
        </w:rPr>
        <w:t>x</w:t>
      </w:r>
      <w:r w:rsidR="00C877BA" w:rsidRPr="00731644">
        <w:rPr>
          <w:lang w:val="fr-CH"/>
        </w:rPr>
        <w:t xml:space="preserve">, </w:t>
      </w:r>
      <w:r w:rsidR="00CF2070" w:rsidRPr="00731644">
        <w:rPr>
          <w:lang w:val="fr-CH"/>
        </w:rPr>
        <w:t xml:space="preserve">ou </w:t>
      </w:r>
      <w:r w:rsidR="00C877BA" w:rsidRPr="00731644">
        <w:rPr>
          <w:lang w:val="fr-CH"/>
        </w:rPr>
        <w:t>d</w:t>
      </w:r>
      <w:r w:rsidR="00425386" w:rsidRPr="00731644">
        <w:rPr>
          <w:lang w:val="fr-CH"/>
        </w:rPr>
        <w:t>’</w:t>
      </w:r>
      <w:r w:rsidR="00C877BA" w:rsidRPr="00731644">
        <w:rPr>
          <w:lang w:val="fr-CH"/>
        </w:rPr>
        <w:t xml:space="preserve">équipements </w:t>
      </w:r>
      <w:r w:rsidR="00270E37" w:rsidRPr="00731644">
        <w:rPr>
          <w:lang w:val="fr-CH"/>
        </w:rPr>
        <w:t>à vocation</w:t>
      </w:r>
      <w:r w:rsidR="00C877BA" w:rsidRPr="00731644">
        <w:rPr>
          <w:lang w:val="fr-CH"/>
        </w:rPr>
        <w:t xml:space="preserve"> scien</w:t>
      </w:r>
      <w:r w:rsidR="00270E37" w:rsidRPr="00731644">
        <w:rPr>
          <w:lang w:val="fr-CH"/>
        </w:rPr>
        <w:t xml:space="preserve">tifique, artistique, éducative ou </w:t>
      </w:r>
      <w:r w:rsidR="00A66512" w:rsidRPr="00731644">
        <w:rPr>
          <w:lang w:val="fr-CH"/>
        </w:rPr>
        <w:t>humanitaire</w:t>
      </w:r>
      <w:r w:rsidR="00270E37" w:rsidRPr="00731644">
        <w:rPr>
          <w:lang w:val="fr-CH"/>
        </w:rPr>
        <w:t>, ainsi que du manquement à l</w:t>
      </w:r>
      <w:r w:rsidR="00425386" w:rsidRPr="00731644">
        <w:rPr>
          <w:lang w:val="fr-CH"/>
        </w:rPr>
        <w:t>’</w:t>
      </w:r>
      <w:r w:rsidR="00270E37" w:rsidRPr="00731644">
        <w:rPr>
          <w:lang w:val="fr-CH"/>
        </w:rPr>
        <w:t xml:space="preserve">obligation de prendre des mesures </w:t>
      </w:r>
      <w:r w:rsidR="007F023C" w:rsidRPr="00731644">
        <w:rPr>
          <w:lang w:val="fr-CH"/>
        </w:rPr>
        <w:t>afin de</w:t>
      </w:r>
      <w:r w:rsidR="00270E37" w:rsidRPr="00731644">
        <w:rPr>
          <w:lang w:val="fr-CH"/>
        </w:rPr>
        <w:t xml:space="preserve"> prévenir les crimes contre l</w:t>
      </w:r>
      <w:r w:rsidR="00425386" w:rsidRPr="00731644">
        <w:rPr>
          <w:lang w:val="fr-CH"/>
        </w:rPr>
        <w:t>’</w:t>
      </w:r>
      <w:r w:rsidR="00270E37" w:rsidRPr="00731644">
        <w:rPr>
          <w:lang w:val="fr-CH"/>
        </w:rPr>
        <w:t xml:space="preserve">humanité et contre le droit international. </w:t>
      </w:r>
    </w:p>
    <w:p w:rsidR="006D6545" w:rsidRPr="00731644" w:rsidRDefault="003F6CEA" w:rsidP="007A774E">
      <w:pPr>
        <w:pStyle w:val="SingleTxtG"/>
        <w:rPr>
          <w:lang w:val="fr-CH"/>
        </w:rPr>
      </w:pPr>
      <w:r w:rsidRPr="00731644">
        <w:rPr>
          <w:lang w:val="fr-CH"/>
        </w:rPr>
        <w:t>72.</w:t>
      </w:r>
      <w:r w:rsidRPr="00731644">
        <w:rPr>
          <w:lang w:val="fr-CH"/>
        </w:rPr>
        <w:tab/>
      </w:r>
      <w:r w:rsidR="00270E37" w:rsidRPr="00731644">
        <w:rPr>
          <w:lang w:val="fr-CH"/>
        </w:rPr>
        <w:t>L</w:t>
      </w:r>
      <w:r w:rsidR="00425386" w:rsidRPr="00731644">
        <w:rPr>
          <w:lang w:val="fr-CH"/>
        </w:rPr>
        <w:t>’</w:t>
      </w:r>
      <w:r w:rsidR="001753EC">
        <w:rPr>
          <w:lang w:val="fr-CH"/>
        </w:rPr>
        <w:t>article </w:t>
      </w:r>
      <w:r w:rsidR="007A774E" w:rsidRPr="00731644">
        <w:rPr>
          <w:lang w:val="fr-CH"/>
        </w:rPr>
        <w:t xml:space="preserve">443 </w:t>
      </w:r>
      <w:r w:rsidR="00270E37" w:rsidRPr="00731644">
        <w:rPr>
          <w:lang w:val="fr-CH"/>
        </w:rPr>
        <w:t>du</w:t>
      </w:r>
      <w:r w:rsidR="007A774E" w:rsidRPr="00731644">
        <w:rPr>
          <w:lang w:val="fr-CH"/>
        </w:rPr>
        <w:t xml:space="preserve"> Code </w:t>
      </w:r>
      <w:r w:rsidR="00270E37" w:rsidRPr="00731644">
        <w:rPr>
          <w:lang w:val="fr-CH"/>
        </w:rPr>
        <w:t>pénal définit l</w:t>
      </w:r>
      <w:r w:rsidR="00425386" w:rsidRPr="00731644">
        <w:rPr>
          <w:lang w:val="fr-CH"/>
        </w:rPr>
        <w:t>’</w:t>
      </w:r>
      <w:r w:rsidR="00270E37" w:rsidRPr="00731644">
        <w:rPr>
          <w:lang w:val="fr-CH"/>
        </w:rPr>
        <w:t xml:space="preserve">infraction de discrimination raciale ou autre, </w:t>
      </w:r>
      <w:r w:rsidR="007C394C" w:rsidRPr="00731644">
        <w:rPr>
          <w:lang w:val="fr-CH"/>
        </w:rPr>
        <w:t>commise par</w:t>
      </w:r>
      <w:r w:rsidR="00270E37" w:rsidRPr="00731644">
        <w:rPr>
          <w:lang w:val="fr-CH"/>
        </w:rPr>
        <w:t xml:space="preserve"> </w:t>
      </w:r>
      <w:r w:rsidR="00CB7658" w:rsidRPr="00731644">
        <w:rPr>
          <w:lang w:val="fr-CH"/>
        </w:rPr>
        <w:t>les personnes</w:t>
      </w:r>
      <w:r w:rsidR="00270E37" w:rsidRPr="00731644">
        <w:rPr>
          <w:lang w:val="fr-CH"/>
        </w:rPr>
        <w:t xml:space="preserve"> qui, au motif d</w:t>
      </w:r>
      <w:r w:rsidR="00425386" w:rsidRPr="00731644">
        <w:rPr>
          <w:lang w:val="fr-CH"/>
        </w:rPr>
        <w:t>’</w:t>
      </w:r>
      <w:r w:rsidR="00270E37" w:rsidRPr="00731644">
        <w:rPr>
          <w:lang w:val="fr-CH"/>
        </w:rPr>
        <w:t>une différence de race, de couleur de peau, d</w:t>
      </w:r>
      <w:r w:rsidR="00425386" w:rsidRPr="00731644">
        <w:rPr>
          <w:lang w:val="fr-CH"/>
        </w:rPr>
        <w:t>’</w:t>
      </w:r>
      <w:r w:rsidR="00270E37" w:rsidRPr="00731644">
        <w:rPr>
          <w:lang w:val="fr-CH"/>
        </w:rPr>
        <w:t>appartenance nationale</w:t>
      </w:r>
      <w:r w:rsidR="007F023C" w:rsidRPr="00731644">
        <w:rPr>
          <w:lang w:val="fr-CH"/>
        </w:rPr>
        <w:t xml:space="preserve"> ou </w:t>
      </w:r>
      <w:r w:rsidR="00270E37" w:rsidRPr="00731644">
        <w:rPr>
          <w:lang w:val="fr-CH"/>
        </w:rPr>
        <w:t>d</w:t>
      </w:r>
      <w:r w:rsidR="00425386" w:rsidRPr="00731644">
        <w:rPr>
          <w:lang w:val="fr-CH"/>
        </w:rPr>
        <w:t>’</w:t>
      </w:r>
      <w:r w:rsidR="00270E37" w:rsidRPr="00731644">
        <w:rPr>
          <w:lang w:val="fr-CH"/>
        </w:rPr>
        <w:t>origine ethnique</w:t>
      </w:r>
      <w:r w:rsidR="007F023C" w:rsidRPr="00731644">
        <w:rPr>
          <w:lang w:val="fr-CH"/>
        </w:rPr>
        <w:t>,</w:t>
      </w:r>
      <w:r w:rsidR="00270E37" w:rsidRPr="00731644">
        <w:rPr>
          <w:lang w:val="fr-CH"/>
        </w:rPr>
        <w:t xml:space="preserve"> ou de quelque autre caractéristique personnelle, violent les libertés et les droits de l</w:t>
      </w:r>
      <w:r w:rsidR="00425386" w:rsidRPr="00731644">
        <w:rPr>
          <w:lang w:val="fr-CH"/>
        </w:rPr>
        <w:t>’</w:t>
      </w:r>
      <w:r w:rsidR="00270E37" w:rsidRPr="00731644">
        <w:rPr>
          <w:lang w:val="fr-CH"/>
        </w:rPr>
        <w:t>homme fondamentaux consacrés par les règles généralement admises</w:t>
      </w:r>
      <w:r w:rsidR="00F31DD5" w:rsidRPr="00731644">
        <w:rPr>
          <w:lang w:val="fr-CH"/>
        </w:rPr>
        <w:t xml:space="preserve"> </w:t>
      </w:r>
      <w:r w:rsidR="00270E37" w:rsidRPr="00731644">
        <w:rPr>
          <w:lang w:val="fr-CH"/>
        </w:rPr>
        <w:t xml:space="preserve">du droit international et </w:t>
      </w:r>
      <w:r w:rsidR="007F023C" w:rsidRPr="00731644">
        <w:rPr>
          <w:lang w:val="fr-CH"/>
        </w:rPr>
        <w:t>l</w:t>
      </w:r>
      <w:r w:rsidR="00270E37" w:rsidRPr="00731644">
        <w:rPr>
          <w:lang w:val="fr-CH"/>
        </w:rPr>
        <w:t>es accords internationaux ratifiés par le Monténégro.</w:t>
      </w:r>
      <w:r w:rsidR="00F31DD5" w:rsidRPr="00731644">
        <w:rPr>
          <w:lang w:val="fr-CH"/>
        </w:rPr>
        <w:t xml:space="preserve"> </w:t>
      </w:r>
      <w:r w:rsidR="00270E37" w:rsidRPr="00731644">
        <w:rPr>
          <w:lang w:val="fr-CH"/>
        </w:rPr>
        <w:t>La peine prévue est un emprisonnement allant de six mois à cinq</w:t>
      </w:r>
      <w:r w:rsidR="00976D48">
        <w:rPr>
          <w:lang w:val="fr-CH"/>
        </w:rPr>
        <w:t> ans</w:t>
      </w:r>
      <w:r w:rsidR="00270E37" w:rsidRPr="00731644">
        <w:rPr>
          <w:lang w:val="fr-CH"/>
        </w:rPr>
        <w:t>.</w:t>
      </w:r>
      <w:r w:rsidR="006443F6" w:rsidRPr="00731644">
        <w:rPr>
          <w:lang w:val="fr-CH"/>
        </w:rPr>
        <w:t xml:space="preserve"> </w:t>
      </w:r>
      <w:r w:rsidR="00270E37" w:rsidRPr="00731644">
        <w:rPr>
          <w:lang w:val="fr-CH"/>
        </w:rPr>
        <w:t>La même sanction s</w:t>
      </w:r>
      <w:r w:rsidR="00425386" w:rsidRPr="00731644">
        <w:rPr>
          <w:lang w:val="fr-CH"/>
        </w:rPr>
        <w:t>’</w:t>
      </w:r>
      <w:r w:rsidR="00270E37" w:rsidRPr="00731644">
        <w:rPr>
          <w:lang w:val="fr-CH"/>
        </w:rPr>
        <w:t xml:space="preserve">applique </w:t>
      </w:r>
      <w:r w:rsidR="007C394C" w:rsidRPr="00731644">
        <w:rPr>
          <w:lang w:val="fr-CH"/>
        </w:rPr>
        <w:t>en cas de persécution</w:t>
      </w:r>
      <w:r w:rsidR="00270E37" w:rsidRPr="00731644">
        <w:rPr>
          <w:lang w:val="fr-CH"/>
        </w:rPr>
        <w:t xml:space="preserve"> d</w:t>
      </w:r>
      <w:r w:rsidR="00425386" w:rsidRPr="00731644">
        <w:rPr>
          <w:lang w:val="fr-CH"/>
        </w:rPr>
        <w:t>’</w:t>
      </w:r>
      <w:r w:rsidR="00270E37" w:rsidRPr="00731644">
        <w:rPr>
          <w:lang w:val="fr-CH"/>
        </w:rPr>
        <w:t>organisations ou de particuliers qui s</w:t>
      </w:r>
      <w:r w:rsidR="00425386" w:rsidRPr="00731644">
        <w:rPr>
          <w:lang w:val="fr-CH"/>
        </w:rPr>
        <w:t>’</w:t>
      </w:r>
      <w:r w:rsidR="00270E37" w:rsidRPr="00731644">
        <w:rPr>
          <w:lang w:val="fr-CH"/>
        </w:rPr>
        <w:t>emploient à assurer l</w:t>
      </w:r>
      <w:r w:rsidR="00425386" w:rsidRPr="00731644">
        <w:rPr>
          <w:lang w:val="fr-CH"/>
        </w:rPr>
        <w:t>’</w:t>
      </w:r>
      <w:r w:rsidR="00270E37" w:rsidRPr="00731644">
        <w:rPr>
          <w:lang w:val="fr-CH"/>
        </w:rPr>
        <w:t xml:space="preserve">égalité </w:t>
      </w:r>
      <w:r w:rsidR="00B569C5" w:rsidRPr="00731644">
        <w:rPr>
          <w:lang w:val="fr-CH"/>
        </w:rPr>
        <w:t>des personnes</w:t>
      </w:r>
      <w:r w:rsidR="00270E37" w:rsidRPr="00731644">
        <w:rPr>
          <w:lang w:val="fr-CH"/>
        </w:rPr>
        <w:t xml:space="preserve">. </w:t>
      </w:r>
      <w:r w:rsidR="007C394C" w:rsidRPr="00731644">
        <w:rPr>
          <w:lang w:val="fr-CH"/>
        </w:rPr>
        <w:t xml:space="preserve">Quiconque </w:t>
      </w:r>
      <w:r w:rsidR="006D6545" w:rsidRPr="00731644">
        <w:rPr>
          <w:lang w:val="fr-CH"/>
        </w:rPr>
        <w:t>propage l</w:t>
      </w:r>
      <w:r w:rsidR="00425386" w:rsidRPr="00731644">
        <w:rPr>
          <w:lang w:val="fr-CH"/>
        </w:rPr>
        <w:t>’</w:t>
      </w:r>
      <w:r w:rsidR="006D6545" w:rsidRPr="00731644">
        <w:rPr>
          <w:lang w:val="fr-CH"/>
        </w:rPr>
        <w:t xml:space="preserve">idée </w:t>
      </w:r>
      <w:r w:rsidR="007C394C" w:rsidRPr="00731644">
        <w:rPr>
          <w:lang w:val="fr-CH"/>
        </w:rPr>
        <w:t>de la</w:t>
      </w:r>
      <w:r w:rsidR="006D6545" w:rsidRPr="00731644">
        <w:rPr>
          <w:lang w:val="fr-CH"/>
        </w:rPr>
        <w:t xml:space="preserve"> supériorité</w:t>
      </w:r>
      <w:r w:rsidR="00F31DD5" w:rsidRPr="00731644">
        <w:rPr>
          <w:lang w:val="fr-CH"/>
        </w:rPr>
        <w:t xml:space="preserve"> </w:t>
      </w:r>
      <w:r w:rsidR="007F023C" w:rsidRPr="00731644">
        <w:rPr>
          <w:lang w:val="fr-CH"/>
        </w:rPr>
        <w:t>d</w:t>
      </w:r>
      <w:r w:rsidR="00425386" w:rsidRPr="00731644">
        <w:rPr>
          <w:lang w:val="fr-CH"/>
        </w:rPr>
        <w:t>’</w:t>
      </w:r>
      <w:r w:rsidR="007F023C" w:rsidRPr="00731644">
        <w:rPr>
          <w:lang w:val="fr-CH"/>
        </w:rPr>
        <w:t>une race sur une autre,</w:t>
      </w:r>
      <w:r w:rsidR="006D6545" w:rsidRPr="00731644">
        <w:rPr>
          <w:lang w:val="fr-CH"/>
        </w:rPr>
        <w:t xml:space="preserve"> encourage la haine raciale ou incite à la discrimination raciale encourt une </w:t>
      </w:r>
      <w:r w:rsidR="007C394C" w:rsidRPr="00731644">
        <w:rPr>
          <w:lang w:val="fr-CH"/>
        </w:rPr>
        <w:t>incarcération</w:t>
      </w:r>
      <w:r w:rsidR="006D6545" w:rsidRPr="00731644">
        <w:rPr>
          <w:lang w:val="fr-CH"/>
        </w:rPr>
        <w:t xml:space="preserve"> comprise entre trois mois et trois</w:t>
      </w:r>
      <w:r w:rsidR="00976D48">
        <w:rPr>
          <w:lang w:val="fr-CH"/>
        </w:rPr>
        <w:t> ans</w:t>
      </w:r>
      <w:r w:rsidR="006D6545" w:rsidRPr="00731644">
        <w:rPr>
          <w:lang w:val="fr-CH"/>
        </w:rPr>
        <w:t xml:space="preserve">. </w:t>
      </w:r>
    </w:p>
    <w:p w:rsidR="007A774E" w:rsidRPr="00731644" w:rsidRDefault="003F6CEA" w:rsidP="007A774E">
      <w:pPr>
        <w:pStyle w:val="SingleTxtG"/>
        <w:rPr>
          <w:lang w:val="fr-CH"/>
        </w:rPr>
      </w:pPr>
      <w:r w:rsidRPr="00731644">
        <w:rPr>
          <w:lang w:val="fr-CH"/>
        </w:rPr>
        <w:t>73.</w:t>
      </w:r>
      <w:r w:rsidRPr="00731644">
        <w:rPr>
          <w:lang w:val="fr-CH"/>
        </w:rPr>
        <w:tab/>
      </w:r>
      <w:r w:rsidR="006D6545" w:rsidRPr="00731644">
        <w:rPr>
          <w:lang w:val="fr-CH"/>
        </w:rPr>
        <w:t>L</w:t>
      </w:r>
      <w:r w:rsidR="00425386" w:rsidRPr="00731644">
        <w:rPr>
          <w:lang w:val="fr-CH"/>
        </w:rPr>
        <w:t>’</w:t>
      </w:r>
      <w:r w:rsidR="001753EC">
        <w:rPr>
          <w:lang w:val="fr-CH"/>
        </w:rPr>
        <w:t>article </w:t>
      </w:r>
      <w:r w:rsidR="007A774E" w:rsidRPr="00731644">
        <w:rPr>
          <w:lang w:val="fr-CH"/>
        </w:rPr>
        <w:t xml:space="preserve">62 </w:t>
      </w:r>
      <w:r w:rsidR="006D6545" w:rsidRPr="00731644">
        <w:rPr>
          <w:lang w:val="fr-CH"/>
        </w:rPr>
        <w:t xml:space="preserve">du </w:t>
      </w:r>
      <w:r w:rsidR="007A774E" w:rsidRPr="00731644">
        <w:rPr>
          <w:lang w:val="fr-CH"/>
        </w:rPr>
        <w:t xml:space="preserve">Code </w:t>
      </w:r>
      <w:r w:rsidR="006D6545" w:rsidRPr="00731644">
        <w:rPr>
          <w:lang w:val="fr-CH"/>
        </w:rPr>
        <w:t>de procédure pénale affirme que la partie lésée qui engage des poursuites à titre principal ou subsidiaire a les mêmes droits qu</w:t>
      </w:r>
      <w:r w:rsidR="00425386" w:rsidRPr="00731644">
        <w:rPr>
          <w:lang w:val="fr-CH"/>
        </w:rPr>
        <w:t>’</w:t>
      </w:r>
      <w:r w:rsidR="006D6545" w:rsidRPr="00731644">
        <w:rPr>
          <w:lang w:val="fr-CH"/>
        </w:rPr>
        <w:t xml:space="preserve">un procureur, hormis les </w:t>
      </w:r>
      <w:r w:rsidR="007F023C" w:rsidRPr="00731644">
        <w:rPr>
          <w:lang w:val="fr-CH"/>
        </w:rPr>
        <w:t>attribution</w:t>
      </w:r>
      <w:r w:rsidR="006D6545" w:rsidRPr="00731644">
        <w:rPr>
          <w:lang w:val="fr-CH"/>
        </w:rPr>
        <w:t>s qu</w:t>
      </w:r>
      <w:r w:rsidR="00425386" w:rsidRPr="00731644">
        <w:rPr>
          <w:lang w:val="fr-CH"/>
        </w:rPr>
        <w:t>’</w:t>
      </w:r>
      <w:r w:rsidR="006D6545" w:rsidRPr="00731644">
        <w:rPr>
          <w:lang w:val="fr-CH"/>
        </w:rPr>
        <w:t>en vertu de la loi le procureur est seul à posséder en sa qualité de dépositaire de la souveraineté publique, c</w:t>
      </w:r>
      <w:r w:rsidR="00425386" w:rsidRPr="00731644">
        <w:rPr>
          <w:lang w:val="fr-CH"/>
        </w:rPr>
        <w:t>’</w:t>
      </w:r>
      <w:r w:rsidR="006D6545" w:rsidRPr="00731644">
        <w:rPr>
          <w:lang w:val="fr-CH"/>
        </w:rPr>
        <w:t>est-à-dire de l</w:t>
      </w:r>
      <w:r w:rsidR="00425386" w:rsidRPr="00731644">
        <w:rPr>
          <w:lang w:val="fr-CH"/>
        </w:rPr>
        <w:t>’</w:t>
      </w:r>
      <w:r w:rsidR="006D6545" w:rsidRPr="00731644">
        <w:rPr>
          <w:lang w:val="fr-CH"/>
        </w:rPr>
        <w:t>autorité de l</w:t>
      </w:r>
      <w:r w:rsidR="00425386" w:rsidRPr="00731644">
        <w:rPr>
          <w:lang w:val="fr-CH"/>
        </w:rPr>
        <w:t>’</w:t>
      </w:r>
      <w:r w:rsidR="006D6545" w:rsidRPr="00731644">
        <w:rPr>
          <w:lang w:val="fr-CH"/>
        </w:rPr>
        <w:t>État.</w:t>
      </w:r>
    </w:p>
    <w:p w:rsidR="007A774E" w:rsidRPr="00731644" w:rsidRDefault="003F6CEA" w:rsidP="007A774E">
      <w:pPr>
        <w:pStyle w:val="SingleTxtG"/>
        <w:rPr>
          <w:lang w:val="fr-CH"/>
        </w:rPr>
      </w:pPr>
      <w:r w:rsidRPr="00731644">
        <w:rPr>
          <w:lang w:val="fr-CH"/>
        </w:rPr>
        <w:t>74.</w:t>
      </w:r>
      <w:r w:rsidRPr="00731644">
        <w:rPr>
          <w:lang w:val="fr-CH"/>
        </w:rPr>
        <w:tab/>
      </w:r>
      <w:r w:rsidR="006D6545" w:rsidRPr="00731644">
        <w:rPr>
          <w:lang w:val="fr-CH"/>
        </w:rPr>
        <w:t>D</w:t>
      </w:r>
      <w:r w:rsidR="00425386" w:rsidRPr="00731644">
        <w:rPr>
          <w:lang w:val="fr-CH"/>
        </w:rPr>
        <w:t>’</w:t>
      </w:r>
      <w:r w:rsidR="006D6545" w:rsidRPr="00731644">
        <w:rPr>
          <w:lang w:val="fr-CH"/>
        </w:rPr>
        <w:t xml:space="preserve">après les </w:t>
      </w:r>
      <w:r w:rsidR="003B2D38" w:rsidRPr="00731644">
        <w:rPr>
          <w:lang w:val="fr-CH"/>
        </w:rPr>
        <w:t>donné</w:t>
      </w:r>
      <w:r w:rsidR="007A774E" w:rsidRPr="00731644">
        <w:rPr>
          <w:lang w:val="fr-CH"/>
        </w:rPr>
        <w:t xml:space="preserve">es </w:t>
      </w:r>
      <w:r w:rsidR="006D6545" w:rsidRPr="00731644">
        <w:rPr>
          <w:lang w:val="fr-CH"/>
        </w:rPr>
        <w:t xml:space="preserve">de la </w:t>
      </w:r>
      <w:r w:rsidR="003B2D38" w:rsidRPr="00731644">
        <w:rPr>
          <w:lang w:val="fr-CH"/>
        </w:rPr>
        <w:t>D</w:t>
      </w:r>
      <w:r w:rsidR="006D6545" w:rsidRPr="00731644">
        <w:rPr>
          <w:lang w:val="fr-CH"/>
        </w:rPr>
        <w:t xml:space="preserve">irection </w:t>
      </w:r>
      <w:r w:rsidR="00624C0D" w:rsidRPr="00731644">
        <w:rPr>
          <w:lang w:val="fr-CH"/>
        </w:rPr>
        <w:t>d</w:t>
      </w:r>
      <w:r w:rsidR="006D6545" w:rsidRPr="00731644">
        <w:rPr>
          <w:lang w:val="fr-CH"/>
        </w:rPr>
        <w:t>e la police,</w:t>
      </w:r>
      <w:r w:rsidR="00624C0D" w:rsidRPr="00731644">
        <w:rPr>
          <w:lang w:val="fr-CH"/>
        </w:rPr>
        <w:t xml:space="preserve"> celle-ci a, en</w:t>
      </w:r>
      <w:r w:rsidR="007A774E" w:rsidRPr="00731644">
        <w:rPr>
          <w:lang w:val="fr-CH"/>
        </w:rPr>
        <w:t xml:space="preserve"> 2008/2009, </w:t>
      </w:r>
      <w:r w:rsidR="00624C0D" w:rsidRPr="00731644">
        <w:rPr>
          <w:lang w:val="fr-CH"/>
        </w:rPr>
        <w:t xml:space="preserve">enregistré sept </w:t>
      </w:r>
      <w:r w:rsidR="007C394C" w:rsidRPr="00731644">
        <w:rPr>
          <w:lang w:val="fr-CH"/>
        </w:rPr>
        <w:t>ca</w:t>
      </w:r>
      <w:r w:rsidR="00624C0D" w:rsidRPr="00731644">
        <w:rPr>
          <w:lang w:val="fr-CH"/>
        </w:rPr>
        <w:t>s d</w:t>
      </w:r>
      <w:r w:rsidR="00425386" w:rsidRPr="00731644">
        <w:rPr>
          <w:lang w:val="fr-CH"/>
        </w:rPr>
        <w:t>’</w:t>
      </w:r>
      <w:r w:rsidR="00624C0D" w:rsidRPr="00731644">
        <w:rPr>
          <w:lang w:val="fr-CH"/>
        </w:rPr>
        <w:t>incitation à la haine nationale, raciale et religieuse, dont quatre n</w:t>
      </w:r>
      <w:r w:rsidR="00425386" w:rsidRPr="00731644">
        <w:rPr>
          <w:lang w:val="fr-CH"/>
        </w:rPr>
        <w:t>’</w:t>
      </w:r>
      <w:r w:rsidR="00624C0D" w:rsidRPr="00731644">
        <w:rPr>
          <w:lang w:val="fr-CH"/>
        </w:rPr>
        <w:t>ont pas été résolus, les autres affaires étant maintenant terminées. E</w:t>
      </w:r>
      <w:r w:rsidR="007A774E" w:rsidRPr="00731644">
        <w:rPr>
          <w:lang w:val="fr-CH"/>
        </w:rPr>
        <w:t xml:space="preserve">n 2010, </w:t>
      </w:r>
      <w:r w:rsidR="00624C0D" w:rsidRPr="00731644">
        <w:rPr>
          <w:lang w:val="fr-CH"/>
        </w:rPr>
        <w:t>un cas seulement d</w:t>
      </w:r>
      <w:r w:rsidR="00425386" w:rsidRPr="00731644">
        <w:rPr>
          <w:lang w:val="fr-CH"/>
        </w:rPr>
        <w:t>’</w:t>
      </w:r>
      <w:r w:rsidR="00624C0D" w:rsidRPr="00731644">
        <w:rPr>
          <w:lang w:val="fr-CH"/>
        </w:rPr>
        <w:t>incitation à la haine nationale, ethnique et religieuse a été enregistré</w:t>
      </w:r>
      <w:r w:rsidR="00F31DD5" w:rsidRPr="00731644">
        <w:rPr>
          <w:lang w:val="fr-CH"/>
        </w:rPr>
        <w:t xml:space="preserve"> – </w:t>
      </w:r>
      <w:r w:rsidR="00624C0D" w:rsidRPr="00731644">
        <w:rPr>
          <w:lang w:val="fr-CH"/>
        </w:rPr>
        <w:t xml:space="preserve">et réglé. </w:t>
      </w:r>
    </w:p>
    <w:p w:rsidR="00BF34BB" w:rsidRPr="00731644" w:rsidRDefault="003F6CEA" w:rsidP="00C15A9A">
      <w:pPr>
        <w:pStyle w:val="SingleTxtG"/>
        <w:rPr>
          <w:lang w:val="fr-CH"/>
        </w:rPr>
      </w:pPr>
      <w:r w:rsidRPr="00731644">
        <w:rPr>
          <w:lang w:val="fr-CH"/>
        </w:rPr>
        <w:t>75.</w:t>
      </w:r>
      <w:r w:rsidRPr="00731644">
        <w:rPr>
          <w:lang w:val="fr-CH"/>
        </w:rPr>
        <w:tab/>
      </w:r>
      <w:r w:rsidR="00624C0D" w:rsidRPr="00731644">
        <w:rPr>
          <w:lang w:val="fr-CH"/>
        </w:rPr>
        <w:t xml:space="preserve">À </w:t>
      </w:r>
      <w:r w:rsidR="001275E8" w:rsidRPr="00731644">
        <w:rPr>
          <w:lang w:val="fr-CH"/>
        </w:rPr>
        <w:t>sa séance du</w:t>
      </w:r>
      <w:r w:rsidR="00624C0D" w:rsidRPr="00731644">
        <w:rPr>
          <w:lang w:val="fr-CH"/>
        </w:rPr>
        <w:t xml:space="preserve"> 27 juillet</w:t>
      </w:r>
      <w:r w:rsidR="007A774E" w:rsidRPr="00731644">
        <w:rPr>
          <w:lang w:val="fr-CH"/>
        </w:rPr>
        <w:t xml:space="preserve"> 2009</w:t>
      </w:r>
      <w:r w:rsidR="00624C0D" w:rsidRPr="00731644">
        <w:rPr>
          <w:lang w:val="fr-CH"/>
        </w:rPr>
        <w:t>, le Parlement a adopté la loi relative à la coopération avec</w:t>
      </w:r>
      <w:r w:rsidR="007A774E" w:rsidRPr="00731644">
        <w:rPr>
          <w:lang w:val="fr-CH"/>
        </w:rPr>
        <w:t xml:space="preserve"> </w:t>
      </w:r>
      <w:r w:rsidR="00624C0D" w:rsidRPr="00731644">
        <w:rPr>
          <w:lang w:val="fr-CH"/>
        </w:rPr>
        <w:t>la Cour pénale internationale, qui jette les bases de la co</w:t>
      </w:r>
      <w:r w:rsidR="009559BF" w:rsidRPr="00731644">
        <w:rPr>
          <w:lang w:val="fr-CH"/>
        </w:rPr>
        <w:t>llabo</w:t>
      </w:r>
      <w:r w:rsidR="00624C0D" w:rsidRPr="00731644">
        <w:rPr>
          <w:lang w:val="fr-CH"/>
        </w:rPr>
        <w:t>ration des pouvoirs publics avec la Cour</w:t>
      </w:r>
      <w:r w:rsidR="00F31DD5" w:rsidRPr="00731644">
        <w:rPr>
          <w:lang w:val="fr-CH"/>
        </w:rPr>
        <w:t xml:space="preserve"> </w:t>
      </w:r>
      <w:r w:rsidR="00624C0D" w:rsidRPr="00731644">
        <w:rPr>
          <w:lang w:val="fr-CH"/>
        </w:rPr>
        <w:t>et de l</w:t>
      </w:r>
      <w:r w:rsidR="00425386" w:rsidRPr="00731644">
        <w:rPr>
          <w:lang w:val="fr-CH"/>
        </w:rPr>
        <w:t>’</w:t>
      </w:r>
      <w:r w:rsidR="00624C0D" w:rsidRPr="00731644">
        <w:rPr>
          <w:lang w:val="fr-CH"/>
        </w:rPr>
        <w:t>exercice d</w:t>
      </w:r>
      <w:r w:rsidR="001275E8" w:rsidRPr="00731644">
        <w:rPr>
          <w:lang w:val="fr-CH"/>
        </w:rPr>
        <w:t xml:space="preserve">es </w:t>
      </w:r>
      <w:r w:rsidR="00624C0D" w:rsidRPr="00731644">
        <w:rPr>
          <w:lang w:val="fr-CH"/>
        </w:rPr>
        <w:t>autres obligations conformément au Statut de Rome, et règle d</w:t>
      </w:r>
      <w:r w:rsidR="00425386" w:rsidRPr="00731644">
        <w:rPr>
          <w:lang w:val="fr-CH"/>
        </w:rPr>
        <w:t>’</w:t>
      </w:r>
      <w:r w:rsidR="00624C0D" w:rsidRPr="00731644">
        <w:rPr>
          <w:lang w:val="fr-CH"/>
        </w:rPr>
        <w:t xml:space="preserve">autres questions relatives aux poursuites </w:t>
      </w:r>
      <w:r w:rsidR="00AC3871" w:rsidRPr="00731644">
        <w:rPr>
          <w:lang w:val="fr-CH"/>
        </w:rPr>
        <w:t xml:space="preserve">contre les auteurs des infractions visées à </w:t>
      </w:r>
      <w:r w:rsidR="00374D76" w:rsidRPr="00731644">
        <w:rPr>
          <w:lang w:val="fr-CH"/>
        </w:rPr>
        <w:t>l</w:t>
      </w:r>
      <w:r w:rsidR="00425386" w:rsidRPr="00731644">
        <w:rPr>
          <w:lang w:val="fr-CH"/>
        </w:rPr>
        <w:t>’</w:t>
      </w:r>
      <w:r w:rsidR="001753EC">
        <w:rPr>
          <w:lang w:val="fr-CH"/>
        </w:rPr>
        <w:t>article </w:t>
      </w:r>
      <w:r w:rsidR="00AC3871" w:rsidRPr="00731644">
        <w:rPr>
          <w:lang w:val="fr-CH"/>
        </w:rPr>
        <w:t>5 du Statut, c</w:t>
      </w:r>
      <w:r w:rsidR="00425386" w:rsidRPr="00731644">
        <w:rPr>
          <w:lang w:val="fr-CH"/>
        </w:rPr>
        <w:t>’</w:t>
      </w:r>
      <w:r w:rsidR="00AC3871" w:rsidRPr="00731644">
        <w:rPr>
          <w:lang w:val="fr-CH"/>
        </w:rPr>
        <w:t>est-à-dire de crimes contre l</w:t>
      </w:r>
      <w:r w:rsidR="00425386" w:rsidRPr="00731644">
        <w:rPr>
          <w:lang w:val="fr-CH"/>
        </w:rPr>
        <w:t>’</w:t>
      </w:r>
      <w:r w:rsidR="00AC3871" w:rsidRPr="00731644">
        <w:rPr>
          <w:lang w:val="fr-CH"/>
        </w:rPr>
        <w:t xml:space="preserve">humanité et </w:t>
      </w:r>
      <w:r w:rsidR="001275E8" w:rsidRPr="00731644">
        <w:rPr>
          <w:lang w:val="fr-CH"/>
        </w:rPr>
        <w:t xml:space="preserve">autres crimes contre </w:t>
      </w:r>
      <w:r w:rsidR="00AC3871" w:rsidRPr="00731644">
        <w:rPr>
          <w:lang w:val="fr-CH"/>
        </w:rPr>
        <w:t>le droit international,</w:t>
      </w:r>
      <w:r w:rsidR="00BF34BB" w:rsidRPr="00731644">
        <w:rPr>
          <w:lang w:val="fr-CH"/>
        </w:rPr>
        <w:t xml:space="preserve"> ou de violations du droit international humanitaire réprimées par le Code pénal du Monténégro.</w:t>
      </w:r>
      <w:r w:rsidR="00F31DD5" w:rsidRPr="00731644">
        <w:rPr>
          <w:lang w:val="fr-CH"/>
        </w:rPr>
        <w:t xml:space="preserve"> </w:t>
      </w:r>
    </w:p>
    <w:p w:rsidR="007A774E" w:rsidRPr="00731644" w:rsidRDefault="003F6CEA" w:rsidP="00C15A9A">
      <w:pPr>
        <w:pStyle w:val="SingleTxtG"/>
        <w:rPr>
          <w:lang w:val="fr-CH"/>
        </w:rPr>
      </w:pPr>
      <w:r w:rsidRPr="00731644">
        <w:rPr>
          <w:lang w:val="fr-CH"/>
        </w:rPr>
        <w:t>76.</w:t>
      </w:r>
      <w:r w:rsidRPr="00731644">
        <w:rPr>
          <w:lang w:val="fr-CH"/>
        </w:rPr>
        <w:tab/>
      </w:r>
      <w:r w:rsidR="00AC3871" w:rsidRPr="00731644">
        <w:rPr>
          <w:lang w:val="fr-CH"/>
        </w:rPr>
        <w:t xml:space="preserve">La </w:t>
      </w:r>
      <w:r w:rsidR="00AC3871" w:rsidRPr="005E7B4F">
        <w:rPr>
          <w:iCs/>
          <w:lang w:val="fr-CH"/>
        </w:rPr>
        <w:t>loi relative à la paix civile et à l</w:t>
      </w:r>
      <w:r w:rsidR="00425386" w:rsidRPr="005E7B4F">
        <w:rPr>
          <w:iCs/>
          <w:lang w:val="fr-CH"/>
        </w:rPr>
        <w:t>’</w:t>
      </w:r>
      <w:r w:rsidR="00AC3871" w:rsidRPr="005E7B4F">
        <w:rPr>
          <w:iCs/>
          <w:lang w:val="fr-CH"/>
        </w:rPr>
        <w:t>ordre</w:t>
      </w:r>
      <w:r w:rsidR="00CC4812" w:rsidRPr="005E7B4F">
        <w:rPr>
          <w:iCs/>
          <w:lang w:val="fr-CH"/>
        </w:rPr>
        <w:t xml:space="preserve"> public </w:t>
      </w:r>
      <w:r w:rsidR="00CC4812" w:rsidRPr="00731644">
        <w:rPr>
          <w:lang w:val="fr-CH"/>
        </w:rPr>
        <w:t>indique (</w:t>
      </w:r>
      <w:r w:rsidR="00F31DD5" w:rsidRPr="00731644">
        <w:rPr>
          <w:lang w:val="fr-CH"/>
        </w:rPr>
        <w:t>art. </w:t>
      </w:r>
      <w:r w:rsidR="007A774E" w:rsidRPr="00731644">
        <w:rPr>
          <w:lang w:val="fr-CH"/>
        </w:rPr>
        <w:t>17</w:t>
      </w:r>
      <w:r w:rsidR="00CC4812" w:rsidRPr="00731644">
        <w:rPr>
          <w:lang w:val="fr-CH"/>
        </w:rPr>
        <w:t>)</w:t>
      </w:r>
      <w:r w:rsidR="007A774E" w:rsidRPr="00731644">
        <w:rPr>
          <w:lang w:val="fr-CH"/>
        </w:rPr>
        <w:t xml:space="preserve"> </w:t>
      </w:r>
      <w:r w:rsidR="00CC4812" w:rsidRPr="00731644">
        <w:rPr>
          <w:lang w:val="fr-CH"/>
        </w:rPr>
        <w:t xml:space="preserve">que quiconque, dans un lieu public, </w:t>
      </w:r>
      <w:r w:rsidR="00BF34BB" w:rsidRPr="00731644">
        <w:rPr>
          <w:lang w:val="fr-CH"/>
        </w:rPr>
        <w:t>offense les</w:t>
      </w:r>
      <w:r w:rsidR="00CC4812" w:rsidRPr="00731644">
        <w:rPr>
          <w:lang w:val="fr-CH"/>
        </w:rPr>
        <w:t xml:space="preserve"> sentiments raciaux, ethniques ou religieux de citoyens ou la moralité publique par des propos, des inscriptions</w:t>
      </w:r>
      <w:r w:rsidR="00BF34BB" w:rsidRPr="00731644">
        <w:rPr>
          <w:lang w:val="fr-CH"/>
        </w:rPr>
        <w:t xml:space="preserve"> ou</w:t>
      </w:r>
      <w:r w:rsidR="00CC4812" w:rsidRPr="00731644">
        <w:rPr>
          <w:lang w:val="fr-CH"/>
        </w:rPr>
        <w:t xml:space="preserve"> des signes</w:t>
      </w:r>
      <w:r w:rsidR="00BF34BB" w:rsidRPr="00731644">
        <w:rPr>
          <w:lang w:val="fr-CH"/>
        </w:rPr>
        <w:t>,</w:t>
      </w:r>
      <w:r w:rsidR="00CC4812" w:rsidRPr="00731644">
        <w:rPr>
          <w:lang w:val="fr-CH"/>
        </w:rPr>
        <w:t xml:space="preserve"> ou de quelque autre manière, est puni d</w:t>
      </w:r>
      <w:r w:rsidR="00425386" w:rsidRPr="00731644">
        <w:rPr>
          <w:lang w:val="fr-CH"/>
        </w:rPr>
        <w:t>’</w:t>
      </w:r>
      <w:r w:rsidR="00CC4812" w:rsidRPr="00731644">
        <w:rPr>
          <w:lang w:val="fr-CH"/>
        </w:rPr>
        <w:t xml:space="preserve">une amende </w:t>
      </w:r>
      <w:r w:rsidR="005B0DD4" w:rsidRPr="00731644">
        <w:rPr>
          <w:lang w:val="fr-CH"/>
        </w:rPr>
        <w:t>d</w:t>
      </w:r>
      <w:r w:rsidR="009559BF" w:rsidRPr="00731644">
        <w:rPr>
          <w:lang w:val="fr-CH"/>
        </w:rPr>
        <w:t>ont le</w:t>
      </w:r>
      <w:r w:rsidR="00CC4812" w:rsidRPr="00731644">
        <w:rPr>
          <w:lang w:val="fr-CH"/>
        </w:rPr>
        <w:t xml:space="preserve"> montant </w:t>
      </w:r>
      <w:r w:rsidR="009559BF" w:rsidRPr="00731644">
        <w:rPr>
          <w:lang w:val="fr-CH"/>
        </w:rPr>
        <w:t xml:space="preserve">est </w:t>
      </w:r>
      <w:r w:rsidR="009745B2" w:rsidRPr="00731644">
        <w:rPr>
          <w:lang w:val="fr-CH"/>
        </w:rPr>
        <w:t>compris entre trois et 20 fois le salaire minimum</w:t>
      </w:r>
      <w:r w:rsidR="00CC4812" w:rsidRPr="00731644">
        <w:rPr>
          <w:lang w:val="fr-CH"/>
        </w:rPr>
        <w:t xml:space="preserve"> </w:t>
      </w:r>
      <w:r w:rsidR="00BF34BB" w:rsidRPr="00731644">
        <w:rPr>
          <w:lang w:val="fr-CH"/>
        </w:rPr>
        <w:t>du Monténégro</w:t>
      </w:r>
      <w:r w:rsidR="009745B2" w:rsidRPr="00731644">
        <w:rPr>
          <w:lang w:val="fr-CH"/>
        </w:rPr>
        <w:t>, ou d</w:t>
      </w:r>
      <w:r w:rsidR="00425386" w:rsidRPr="00731644">
        <w:rPr>
          <w:lang w:val="fr-CH"/>
        </w:rPr>
        <w:t>’</w:t>
      </w:r>
      <w:r w:rsidR="009745B2" w:rsidRPr="00731644">
        <w:rPr>
          <w:lang w:val="fr-CH"/>
        </w:rPr>
        <w:t>un emprisonnement pouvant aller jusqu</w:t>
      </w:r>
      <w:r w:rsidR="00425386" w:rsidRPr="00731644">
        <w:rPr>
          <w:lang w:val="fr-CH"/>
        </w:rPr>
        <w:t>’</w:t>
      </w:r>
      <w:r w:rsidR="009745B2" w:rsidRPr="00731644">
        <w:rPr>
          <w:lang w:val="fr-CH"/>
        </w:rPr>
        <w:t xml:space="preserve">à </w:t>
      </w:r>
      <w:r w:rsidR="007A774E" w:rsidRPr="00731644">
        <w:rPr>
          <w:lang w:val="fr-CH"/>
        </w:rPr>
        <w:t>60</w:t>
      </w:r>
      <w:r w:rsidR="00731644" w:rsidRPr="00731644">
        <w:rPr>
          <w:lang w:val="fr-CH"/>
        </w:rPr>
        <w:t> jours</w:t>
      </w:r>
      <w:r w:rsidR="007A774E" w:rsidRPr="00731644">
        <w:rPr>
          <w:lang w:val="fr-CH"/>
        </w:rPr>
        <w:t xml:space="preserve">. </w:t>
      </w:r>
      <w:r w:rsidR="005B0DD4" w:rsidRPr="00731644">
        <w:rPr>
          <w:lang w:val="fr-CH"/>
        </w:rPr>
        <w:t xml:space="preserve">La personne morale qui produit ou diffuse </w:t>
      </w:r>
      <w:r w:rsidR="00CA5CCF" w:rsidRPr="00731644">
        <w:rPr>
          <w:lang w:val="fr-CH"/>
        </w:rPr>
        <w:t>un</w:t>
      </w:r>
      <w:r w:rsidR="005B0DD4" w:rsidRPr="00731644">
        <w:rPr>
          <w:lang w:val="fr-CH"/>
        </w:rPr>
        <w:t xml:space="preserve"> signe, </w:t>
      </w:r>
      <w:r w:rsidR="00CA5CCF" w:rsidRPr="00731644">
        <w:rPr>
          <w:lang w:val="fr-CH"/>
        </w:rPr>
        <w:t>un</w:t>
      </w:r>
      <w:r w:rsidR="005B0DD4" w:rsidRPr="00731644">
        <w:rPr>
          <w:lang w:val="fr-CH"/>
        </w:rPr>
        <w:t xml:space="preserve"> dessin ou un autre objet </w:t>
      </w:r>
      <w:r w:rsidR="009559BF" w:rsidRPr="00731644">
        <w:rPr>
          <w:lang w:val="fr-CH"/>
        </w:rPr>
        <w:t>qui heurte les</w:t>
      </w:r>
      <w:r w:rsidR="005B0DD4" w:rsidRPr="00731644">
        <w:rPr>
          <w:lang w:val="fr-CH"/>
        </w:rPr>
        <w:t xml:space="preserve"> sentiments d</w:t>
      </w:r>
      <w:r w:rsidR="00425386" w:rsidRPr="00731644">
        <w:rPr>
          <w:lang w:val="fr-CH"/>
        </w:rPr>
        <w:t>’</w:t>
      </w:r>
      <w:r w:rsidR="005B0DD4" w:rsidRPr="00731644">
        <w:rPr>
          <w:lang w:val="fr-CH"/>
        </w:rPr>
        <w:t xml:space="preserve">appartenance raciale, nationale ou religieuse de citoyens ou la moralité publique encourt une amende </w:t>
      </w:r>
      <w:r w:rsidR="008174E1" w:rsidRPr="00731644">
        <w:rPr>
          <w:lang w:val="fr-CH"/>
        </w:rPr>
        <w:t>d</w:t>
      </w:r>
      <w:r w:rsidR="00425386" w:rsidRPr="00731644">
        <w:rPr>
          <w:lang w:val="fr-CH"/>
        </w:rPr>
        <w:t>’</w:t>
      </w:r>
      <w:r w:rsidR="008174E1" w:rsidRPr="00731644">
        <w:rPr>
          <w:lang w:val="fr-CH"/>
        </w:rPr>
        <w:t>un montant compris entre</w:t>
      </w:r>
      <w:r w:rsidR="005B0DD4" w:rsidRPr="00731644">
        <w:rPr>
          <w:lang w:val="fr-CH"/>
        </w:rPr>
        <w:t xml:space="preserve"> 50 </w:t>
      </w:r>
      <w:r w:rsidR="008174E1" w:rsidRPr="00731644">
        <w:rPr>
          <w:lang w:val="fr-CH"/>
        </w:rPr>
        <w:t>et</w:t>
      </w:r>
      <w:r w:rsidR="005B0DD4" w:rsidRPr="00731644">
        <w:rPr>
          <w:lang w:val="fr-CH"/>
        </w:rPr>
        <w:t xml:space="preserve"> 300 fois</w:t>
      </w:r>
      <w:r w:rsidR="009559BF" w:rsidRPr="00731644">
        <w:rPr>
          <w:lang w:val="fr-CH"/>
        </w:rPr>
        <w:t xml:space="preserve"> </w:t>
      </w:r>
      <w:r w:rsidR="008174E1" w:rsidRPr="00731644">
        <w:rPr>
          <w:lang w:val="fr-CH"/>
        </w:rPr>
        <w:t>celui</w:t>
      </w:r>
      <w:r w:rsidR="009559BF" w:rsidRPr="00731644">
        <w:rPr>
          <w:lang w:val="fr-CH"/>
        </w:rPr>
        <w:t xml:space="preserve"> du salaire minimum</w:t>
      </w:r>
      <w:r w:rsidR="005B0DD4" w:rsidRPr="00731644">
        <w:rPr>
          <w:lang w:val="fr-CH"/>
        </w:rPr>
        <w:t xml:space="preserve">, et la personne physique </w:t>
      </w:r>
      <w:r w:rsidR="003B2D38" w:rsidRPr="00731644">
        <w:rPr>
          <w:lang w:val="fr-CH"/>
        </w:rPr>
        <w:t>faisant partie</w:t>
      </w:r>
      <w:r w:rsidR="005B0DD4" w:rsidRPr="00731644">
        <w:rPr>
          <w:lang w:val="fr-CH"/>
        </w:rPr>
        <w:t xml:space="preserve"> cette personne morale qui est responsable</w:t>
      </w:r>
      <w:r w:rsidR="00CA5CCF" w:rsidRPr="00731644">
        <w:rPr>
          <w:lang w:val="fr-CH"/>
        </w:rPr>
        <w:t xml:space="preserve"> de l</w:t>
      </w:r>
      <w:r w:rsidR="00425386" w:rsidRPr="00731644">
        <w:rPr>
          <w:lang w:val="fr-CH"/>
        </w:rPr>
        <w:t>’</w:t>
      </w:r>
      <w:r w:rsidR="00CA5CCF" w:rsidRPr="00731644">
        <w:rPr>
          <w:lang w:val="fr-CH"/>
        </w:rPr>
        <w:t>infraction</w:t>
      </w:r>
      <w:r w:rsidR="005B0DD4" w:rsidRPr="00731644">
        <w:rPr>
          <w:lang w:val="fr-CH"/>
        </w:rPr>
        <w:t xml:space="preserve">, une amende </w:t>
      </w:r>
      <w:r w:rsidR="008174E1" w:rsidRPr="00731644">
        <w:rPr>
          <w:lang w:val="fr-CH"/>
        </w:rPr>
        <w:t>allant de</w:t>
      </w:r>
      <w:r w:rsidR="005B0DD4" w:rsidRPr="00731644">
        <w:rPr>
          <w:lang w:val="fr-CH"/>
        </w:rPr>
        <w:t xml:space="preserve"> trois </w:t>
      </w:r>
      <w:r w:rsidR="008174E1" w:rsidRPr="00731644">
        <w:rPr>
          <w:lang w:val="fr-CH"/>
        </w:rPr>
        <w:t>à</w:t>
      </w:r>
      <w:r w:rsidR="005B0DD4" w:rsidRPr="00731644">
        <w:rPr>
          <w:lang w:val="fr-CH"/>
        </w:rPr>
        <w:t xml:space="preserve"> 20 fois</w:t>
      </w:r>
      <w:r w:rsidR="00F31DD5" w:rsidRPr="00731644">
        <w:rPr>
          <w:lang w:val="fr-CH"/>
        </w:rPr>
        <w:t xml:space="preserve"> </w:t>
      </w:r>
      <w:r w:rsidR="005B0DD4" w:rsidRPr="00731644">
        <w:rPr>
          <w:lang w:val="fr-CH"/>
        </w:rPr>
        <w:t>le salaire minimum</w:t>
      </w:r>
      <w:r w:rsidR="007A774E" w:rsidRPr="00731644">
        <w:rPr>
          <w:lang w:val="fr-CH"/>
        </w:rPr>
        <w:t>.</w:t>
      </w:r>
    </w:p>
    <w:p w:rsidR="007A774E" w:rsidRPr="00731644" w:rsidRDefault="003F6CEA" w:rsidP="007A774E">
      <w:pPr>
        <w:pStyle w:val="SingleTxtG"/>
        <w:rPr>
          <w:lang w:val="fr-CH"/>
        </w:rPr>
      </w:pPr>
      <w:r w:rsidRPr="00731644">
        <w:rPr>
          <w:lang w:val="fr-CH"/>
        </w:rPr>
        <w:t>77.</w:t>
      </w:r>
      <w:r w:rsidRPr="00731644">
        <w:rPr>
          <w:lang w:val="fr-CH"/>
        </w:rPr>
        <w:tab/>
      </w:r>
      <w:r w:rsidR="005B0DD4" w:rsidRPr="00731644">
        <w:rPr>
          <w:lang w:val="fr-CH"/>
        </w:rPr>
        <w:t>D</w:t>
      </w:r>
      <w:r w:rsidR="00425386" w:rsidRPr="00731644">
        <w:rPr>
          <w:lang w:val="fr-CH"/>
        </w:rPr>
        <w:t>’</w:t>
      </w:r>
      <w:r w:rsidR="005B0DD4" w:rsidRPr="00731644">
        <w:rPr>
          <w:lang w:val="fr-CH"/>
        </w:rPr>
        <w:t xml:space="preserve">après les données de la police, 21 infractions de gravité moyenne liées </w:t>
      </w:r>
      <w:r w:rsidR="003B2D38" w:rsidRPr="00731644">
        <w:rPr>
          <w:lang w:val="fr-CH"/>
        </w:rPr>
        <w:t>au non-respect des</w:t>
      </w:r>
      <w:r w:rsidR="005B0DD4" w:rsidRPr="00731644">
        <w:rPr>
          <w:lang w:val="fr-CH"/>
        </w:rPr>
        <w:t xml:space="preserve"> senti</w:t>
      </w:r>
      <w:r w:rsidR="003B2D38" w:rsidRPr="00731644">
        <w:rPr>
          <w:lang w:val="fr-CH"/>
        </w:rPr>
        <w:t>m</w:t>
      </w:r>
      <w:r w:rsidR="005B0DD4" w:rsidRPr="00731644">
        <w:rPr>
          <w:lang w:val="fr-CH"/>
        </w:rPr>
        <w:t>ents nationaux ont été enregistrées au cours de la période 2008-2010</w:t>
      </w:r>
      <w:r w:rsidR="00F31DD5" w:rsidRPr="00731644">
        <w:rPr>
          <w:lang w:val="fr-CH"/>
        </w:rPr>
        <w:t>;</w:t>
      </w:r>
      <w:r w:rsidR="003B2D38" w:rsidRPr="00731644">
        <w:rPr>
          <w:lang w:val="fr-CH"/>
        </w:rPr>
        <w:t xml:space="preserve"> elles </w:t>
      </w:r>
      <w:r w:rsidR="00A66512" w:rsidRPr="00731644">
        <w:rPr>
          <w:lang w:val="fr-CH"/>
        </w:rPr>
        <w:t>constituent</w:t>
      </w:r>
      <w:r w:rsidR="003B2D38" w:rsidRPr="00731644">
        <w:rPr>
          <w:lang w:val="fr-CH"/>
        </w:rPr>
        <w:t xml:space="preserve"> </w:t>
      </w:r>
      <w:r w:rsidR="005B0DD4" w:rsidRPr="00731644">
        <w:rPr>
          <w:lang w:val="fr-CH"/>
        </w:rPr>
        <w:t>seulement 0,32</w:t>
      </w:r>
      <w:r w:rsidR="006443F6" w:rsidRPr="00731644">
        <w:rPr>
          <w:lang w:val="fr-CH"/>
        </w:rPr>
        <w:t>%</w:t>
      </w:r>
      <w:r w:rsidR="005B0DD4" w:rsidRPr="00731644">
        <w:rPr>
          <w:lang w:val="fr-CH"/>
        </w:rPr>
        <w:t xml:space="preserve"> de cette catégorie d</w:t>
      </w:r>
      <w:r w:rsidR="00425386" w:rsidRPr="00731644">
        <w:rPr>
          <w:lang w:val="fr-CH"/>
        </w:rPr>
        <w:t>’</w:t>
      </w:r>
      <w:r w:rsidR="005B0DD4" w:rsidRPr="00731644">
        <w:rPr>
          <w:lang w:val="fr-CH"/>
        </w:rPr>
        <w:t>infractions. Toujours d</w:t>
      </w:r>
      <w:r w:rsidR="00425386" w:rsidRPr="00731644">
        <w:rPr>
          <w:lang w:val="fr-CH"/>
        </w:rPr>
        <w:t>’</w:t>
      </w:r>
      <w:r w:rsidR="005B0DD4" w:rsidRPr="00731644">
        <w:rPr>
          <w:lang w:val="fr-CH"/>
        </w:rPr>
        <w:t>après les estimations de la Direction de la police relatives aux réunions publiques, il n</w:t>
      </w:r>
      <w:r w:rsidR="00425386" w:rsidRPr="00731644">
        <w:rPr>
          <w:lang w:val="fr-CH"/>
        </w:rPr>
        <w:t>’</w:t>
      </w:r>
      <w:r w:rsidR="005B0DD4" w:rsidRPr="00731644">
        <w:rPr>
          <w:lang w:val="fr-CH"/>
        </w:rPr>
        <w:t>y a pas eu pendant la même période de violations graves de la paix civile et de l</w:t>
      </w:r>
      <w:r w:rsidR="00425386" w:rsidRPr="00731644">
        <w:rPr>
          <w:lang w:val="fr-CH"/>
        </w:rPr>
        <w:t>’</w:t>
      </w:r>
      <w:r w:rsidR="005B0DD4" w:rsidRPr="00731644">
        <w:rPr>
          <w:lang w:val="fr-CH"/>
        </w:rPr>
        <w:t>ordre public</w:t>
      </w:r>
      <w:r w:rsidRPr="00731644">
        <w:rPr>
          <w:rStyle w:val="FootnoteReference"/>
          <w:lang w:val="fr-CH"/>
        </w:rPr>
        <w:footnoteReference w:id="15"/>
      </w:r>
      <w:r w:rsidR="005B0DD4" w:rsidRPr="00731644">
        <w:rPr>
          <w:lang w:val="fr-CH"/>
        </w:rPr>
        <w:t>.</w:t>
      </w:r>
    </w:p>
    <w:p w:rsidR="00831B62" w:rsidRPr="00731644" w:rsidRDefault="003F6CEA" w:rsidP="007A774E">
      <w:pPr>
        <w:pStyle w:val="SingleTxtG"/>
        <w:rPr>
          <w:lang w:val="fr-CH"/>
        </w:rPr>
      </w:pPr>
      <w:r w:rsidRPr="00731644">
        <w:rPr>
          <w:lang w:val="fr-CH"/>
        </w:rPr>
        <w:t>78.</w:t>
      </w:r>
      <w:r w:rsidRPr="00731644">
        <w:rPr>
          <w:lang w:val="fr-CH"/>
        </w:rPr>
        <w:tab/>
      </w:r>
      <w:r w:rsidR="003B2D38" w:rsidRPr="00731644">
        <w:rPr>
          <w:lang w:val="fr-CH"/>
        </w:rPr>
        <w:t>En vertu</w:t>
      </w:r>
      <w:r w:rsidR="00963ED4" w:rsidRPr="00731644">
        <w:rPr>
          <w:lang w:val="fr-CH"/>
        </w:rPr>
        <w:t xml:space="preserve"> du </w:t>
      </w:r>
      <w:r w:rsidR="00CB7658" w:rsidRPr="00731644">
        <w:rPr>
          <w:lang w:val="fr-CH"/>
        </w:rPr>
        <w:t>paragraphe </w:t>
      </w:r>
      <w:r w:rsidR="00963ED4" w:rsidRPr="00731644">
        <w:rPr>
          <w:lang w:val="fr-CH"/>
        </w:rPr>
        <w:t xml:space="preserve">1, alinéa 5, de </w:t>
      </w:r>
      <w:r w:rsidR="00374D76" w:rsidRPr="00731644">
        <w:rPr>
          <w:lang w:val="fr-CH"/>
        </w:rPr>
        <w:t>l</w:t>
      </w:r>
      <w:r w:rsidR="00425386" w:rsidRPr="00731644">
        <w:rPr>
          <w:lang w:val="fr-CH"/>
        </w:rPr>
        <w:t>’</w:t>
      </w:r>
      <w:r w:rsidR="001753EC">
        <w:rPr>
          <w:lang w:val="fr-CH"/>
        </w:rPr>
        <w:t>article </w:t>
      </w:r>
      <w:r w:rsidR="00963ED4" w:rsidRPr="00731644">
        <w:rPr>
          <w:lang w:val="fr-CH"/>
        </w:rPr>
        <w:t>4 de la</w:t>
      </w:r>
      <w:r w:rsidR="003B2D38" w:rsidRPr="00731644">
        <w:rPr>
          <w:lang w:val="fr-CH"/>
        </w:rPr>
        <w:t xml:space="preserve"> </w:t>
      </w:r>
      <w:r w:rsidR="00963ED4" w:rsidRPr="005E7B4F">
        <w:rPr>
          <w:iCs/>
          <w:lang w:val="fr-CH"/>
        </w:rPr>
        <w:t>loi relative à la prévention de</w:t>
      </w:r>
      <w:r w:rsidR="00A420AC" w:rsidRPr="005E7B4F">
        <w:rPr>
          <w:iCs/>
          <w:lang w:val="fr-CH"/>
        </w:rPr>
        <w:t xml:space="preserve"> la</w:t>
      </w:r>
      <w:r w:rsidR="003D1B49" w:rsidRPr="005E7B4F">
        <w:rPr>
          <w:iCs/>
          <w:lang w:val="fr-CH"/>
        </w:rPr>
        <w:t xml:space="preserve"> </w:t>
      </w:r>
      <w:r w:rsidR="00963ED4" w:rsidRPr="005E7B4F">
        <w:rPr>
          <w:iCs/>
          <w:lang w:val="fr-CH"/>
        </w:rPr>
        <w:t>violence et des débordements lors des manifestations sportives,</w:t>
      </w:r>
      <w:r w:rsidR="00963ED4" w:rsidRPr="00731644">
        <w:rPr>
          <w:lang w:val="fr-CH"/>
        </w:rPr>
        <w:t xml:space="preserve"> les débordements comprennent notamment la scansion de slogans et les chants dont le contenu est insultant et appelle ou incite au conflit physique</w:t>
      </w:r>
      <w:r w:rsidR="008174E1" w:rsidRPr="00731644">
        <w:rPr>
          <w:lang w:val="fr-CH"/>
        </w:rPr>
        <w:t>,</w:t>
      </w:r>
      <w:r w:rsidR="00963ED4" w:rsidRPr="00731644">
        <w:rPr>
          <w:lang w:val="fr-CH"/>
        </w:rPr>
        <w:t xml:space="preserve"> ou à la haine</w:t>
      </w:r>
      <w:r w:rsidR="007A774E" w:rsidRPr="00731644">
        <w:rPr>
          <w:lang w:val="fr-CH"/>
        </w:rPr>
        <w:t xml:space="preserve"> </w:t>
      </w:r>
      <w:r w:rsidR="00963ED4" w:rsidRPr="00731644">
        <w:rPr>
          <w:lang w:val="fr-CH"/>
        </w:rPr>
        <w:t>ou à l</w:t>
      </w:r>
      <w:r w:rsidR="00425386" w:rsidRPr="00731644">
        <w:rPr>
          <w:lang w:val="fr-CH"/>
        </w:rPr>
        <w:t>’</w:t>
      </w:r>
      <w:r w:rsidR="00963ED4" w:rsidRPr="00731644">
        <w:rPr>
          <w:lang w:val="fr-CH"/>
        </w:rPr>
        <w:t>intolérance ethniques, raciales, religieuses ou autres</w:t>
      </w:r>
      <w:r w:rsidR="007A774E" w:rsidRPr="00731644">
        <w:rPr>
          <w:lang w:val="fr-CH"/>
        </w:rPr>
        <w:t xml:space="preserve">. </w:t>
      </w:r>
      <w:r w:rsidR="00963ED4" w:rsidRPr="00731644">
        <w:rPr>
          <w:lang w:val="fr-CH"/>
        </w:rPr>
        <w:t xml:space="preserve">Ce comportement autorise les pouvoirs publics à prendre des mesures </w:t>
      </w:r>
      <w:r w:rsidR="00831B62" w:rsidRPr="00731644">
        <w:rPr>
          <w:lang w:val="fr-CH"/>
        </w:rPr>
        <w:t xml:space="preserve">de </w:t>
      </w:r>
      <w:r w:rsidR="00963ED4" w:rsidRPr="00731644">
        <w:rPr>
          <w:lang w:val="fr-CH"/>
        </w:rPr>
        <w:t>préventi</w:t>
      </w:r>
      <w:r w:rsidR="00831B62" w:rsidRPr="00731644">
        <w:rPr>
          <w:lang w:val="fr-CH"/>
        </w:rPr>
        <w:t xml:space="preserve">on </w:t>
      </w:r>
      <w:r w:rsidR="007A774E" w:rsidRPr="00731644">
        <w:rPr>
          <w:lang w:val="fr-CH"/>
        </w:rPr>
        <w:t>(</w:t>
      </w:r>
      <w:r w:rsidR="008174E1" w:rsidRPr="00731644">
        <w:rPr>
          <w:lang w:val="fr-CH"/>
        </w:rPr>
        <w:t xml:space="preserve">consistant à </w:t>
      </w:r>
      <w:r w:rsidR="00831B62" w:rsidRPr="00731644">
        <w:rPr>
          <w:lang w:val="fr-CH"/>
        </w:rPr>
        <w:t>interdire l</w:t>
      </w:r>
      <w:r w:rsidR="00425386" w:rsidRPr="00731644">
        <w:rPr>
          <w:lang w:val="fr-CH"/>
        </w:rPr>
        <w:t>’</w:t>
      </w:r>
      <w:r w:rsidR="00831B62" w:rsidRPr="00731644">
        <w:rPr>
          <w:lang w:val="fr-CH"/>
        </w:rPr>
        <w:t>accès aux manifestations sportives, par exemple)</w:t>
      </w:r>
      <w:r w:rsidR="003D1B49" w:rsidRPr="00731644">
        <w:rPr>
          <w:lang w:val="fr-CH"/>
        </w:rPr>
        <w:t>,</w:t>
      </w:r>
      <w:r w:rsidR="00831B62" w:rsidRPr="00731644">
        <w:rPr>
          <w:lang w:val="fr-CH"/>
        </w:rPr>
        <w:t xml:space="preserve"> et de répression à l</w:t>
      </w:r>
      <w:r w:rsidR="00425386" w:rsidRPr="00731644">
        <w:rPr>
          <w:lang w:val="fr-CH"/>
        </w:rPr>
        <w:t>’</w:t>
      </w:r>
      <w:r w:rsidR="00831B62" w:rsidRPr="00731644">
        <w:rPr>
          <w:lang w:val="fr-CH"/>
        </w:rPr>
        <w:t>égard des contrevenants.</w:t>
      </w:r>
      <w:r w:rsidR="00F31DD5" w:rsidRPr="00731644">
        <w:rPr>
          <w:lang w:val="fr-CH"/>
        </w:rPr>
        <w:t xml:space="preserve"> </w:t>
      </w:r>
    </w:p>
    <w:p w:rsidR="007A774E" w:rsidRPr="00731644" w:rsidRDefault="003F6CEA" w:rsidP="007A774E">
      <w:pPr>
        <w:pStyle w:val="SingleTxtG"/>
        <w:rPr>
          <w:lang w:val="fr-CH"/>
        </w:rPr>
      </w:pPr>
      <w:r w:rsidRPr="00731644">
        <w:rPr>
          <w:lang w:val="fr-CH"/>
        </w:rPr>
        <w:t>79.</w:t>
      </w:r>
      <w:r w:rsidRPr="00731644">
        <w:rPr>
          <w:lang w:val="fr-CH"/>
        </w:rPr>
        <w:tab/>
      </w:r>
      <w:r w:rsidR="008174E1" w:rsidRPr="00731644">
        <w:rPr>
          <w:lang w:val="fr-CH"/>
        </w:rPr>
        <w:t>E</w:t>
      </w:r>
      <w:r w:rsidR="003D1B49" w:rsidRPr="00731644">
        <w:rPr>
          <w:lang w:val="fr-CH"/>
        </w:rPr>
        <w:t>ntre le 1</w:t>
      </w:r>
      <w:r w:rsidR="003D1B49" w:rsidRPr="00731644">
        <w:rPr>
          <w:vertAlign w:val="superscript"/>
          <w:lang w:val="fr-CH"/>
        </w:rPr>
        <w:t>er</w:t>
      </w:r>
      <w:r w:rsidR="003D1B49" w:rsidRPr="00731644">
        <w:rPr>
          <w:lang w:val="fr-CH"/>
        </w:rPr>
        <w:t xml:space="preserve"> janvier 2009 et le 5 mai 2011</w:t>
      </w:r>
      <w:r w:rsidR="008174E1" w:rsidRPr="00731644">
        <w:rPr>
          <w:lang w:val="fr-CH"/>
        </w:rPr>
        <w:t xml:space="preserve"> se sont déroulées les procédures suivantes</w:t>
      </w:r>
      <w:r w:rsidR="00F31DD5" w:rsidRPr="00731644">
        <w:rPr>
          <w:lang w:val="fr-CH"/>
        </w:rPr>
        <w:t>:</w:t>
      </w:r>
      <w:r w:rsidR="008174E1" w:rsidRPr="00731644">
        <w:rPr>
          <w:lang w:val="fr-CH"/>
        </w:rPr>
        <w:t xml:space="preserve"> </w:t>
      </w:r>
    </w:p>
    <w:p w:rsidR="007A774E" w:rsidRPr="00731644" w:rsidRDefault="008174E1" w:rsidP="00665D76">
      <w:pPr>
        <w:pStyle w:val="Bullet1G"/>
        <w:rPr>
          <w:lang w:val="fr-CH"/>
        </w:rPr>
      </w:pPr>
      <w:r w:rsidRPr="00731644">
        <w:rPr>
          <w:lang w:val="fr-CH"/>
        </w:rPr>
        <w:t>Le tribunal du premier degré de Pljevlja</w:t>
      </w:r>
      <w:r w:rsidR="00F31DD5" w:rsidRPr="00731644">
        <w:rPr>
          <w:lang w:val="fr-CH"/>
        </w:rPr>
        <w:t xml:space="preserve"> </w:t>
      </w:r>
      <w:r w:rsidRPr="00731644">
        <w:rPr>
          <w:lang w:val="fr-CH"/>
        </w:rPr>
        <w:t>a eu à connaître d</w:t>
      </w:r>
      <w:r w:rsidR="00425386" w:rsidRPr="00731644">
        <w:rPr>
          <w:lang w:val="fr-CH"/>
        </w:rPr>
        <w:t>’</w:t>
      </w:r>
      <w:r w:rsidRPr="00731644">
        <w:rPr>
          <w:lang w:val="fr-CH"/>
        </w:rPr>
        <w:t>une affaire</w:t>
      </w:r>
      <w:r w:rsidR="00290D36" w:rsidRPr="00731644">
        <w:rPr>
          <w:lang w:val="fr-CH"/>
        </w:rPr>
        <w:t xml:space="preserve"> d</w:t>
      </w:r>
      <w:r w:rsidR="00425386" w:rsidRPr="00731644">
        <w:rPr>
          <w:lang w:val="fr-CH"/>
        </w:rPr>
        <w:t>’</w:t>
      </w:r>
      <w:r w:rsidR="004E31F6" w:rsidRPr="00731644">
        <w:rPr>
          <w:lang w:val="fr-CH"/>
        </w:rPr>
        <w:t>atteinte à l</w:t>
      </w:r>
      <w:r w:rsidR="00425386" w:rsidRPr="00731644">
        <w:rPr>
          <w:lang w:val="fr-CH"/>
        </w:rPr>
        <w:t>’</w:t>
      </w:r>
      <w:r w:rsidR="004E31F6" w:rsidRPr="00731644">
        <w:rPr>
          <w:lang w:val="fr-CH"/>
        </w:rPr>
        <w:t xml:space="preserve">égalité </w:t>
      </w:r>
      <w:r w:rsidR="003D1B49" w:rsidRPr="00731644">
        <w:rPr>
          <w:lang w:val="fr-CH"/>
        </w:rPr>
        <w:t>au sens</w:t>
      </w:r>
      <w:r w:rsidR="004E31F6" w:rsidRPr="00731644">
        <w:rPr>
          <w:lang w:val="fr-CH"/>
        </w:rPr>
        <w:t xml:space="preserve"> de </w:t>
      </w:r>
      <w:r w:rsidR="00374D76" w:rsidRPr="00731644">
        <w:rPr>
          <w:lang w:val="fr-CH"/>
        </w:rPr>
        <w:t>l</w:t>
      </w:r>
      <w:r w:rsidR="00425386" w:rsidRPr="00731644">
        <w:rPr>
          <w:lang w:val="fr-CH"/>
        </w:rPr>
        <w:t>’</w:t>
      </w:r>
      <w:r w:rsidR="001753EC">
        <w:rPr>
          <w:lang w:val="fr-CH"/>
        </w:rPr>
        <w:t>article </w:t>
      </w:r>
      <w:r w:rsidR="004E31F6" w:rsidRPr="00731644">
        <w:rPr>
          <w:lang w:val="fr-CH"/>
        </w:rPr>
        <w:t xml:space="preserve">159 du </w:t>
      </w:r>
      <w:r w:rsidR="00825FD7" w:rsidRPr="00731644">
        <w:rPr>
          <w:lang w:val="fr-CH"/>
        </w:rPr>
        <w:t>C</w:t>
      </w:r>
      <w:r w:rsidR="004E31F6" w:rsidRPr="00731644">
        <w:rPr>
          <w:lang w:val="fr-CH"/>
        </w:rPr>
        <w:t>ode pénal</w:t>
      </w:r>
      <w:r w:rsidR="00F31DD5" w:rsidRPr="00731644">
        <w:rPr>
          <w:lang w:val="fr-CH"/>
        </w:rPr>
        <w:t>;</w:t>
      </w:r>
      <w:r w:rsidR="00825FD7" w:rsidRPr="00731644">
        <w:rPr>
          <w:lang w:val="fr-CH"/>
        </w:rPr>
        <w:t xml:space="preserve"> l</w:t>
      </w:r>
      <w:r w:rsidR="00425386" w:rsidRPr="00731644">
        <w:rPr>
          <w:lang w:val="fr-CH"/>
        </w:rPr>
        <w:t>’</w:t>
      </w:r>
      <w:r w:rsidR="00825FD7" w:rsidRPr="00731644">
        <w:rPr>
          <w:lang w:val="fr-CH"/>
        </w:rPr>
        <w:t>acquittement prononcé le</w:t>
      </w:r>
      <w:r w:rsidR="00F31DD5" w:rsidRPr="00731644">
        <w:rPr>
          <w:lang w:val="fr-CH"/>
        </w:rPr>
        <w:t xml:space="preserve"> </w:t>
      </w:r>
      <w:r w:rsidR="00731644" w:rsidRPr="00731644">
        <w:rPr>
          <w:lang w:val="fr-CH"/>
        </w:rPr>
        <w:t>13 </w:t>
      </w:r>
      <w:r w:rsidR="00825FD7" w:rsidRPr="00731644">
        <w:rPr>
          <w:lang w:val="fr-CH"/>
        </w:rPr>
        <w:t>octobre</w:t>
      </w:r>
      <w:r w:rsidR="007A774E" w:rsidRPr="00731644">
        <w:rPr>
          <w:lang w:val="fr-CH"/>
        </w:rPr>
        <w:t xml:space="preserve"> 2010</w:t>
      </w:r>
      <w:r w:rsidR="00825FD7" w:rsidRPr="00731644">
        <w:rPr>
          <w:lang w:val="fr-CH"/>
        </w:rPr>
        <w:t xml:space="preserve"> n</w:t>
      </w:r>
      <w:r w:rsidR="00425386" w:rsidRPr="00731644">
        <w:rPr>
          <w:lang w:val="fr-CH"/>
        </w:rPr>
        <w:t>’</w:t>
      </w:r>
      <w:r w:rsidR="00825FD7" w:rsidRPr="00731644">
        <w:rPr>
          <w:lang w:val="fr-CH"/>
        </w:rPr>
        <w:t>est pas définitif</w:t>
      </w:r>
      <w:r w:rsidR="00731644" w:rsidRPr="00731644">
        <w:rPr>
          <w:lang w:val="fr-CH"/>
        </w:rPr>
        <w:t>;</w:t>
      </w:r>
    </w:p>
    <w:p w:rsidR="007A774E" w:rsidRPr="00731644" w:rsidRDefault="007D60F6" w:rsidP="00665D76">
      <w:pPr>
        <w:pStyle w:val="Bullet1G"/>
        <w:rPr>
          <w:lang w:val="fr-CH"/>
        </w:rPr>
      </w:pPr>
      <w:r w:rsidRPr="00731644">
        <w:rPr>
          <w:lang w:val="fr-CH"/>
        </w:rPr>
        <w:t xml:space="preserve">Le tribunal du deuxième degré de </w:t>
      </w:r>
      <w:r w:rsidR="007A774E" w:rsidRPr="00731644">
        <w:rPr>
          <w:lang w:val="fr-CH"/>
        </w:rPr>
        <w:t>Podgorica</w:t>
      </w:r>
      <w:r w:rsidRPr="00731644">
        <w:rPr>
          <w:lang w:val="fr-CH"/>
        </w:rPr>
        <w:t xml:space="preserve"> a eu à </w:t>
      </w:r>
      <w:r w:rsidR="00290D36" w:rsidRPr="00731644">
        <w:rPr>
          <w:lang w:val="fr-CH"/>
        </w:rPr>
        <w:t>eu à se prononcer sur</w:t>
      </w:r>
      <w:r w:rsidRPr="00731644">
        <w:rPr>
          <w:lang w:val="fr-CH"/>
        </w:rPr>
        <w:t xml:space="preserve"> trois </w:t>
      </w:r>
      <w:r w:rsidR="00A66512" w:rsidRPr="00731644">
        <w:rPr>
          <w:lang w:val="fr-CH"/>
        </w:rPr>
        <w:t>affaires</w:t>
      </w:r>
      <w:r w:rsidRPr="00731644">
        <w:rPr>
          <w:lang w:val="fr-CH"/>
        </w:rPr>
        <w:t xml:space="preserve"> pénales pour </w:t>
      </w:r>
      <w:r w:rsidR="00CE120D" w:rsidRPr="00731644">
        <w:rPr>
          <w:lang w:val="fr-CH"/>
        </w:rPr>
        <w:t>incitation à</w:t>
      </w:r>
      <w:r w:rsidRPr="00731644">
        <w:rPr>
          <w:lang w:val="fr-CH"/>
        </w:rPr>
        <w:t xml:space="preserve"> la haine nationale, raciale </w:t>
      </w:r>
      <w:r w:rsidR="003D1B49" w:rsidRPr="00731644">
        <w:rPr>
          <w:lang w:val="fr-CH"/>
        </w:rPr>
        <w:t>ou</w:t>
      </w:r>
      <w:r w:rsidRPr="00731644">
        <w:rPr>
          <w:lang w:val="fr-CH"/>
        </w:rPr>
        <w:t xml:space="preserve"> religieuse </w:t>
      </w:r>
      <w:r w:rsidR="003D1B49" w:rsidRPr="00731644">
        <w:rPr>
          <w:lang w:val="fr-CH"/>
        </w:rPr>
        <w:t>réprimée par</w:t>
      </w:r>
      <w:r w:rsidRPr="00731644">
        <w:rPr>
          <w:lang w:val="fr-CH"/>
        </w:rPr>
        <w:t xml:space="preserve"> </w:t>
      </w:r>
      <w:r w:rsidR="00374D76" w:rsidRPr="00731644">
        <w:rPr>
          <w:lang w:val="fr-CH"/>
        </w:rPr>
        <w:t>l</w:t>
      </w:r>
      <w:r w:rsidR="00425386" w:rsidRPr="00731644">
        <w:rPr>
          <w:lang w:val="fr-CH"/>
        </w:rPr>
        <w:t>’</w:t>
      </w:r>
      <w:r w:rsidR="001753EC">
        <w:rPr>
          <w:lang w:val="fr-CH"/>
        </w:rPr>
        <w:t>article </w:t>
      </w:r>
      <w:r w:rsidR="007A774E" w:rsidRPr="00731644">
        <w:rPr>
          <w:lang w:val="fr-CH"/>
        </w:rPr>
        <w:t xml:space="preserve">370 </w:t>
      </w:r>
      <w:r w:rsidRPr="00731644">
        <w:rPr>
          <w:lang w:val="fr-CH"/>
        </w:rPr>
        <w:t>du</w:t>
      </w:r>
      <w:r w:rsidR="007A774E" w:rsidRPr="00731644">
        <w:rPr>
          <w:lang w:val="fr-CH"/>
        </w:rPr>
        <w:t xml:space="preserve"> Code</w:t>
      </w:r>
      <w:r w:rsidRPr="00731644">
        <w:rPr>
          <w:lang w:val="fr-CH"/>
        </w:rPr>
        <w:t xml:space="preserve"> pénal</w:t>
      </w:r>
      <w:r w:rsidR="007A774E" w:rsidRPr="00731644">
        <w:rPr>
          <w:lang w:val="fr-CH"/>
        </w:rPr>
        <w:t xml:space="preserve">. </w:t>
      </w:r>
      <w:r w:rsidRPr="00731644">
        <w:rPr>
          <w:lang w:val="fr-CH"/>
        </w:rPr>
        <w:t>Dans la première affaire, l</w:t>
      </w:r>
      <w:r w:rsidR="00425386" w:rsidRPr="00731644">
        <w:rPr>
          <w:lang w:val="fr-CH"/>
        </w:rPr>
        <w:t>’</w:t>
      </w:r>
      <w:r w:rsidR="00404A42" w:rsidRPr="00731644">
        <w:rPr>
          <w:lang w:val="fr-CH"/>
        </w:rPr>
        <w:t>accusé</w:t>
      </w:r>
      <w:r w:rsidR="00C11F90" w:rsidRPr="00731644">
        <w:rPr>
          <w:lang w:val="fr-CH"/>
        </w:rPr>
        <w:t xml:space="preserve"> a été reconnu coupable et condamné à sept mois de prison</w:t>
      </w:r>
      <w:r w:rsidR="00F31DD5" w:rsidRPr="00731644">
        <w:rPr>
          <w:lang w:val="fr-CH"/>
        </w:rPr>
        <w:t>;</w:t>
      </w:r>
      <w:r w:rsidR="00C11F90" w:rsidRPr="00731644">
        <w:rPr>
          <w:lang w:val="fr-CH"/>
        </w:rPr>
        <w:t xml:space="preserve"> le jugement est définitif.</w:t>
      </w:r>
      <w:r w:rsidR="00F31DD5" w:rsidRPr="00731644">
        <w:rPr>
          <w:lang w:val="fr-CH"/>
        </w:rPr>
        <w:t xml:space="preserve"> </w:t>
      </w:r>
      <w:r w:rsidR="00C11F90" w:rsidRPr="00731644">
        <w:rPr>
          <w:lang w:val="fr-CH"/>
        </w:rPr>
        <w:t>Dans la deuxième, l</w:t>
      </w:r>
      <w:r w:rsidR="00425386" w:rsidRPr="00731644">
        <w:rPr>
          <w:lang w:val="fr-CH"/>
        </w:rPr>
        <w:t>’</w:t>
      </w:r>
      <w:r w:rsidR="00C11F90" w:rsidRPr="00731644">
        <w:rPr>
          <w:lang w:val="fr-CH"/>
        </w:rPr>
        <w:t xml:space="preserve">un des deux co-accusés a été déclaré coupable des faits visés par </w:t>
      </w:r>
      <w:r w:rsidR="00374D76" w:rsidRPr="00731644">
        <w:rPr>
          <w:lang w:val="fr-CH"/>
        </w:rPr>
        <w:t>l</w:t>
      </w:r>
      <w:r w:rsidR="00425386" w:rsidRPr="00731644">
        <w:rPr>
          <w:lang w:val="fr-CH"/>
        </w:rPr>
        <w:t>’</w:t>
      </w:r>
      <w:r w:rsidR="001753EC">
        <w:rPr>
          <w:lang w:val="fr-CH"/>
        </w:rPr>
        <w:t>article </w:t>
      </w:r>
      <w:r w:rsidR="00C11F90" w:rsidRPr="00731644">
        <w:rPr>
          <w:lang w:val="fr-CH"/>
        </w:rPr>
        <w:t>370 du Code pénal et puni de quatre mois de prison, et l</w:t>
      </w:r>
      <w:r w:rsidR="00425386" w:rsidRPr="00731644">
        <w:rPr>
          <w:lang w:val="fr-CH"/>
        </w:rPr>
        <w:t>’</w:t>
      </w:r>
      <w:r w:rsidR="00C11F90" w:rsidRPr="00731644">
        <w:rPr>
          <w:lang w:val="fr-CH"/>
        </w:rPr>
        <w:t>autre a été acquitté</w:t>
      </w:r>
      <w:r w:rsidR="00F31DD5" w:rsidRPr="00731644">
        <w:rPr>
          <w:lang w:val="fr-CH"/>
        </w:rPr>
        <w:t>;</w:t>
      </w:r>
      <w:r w:rsidR="00C11F90" w:rsidRPr="00731644">
        <w:rPr>
          <w:lang w:val="fr-CH"/>
        </w:rPr>
        <w:t xml:space="preserve"> les dossiers </w:t>
      </w:r>
      <w:r w:rsidR="001A329D" w:rsidRPr="00731644">
        <w:rPr>
          <w:lang w:val="fr-CH"/>
        </w:rPr>
        <w:t xml:space="preserve">se trouvent </w:t>
      </w:r>
      <w:r w:rsidR="00C11F90" w:rsidRPr="00731644">
        <w:rPr>
          <w:lang w:val="fr-CH"/>
        </w:rPr>
        <w:t xml:space="preserve">maintenant </w:t>
      </w:r>
      <w:r w:rsidR="001A329D" w:rsidRPr="00731644">
        <w:rPr>
          <w:lang w:val="fr-CH"/>
        </w:rPr>
        <w:t>à</w:t>
      </w:r>
      <w:r w:rsidR="00C11F90" w:rsidRPr="00731644">
        <w:rPr>
          <w:lang w:val="fr-CH"/>
        </w:rPr>
        <w:t xml:space="preserve"> la Cour d</w:t>
      </w:r>
      <w:r w:rsidR="00425386" w:rsidRPr="00731644">
        <w:rPr>
          <w:lang w:val="fr-CH"/>
        </w:rPr>
        <w:t>’</w:t>
      </w:r>
      <w:r w:rsidR="00C11F90" w:rsidRPr="00731644">
        <w:rPr>
          <w:lang w:val="fr-CH"/>
        </w:rPr>
        <w:t xml:space="preserve">appel du Monténégro. La troisième affaire, </w:t>
      </w:r>
      <w:r w:rsidR="001A329D" w:rsidRPr="00731644">
        <w:rPr>
          <w:lang w:val="fr-CH"/>
        </w:rPr>
        <w:t>dans laquelle</w:t>
      </w:r>
      <w:r w:rsidR="00C11F90" w:rsidRPr="00731644">
        <w:rPr>
          <w:lang w:val="fr-CH"/>
        </w:rPr>
        <w:t xml:space="preserve"> une personne est impliquée, est en cours</w:t>
      </w:r>
      <w:r w:rsidR="00731644" w:rsidRPr="00731644">
        <w:rPr>
          <w:lang w:val="fr-CH"/>
        </w:rPr>
        <w:t>;</w:t>
      </w:r>
    </w:p>
    <w:p w:rsidR="007A774E" w:rsidRPr="00731644" w:rsidRDefault="00A83E0B" w:rsidP="00665D76">
      <w:pPr>
        <w:pStyle w:val="Bullet1G"/>
        <w:rPr>
          <w:lang w:val="fr-CH"/>
        </w:rPr>
      </w:pPr>
      <w:r w:rsidRPr="00731644">
        <w:rPr>
          <w:lang w:val="fr-CH"/>
        </w:rPr>
        <w:t>En juin 2011, le tribunal du deuxième degré de</w:t>
      </w:r>
      <w:r w:rsidR="007A774E" w:rsidRPr="00731644">
        <w:rPr>
          <w:lang w:val="fr-CH"/>
        </w:rPr>
        <w:t xml:space="preserve"> Podgorica </w:t>
      </w:r>
      <w:r w:rsidRPr="00731644">
        <w:rPr>
          <w:lang w:val="fr-CH"/>
        </w:rPr>
        <w:t xml:space="preserve">a confirmé en seconde instance </w:t>
      </w:r>
      <w:r w:rsidR="001A329D" w:rsidRPr="00731644">
        <w:rPr>
          <w:lang w:val="fr-CH"/>
        </w:rPr>
        <w:t>l</w:t>
      </w:r>
      <w:r w:rsidR="00425386" w:rsidRPr="00731644">
        <w:rPr>
          <w:lang w:val="fr-CH"/>
        </w:rPr>
        <w:t>’</w:t>
      </w:r>
      <w:r w:rsidRPr="00731644">
        <w:rPr>
          <w:lang w:val="fr-CH"/>
        </w:rPr>
        <w:t>acquittement des membres de l</w:t>
      </w:r>
      <w:r w:rsidR="00425386" w:rsidRPr="00731644">
        <w:rPr>
          <w:lang w:val="fr-CH"/>
        </w:rPr>
        <w:t>’</w:t>
      </w:r>
      <w:r w:rsidRPr="00731644">
        <w:rPr>
          <w:lang w:val="fr-CH"/>
        </w:rPr>
        <w:t>unité spéciale qui avaient participé à l</w:t>
      </w:r>
      <w:r w:rsidR="00425386" w:rsidRPr="00731644">
        <w:rPr>
          <w:lang w:val="fr-CH"/>
        </w:rPr>
        <w:t>’</w:t>
      </w:r>
      <w:r w:rsidRPr="00731644">
        <w:rPr>
          <w:lang w:val="fr-CH"/>
        </w:rPr>
        <w:t>o</w:t>
      </w:r>
      <w:r w:rsidR="007A774E" w:rsidRPr="00731644">
        <w:rPr>
          <w:lang w:val="fr-CH"/>
        </w:rPr>
        <w:t>p</w:t>
      </w:r>
      <w:r w:rsidRPr="00731644">
        <w:rPr>
          <w:lang w:val="fr-CH"/>
        </w:rPr>
        <w:t>é</w:t>
      </w:r>
      <w:r w:rsidR="007A774E" w:rsidRPr="00731644">
        <w:rPr>
          <w:lang w:val="fr-CH"/>
        </w:rPr>
        <w:t xml:space="preserve">ration </w:t>
      </w:r>
      <w:r w:rsidR="002061AB">
        <w:rPr>
          <w:lang w:val="fr-CH"/>
        </w:rPr>
        <w:t>«</w:t>
      </w:r>
      <w:r w:rsidRPr="00731644">
        <w:rPr>
          <w:lang w:val="fr-CH"/>
        </w:rPr>
        <w:t>Le vol de l</w:t>
      </w:r>
      <w:r w:rsidR="00425386" w:rsidRPr="00731644">
        <w:rPr>
          <w:lang w:val="fr-CH"/>
        </w:rPr>
        <w:t>’</w:t>
      </w:r>
      <w:r w:rsidRPr="00731644">
        <w:rPr>
          <w:lang w:val="fr-CH"/>
        </w:rPr>
        <w:t>aigle</w:t>
      </w:r>
      <w:r w:rsidR="002061AB">
        <w:rPr>
          <w:lang w:val="fr-CH"/>
        </w:rPr>
        <w:t>»</w:t>
      </w:r>
      <w:r w:rsidR="00F31DD5" w:rsidRPr="00731644">
        <w:rPr>
          <w:lang w:val="fr-CH"/>
        </w:rPr>
        <w:t>;</w:t>
      </w:r>
      <w:r w:rsidRPr="00731644">
        <w:rPr>
          <w:lang w:val="fr-CH"/>
        </w:rPr>
        <w:t xml:space="preserve"> il leur était reproché d</w:t>
      </w:r>
      <w:r w:rsidR="00425386" w:rsidRPr="00731644">
        <w:rPr>
          <w:lang w:val="fr-CH"/>
        </w:rPr>
        <w:t>’</w:t>
      </w:r>
      <w:r w:rsidRPr="00731644">
        <w:rPr>
          <w:lang w:val="fr-CH"/>
        </w:rPr>
        <w:t>avoir outrepassé leurs pouvoirs officiels lors de la perquisition de</w:t>
      </w:r>
      <w:r w:rsidR="003A34A8" w:rsidRPr="00731644">
        <w:rPr>
          <w:lang w:val="fr-CH"/>
        </w:rPr>
        <w:t>s</w:t>
      </w:r>
      <w:r w:rsidRPr="00731644">
        <w:rPr>
          <w:lang w:val="fr-CH"/>
        </w:rPr>
        <w:t xml:space="preserve"> locaux appartenant aux </w:t>
      </w:r>
      <w:r w:rsidR="003A34A8" w:rsidRPr="00731644">
        <w:rPr>
          <w:lang w:val="fr-CH"/>
        </w:rPr>
        <w:t>suspect</w:t>
      </w:r>
      <w:r w:rsidRPr="00731644">
        <w:rPr>
          <w:lang w:val="fr-CH"/>
        </w:rPr>
        <w:t>s</w:t>
      </w:r>
      <w:r w:rsidR="00F31DD5" w:rsidRPr="00731644">
        <w:rPr>
          <w:lang w:val="fr-CH"/>
        </w:rPr>
        <w:t xml:space="preserve"> </w:t>
      </w:r>
      <w:r w:rsidRPr="00731644">
        <w:rPr>
          <w:lang w:val="fr-CH"/>
        </w:rPr>
        <w:t>et aux membres de leur famil</w:t>
      </w:r>
      <w:r w:rsidR="001A329D" w:rsidRPr="00731644">
        <w:rPr>
          <w:lang w:val="fr-CH"/>
        </w:rPr>
        <w:t>l</w:t>
      </w:r>
      <w:r w:rsidRPr="00731644">
        <w:rPr>
          <w:lang w:val="fr-CH"/>
        </w:rPr>
        <w:t>e et d</w:t>
      </w:r>
      <w:r w:rsidR="00425386" w:rsidRPr="00731644">
        <w:rPr>
          <w:lang w:val="fr-CH"/>
        </w:rPr>
        <w:t>’</w:t>
      </w:r>
      <w:r w:rsidRPr="00731644">
        <w:rPr>
          <w:lang w:val="fr-CH"/>
        </w:rPr>
        <w:t xml:space="preserve">avoir commis à ce titre </w:t>
      </w:r>
      <w:r w:rsidR="001A329D" w:rsidRPr="00731644">
        <w:rPr>
          <w:lang w:val="fr-CH"/>
        </w:rPr>
        <w:t xml:space="preserve">un </w:t>
      </w:r>
      <w:r w:rsidRPr="00731644">
        <w:rPr>
          <w:lang w:val="fr-CH"/>
        </w:rPr>
        <w:t>abus de pouvoir</w:t>
      </w:r>
      <w:r w:rsidR="00731644" w:rsidRPr="00731644">
        <w:rPr>
          <w:lang w:val="fr-CH"/>
        </w:rPr>
        <w:t>;</w:t>
      </w:r>
      <w:r w:rsidRPr="00731644">
        <w:rPr>
          <w:lang w:val="fr-CH"/>
        </w:rPr>
        <w:t xml:space="preserve"> </w:t>
      </w:r>
    </w:p>
    <w:p w:rsidR="007A774E" w:rsidRPr="00731644" w:rsidRDefault="00CE120D" w:rsidP="00665D76">
      <w:pPr>
        <w:pStyle w:val="Bullet1G"/>
        <w:rPr>
          <w:lang w:val="fr-CH"/>
        </w:rPr>
      </w:pPr>
      <w:r w:rsidRPr="00731644">
        <w:rPr>
          <w:lang w:val="fr-CH"/>
        </w:rPr>
        <w:t>Au cours de la période considérée, la Cour d</w:t>
      </w:r>
      <w:r w:rsidR="00425386" w:rsidRPr="00731644">
        <w:rPr>
          <w:lang w:val="fr-CH"/>
        </w:rPr>
        <w:t>’</w:t>
      </w:r>
      <w:r w:rsidRPr="00731644">
        <w:rPr>
          <w:lang w:val="fr-CH"/>
        </w:rPr>
        <w:t xml:space="preserve">appel a été saisie de trois affaires </w:t>
      </w:r>
      <w:r w:rsidR="00D37E16" w:rsidRPr="00731644">
        <w:rPr>
          <w:lang w:val="fr-CH"/>
        </w:rPr>
        <w:t xml:space="preserve">pour </w:t>
      </w:r>
      <w:r w:rsidRPr="00731644">
        <w:rPr>
          <w:lang w:val="fr-CH"/>
        </w:rPr>
        <w:t xml:space="preserve">incitation à la haine nationale, raciale </w:t>
      </w:r>
      <w:r w:rsidR="003A34A8" w:rsidRPr="00731644">
        <w:rPr>
          <w:lang w:val="fr-CH"/>
        </w:rPr>
        <w:t xml:space="preserve">ou </w:t>
      </w:r>
      <w:r w:rsidRPr="00731644">
        <w:rPr>
          <w:lang w:val="fr-CH"/>
        </w:rPr>
        <w:t>religieuse (</w:t>
      </w:r>
      <w:r w:rsidR="00F31DD5" w:rsidRPr="00731644">
        <w:rPr>
          <w:lang w:val="fr-CH"/>
        </w:rPr>
        <w:t>art. </w:t>
      </w:r>
      <w:r w:rsidRPr="00731644">
        <w:rPr>
          <w:lang w:val="fr-CH"/>
        </w:rPr>
        <w:t>370 du Code pénal)</w:t>
      </w:r>
      <w:r w:rsidR="007A774E" w:rsidRPr="00731644">
        <w:rPr>
          <w:lang w:val="fr-CH"/>
        </w:rPr>
        <w:t>.</w:t>
      </w:r>
      <w:r w:rsidRPr="00731644">
        <w:rPr>
          <w:lang w:val="fr-CH"/>
        </w:rPr>
        <w:t xml:space="preserve"> Dans un cas, </w:t>
      </w:r>
      <w:r w:rsidR="00250306" w:rsidRPr="00731644">
        <w:rPr>
          <w:lang w:val="fr-CH"/>
        </w:rPr>
        <w:t>l</w:t>
      </w:r>
      <w:r w:rsidR="00425386" w:rsidRPr="00731644">
        <w:rPr>
          <w:lang w:val="fr-CH"/>
        </w:rPr>
        <w:t>’</w:t>
      </w:r>
      <w:r w:rsidR="00250306" w:rsidRPr="00731644">
        <w:rPr>
          <w:lang w:val="fr-CH"/>
        </w:rPr>
        <w:t xml:space="preserve">affaire a été classée à la suite du décès </w:t>
      </w:r>
      <w:r w:rsidR="00D37E16" w:rsidRPr="00731644">
        <w:rPr>
          <w:lang w:val="fr-CH"/>
        </w:rPr>
        <w:t>de l</w:t>
      </w:r>
      <w:r w:rsidR="00425386" w:rsidRPr="00731644">
        <w:rPr>
          <w:lang w:val="fr-CH"/>
        </w:rPr>
        <w:t>’</w:t>
      </w:r>
      <w:r w:rsidR="00D37E16" w:rsidRPr="00731644">
        <w:rPr>
          <w:lang w:val="fr-CH"/>
        </w:rPr>
        <w:t>accusé</w:t>
      </w:r>
      <w:r w:rsidR="00F31DD5" w:rsidRPr="00731644">
        <w:rPr>
          <w:lang w:val="fr-CH"/>
        </w:rPr>
        <w:t>;</w:t>
      </w:r>
      <w:r w:rsidR="00250306" w:rsidRPr="00731644">
        <w:rPr>
          <w:lang w:val="fr-CH"/>
        </w:rPr>
        <w:t xml:space="preserve"> dans les deux autres, la Cour a confirmé les décisions rendues en première instance</w:t>
      </w:r>
      <w:r w:rsidR="00731644" w:rsidRPr="00731644">
        <w:rPr>
          <w:lang w:val="fr-CH"/>
        </w:rPr>
        <w:t>;</w:t>
      </w:r>
      <w:r w:rsidR="007A774E" w:rsidRPr="00731644">
        <w:rPr>
          <w:lang w:val="fr-CH"/>
        </w:rPr>
        <w:t xml:space="preserve"> </w:t>
      </w:r>
    </w:p>
    <w:p w:rsidR="007A774E" w:rsidRPr="00731644" w:rsidRDefault="00250306" w:rsidP="00665D76">
      <w:pPr>
        <w:pStyle w:val="Bullet1G"/>
        <w:rPr>
          <w:lang w:val="fr-CH"/>
        </w:rPr>
      </w:pPr>
      <w:r w:rsidRPr="00731644">
        <w:rPr>
          <w:lang w:val="fr-CH"/>
        </w:rPr>
        <w:t xml:space="preserve">La juridiction du deuxième degré de </w:t>
      </w:r>
      <w:r w:rsidR="007A774E" w:rsidRPr="00731644">
        <w:rPr>
          <w:lang w:val="fr-CH"/>
        </w:rPr>
        <w:t xml:space="preserve">Podgorica </w:t>
      </w:r>
      <w:r w:rsidRPr="00731644">
        <w:rPr>
          <w:lang w:val="fr-CH"/>
        </w:rPr>
        <w:t>a</w:t>
      </w:r>
      <w:r w:rsidR="00290D36" w:rsidRPr="00731644">
        <w:rPr>
          <w:lang w:val="fr-CH"/>
        </w:rPr>
        <w:t>, en mai 2010,</w:t>
      </w:r>
      <w:r w:rsidRPr="00731644">
        <w:rPr>
          <w:lang w:val="fr-CH"/>
        </w:rPr>
        <w:t xml:space="preserve"> condamné </w:t>
      </w:r>
      <w:r w:rsidR="003A34A8" w:rsidRPr="00731644">
        <w:rPr>
          <w:lang w:val="fr-CH"/>
        </w:rPr>
        <w:t>à une peine de prison</w:t>
      </w:r>
      <w:r w:rsidR="00290D36" w:rsidRPr="00731644">
        <w:rPr>
          <w:lang w:val="fr-CH"/>
        </w:rPr>
        <w:t xml:space="preserve"> </w:t>
      </w:r>
      <w:r w:rsidR="007A774E" w:rsidRPr="00731644">
        <w:rPr>
          <w:lang w:val="fr-CH"/>
        </w:rPr>
        <w:t>six memb</w:t>
      </w:r>
      <w:r w:rsidRPr="00731644">
        <w:rPr>
          <w:lang w:val="fr-CH"/>
        </w:rPr>
        <w:t>res de l</w:t>
      </w:r>
      <w:r w:rsidR="00425386" w:rsidRPr="00731644">
        <w:rPr>
          <w:lang w:val="fr-CH"/>
        </w:rPr>
        <w:t>’</w:t>
      </w:r>
      <w:r w:rsidRPr="00731644">
        <w:rPr>
          <w:lang w:val="fr-CH"/>
        </w:rPr>
        <w:t>ancienne Armée nationale yougoslave (</w:t>
      </w:r>
      <w:r w:rsidR="007A774E" w:rsidRPr="00731644">
        <w:rPr>
          <w:lang w:val="fr-CH"/>
        </w:rPr>
        <w:t>JNA</w:t>
      </w:r>
      <w:r w:rsidRPr="00731644">
        <w:rPr>
          <w:lang w:val="fr-CH"/>
        </w:rPr>
        <w:t>)</w:t>
      </w:r>
      <w:r w:rsidR="00F31DD5" w:rsidRPr="00731644">
        <w:rPr>
          <w:lang w:val="fr-CH"/>
        </w:rPr>
        <w:t xml:space="preserve"> </w:t>
      </w:r>
      <w:r w:rsidRPr="00731644">
        <w:rPr>
          <w:lang w:val="fr-CH"/>
        </w:rPr>
        <w:t xml:space="preserve">accusés </w:t>
      </w:r>
      <w:r w:rsidR="003A34A8" w:rsidRPr="00731644">
        <w:rPr>
          <w:lang w:val="fr-CH"/>
        </w:rPr>
        <w:t>d</w:t>
      </w:r>
      <w:r w:rsidR="00425386" w:rsidRPr="00731644">
        <w:rPr>
          <w:lang w:val="fr-CH"/>
        </w:rPr>
        <w:t>’</w:t>
      </w:r>
      <w:r w:rsidR="003A34A8" w:rsidRPr="00731644">
        <w:rPr>
          <w:lang w:val="fr-CH"/>
        </w:rPr>
        <w:t>avoir commis des</w:t>
      </w:r>
      <w:r w:rsidRPr="00731644">
        <w:rPr>
          <w:lang w:val="fr-CH"/>
        </w:rPr>
        <w:t xml:space="preserve"> crimes de guerre contre de</w:t>
      </w:r>
      <w:r w:rsidR="003A34A8" w:rsidRPr="00731644">
        <w:rPr>
          <w:lang w:val="fr-CH"/>
        </w:rPr>
        <w:t>s</w:t>
      </w:r>
      <w:r w:rsidRPr="00731644">
        <w:rPr>
          <w:lang w:val="fr-CH"/>
        </w:rPr>
        <w:t xml:space="preserve"> prisonniers et de</w:t>
      </w:r>
      <w:r w:rsidR="003A34A8" w:rsidRPr="00731644">
        <w:rPr>
          <w:lang w:val="fr-CH"/>
        </w:rPr>
        <w:t>s</w:t>
      </w:r>
      <w:r w:rsidRPr="00731644">
        <w:rPr>
          <w:lang w:val="fr-CH"/>
        </w:rPr>
        <w:t xml:space="preserve"> civils de la région de </w:t>
      </w:r>
      <w:r w:rsidR="007A774E" w:rsidRPr="00731644">
        <w:rPr>
          <w:lang w:val="fr-CH"/>
        </w:rPr>
        <w:t xml:space="preserve">Dubrovnik </w:t>
      </w:r>
      <w:r w:rsidRPr="00731644">
        <w:rPr>
          <w:lang w:val="fr-CH"/>
        </w:rPr>
        <w:t>dans le</w:t>
      </w:r>
      <w:r w:rsidR="007A774E" w:rsidRPr="00731644">
        <w:rPr>
          <w:lang w:val="fr-CH"/>
        </w:rPr>
        <w:t xml:space="preserve"> camp Morinj</w:t>
      </w:r>
      <w:r w:rsidRPr="00731644">
        <w:rPr>
          <w:lang w:val="fr-CH"/>
        </w:rPr>
        <w:t>, mais la Cour d</w:t>
      </w:r>
      <w:r w:rsidR="00425386" w:rsidRPr="00731644">
        <w:rPr>
          <w:lang w:val="fr-CH"/>
        </w:rPr>
        <w:t>’</w:t>
      </w:r>
      <w:r w:rsidRPr="00731644">
        <w:rPr>
          <w:lang w:val="fr-CH"/>
        </w:rPr>
        <w:t>appel a annulé la condamnation et ordonné que l</w:t>
      </w:r>
      <w:r w:rsidR="00425386" w:rsidRPr="00731644">
        <w:rPr>
          <w:lang w:val="fr-CH"/>
        </w:rPr>
        <w:t>’</w:t>
      </w:r>
      <w:r w:rsidRPr="00731644">
        <w:rPr>
          <w:lang w:val="fr-CH"/>
        </w:rPr>
        <w:t>affaire soit rejugée</w:t>
      </w:r>
      <w:r w:rsidR="00F31DD5" w:rsidRPr="00731644">
        <w:rPr>
          <w:lang w:val="fr-CH"/>
        </w:rPr>
        <w:t>;</w:t>
      </w:r>
      <w:r w:rsidRPr="00731644">
        <w:rPr>
          <w:lang w:val="fr-CH"/>
        </w:rPr>
        <w:t xml:space="preserve"> le procès est en cours</w:t>
      </w:r>
      <w:r w:rsidR="00731644">
        <w:rPr>
          <w:lang w:val="fr-CH"/>
        </w:rPr>
        <w:t>;</w:t>
      </w:r>
    </w:p>
    <w:p w:rsidR="007A774E" w:rsidRPr="00731644" w:rsidRDefault="00250306" w:rsidP="00665D76">
      <w:pPr>
        <w:pStyle w:val="Bullet1G"/>
        <w:rPr>
          <w:lang w:val="fr-CH"/>
        </w:rPr>
      </w:pPr>
      <w:r w:rsidRPr="00731644">
        <w:rPr>
          <w:lang w:val="fr-CH"/>
        </w:rPr>
        <w:t xml:space="preserve">Le 31 décembre 2010, le tribunal du deuxième degré de </w:t>
      </w:r>
      <w:r w:rsidR="007A774E" w:rsidRPr="00731644">
        <w:rPr>
          <w:lang w:val="fr-CH"/>
        </w:rPr>
        <w:t xml:space="preserve">Bijelo </w:t>
      </w:r>
      <w:r w:rsidRPr="00731644">
        <w:rPr>
          <w:lang w:val="fr-CH"/>
        </w:rPr>
        <w:t>a acquitté en première instance sept</w:t>
      </w:r>
      <w:r w:rsidR="00CB7658" w:rsidRPr="00731644">
        <w:rPr>
          <w:lang w:val="fr-CH"/>
        </w:rPr>
        <w:t> personnes</w:t>
      </w:r>
      <w:r w:rsidRPr="00731644">
        <w:rPr>
          <w:lang w:val="fr-CH"/>
        </w:rPr>
        <w:t xml:space="preserve"> accusées de crimes contre des civils </w:t>
      </w:r>
      <w:r w:rsidR="00404A42" w:rsidRPr="00731644">
        <w:rPr>
          <w:lang w:val="fr-CH"/>
        </w:rPr>
        <w:t xml:space="preserve">commis </w:t>
      </w:r>
      <w:r w:rsidR="00CD71A8" w:rsidRPr="00731644">
        <w:rPr>
          <w:lang w:val="fr-CH"/>
        </w:rPr>
        <w:t>à</w:t>
      </w:r>
      <w:r w:rsidR="007A774E" w:rsidRPr="00731644">
        <w:rPr>
          <w:lang w:val="fr-CH"/>
        </w:rPr>
        <w:t xml:space="preserve"> Bukovica </w:t>
      </w:r>
      <w:r w:rsidR="00CD71A8" w:rsidRPr="00731644">
        <w:rPr>
          <w:lang w:val="fr-CH"/>
        </w:rPr>
        <w:t>au début de</w:t>
      </w:r>
      <w:r w:rsidR="00A66512" w:rsidRPr="00731644">
        <w:rPr>
          <w:lang w:val="fr-CH"/>
        </w:rPr>
        <w:t>s</w:t>
      </w:r>
      <w:r w:rsidR="00CD71A8" w:rsidRPr="00731644">
        <w:rPr>
          <w:lang w:val="fr-CH"/>
        </w:rPr>
        <w:t xml:space="preserve"> années 1990.</w:t>
      </w:r>
      <w:r w:rsidR="007A774E" w:rsidRPr="00731644">
        <w:rPr>
          <w:lang w:val="fr-CH"/>
        </w:rPr>
        <w:t xml:space="preserve"> </w:t>
      </w:r>
      <w:r w:rsidR="00404A42" w:rsidRPr="00731644">
        <w:rPr>
          <w:lang w:val="fr-CH"/>
        </w:rPr>
        <w:t>Le parquet et les défenseurs des parties lésées ayant formé des recours contre le jugement prononcé en première instance, l</w:t>
      </w:r>
      <w:r w:rsidR="00CD71A8" w:rsidRPr="00731644">
        <w:rPr>
          <w:lang w:val="fr-CH"/>
        </w:rPr>
        <w:t xml:space="preserve">es dossiers ont été </w:t>
      </w:r>
      <w:r w:rsidR="00404A42" w:rsidRPr="00731644">
        <w:rPr>
          <w:lang w:val="fr-CH"/>
        </w:rPr>
        <w:t>transmis</w:t>
      </w:r>
      <w:r w:rsidR="00CD71A8" w:rsidRPr="00731644">
        <w:rPr>
          <w:lang w:val="fr-CH"/>
        </w:rPr>
        <w:t xml:space="preserve"> à la Cour d</w:t>
      </w:r>
      <w:r w:rsidR="00425386" w:rsidRPr="00731644">
        <w:rPr>
          <w:lang w:val="fr-CH"/>
        </w:rPr>
        <w:t>’</w:t>
      </w:r>
      <w:r w:rsidR="00CD71A8" w:rsidRPr="00731644">
        <w:rPr>
          <w:lang w:val="fr-CH"/>
        </w:rPr>
        <w:t xml:space="preserve">appel </w:t>
      </w:r>
      <w:r w:rsidR="007A774E" w:rsidRPr="00731644">
        <w:rPr>
          <w:lang w:val="fr-CH"/>
        </w:rPr>
        <w:t xml:space="preserve">(6 </w:t>
      </w:r>
      <w:r w:rsidR="00CD71A8" w:rsidRPr="00731644">
        <w:rPr>
          <w:lang w:val="fr-CH"/>
        </w:rPr>
        <w:t>mai</w:t>
      </w:r>
      <w:r w:rsidR="007A774E" w:rsidRPr="00731644">
        <w:rPr>
          <w:lang w:val="fr-CH"/>
        </w:rPr>
        <w:t xml:space="preserve"> 2011)</w:t>
      </w:r>
      <w:r w:rsidR="00731644">
        <w:rPr>
          <w:lang w:val="fr-CH"/>
        </w:rPr>
        <w:t>;</w:t>
      </w:r>
    </w:p>
    <w:p w:rsidR="007A774E" w:rsidRPr="00731644" w:rsidRDefault="00CD71A8" w:rsidP="00665D76">
      <w:pPr>
        <w:pStyle w:val="Bullet1G"/>
        <w:rPr>
          <w:lang w:val="fr-CH"/>
        </w:rPr>
      </w:pPr>
      <w:r w:rsidRPr="00731644">
        <w:rPr>
          <w:lang w:val="fr-CH"/>
        </w:rPr>
        <w:t xml:space="preserve">À la fin de mars 2011, la chambre spéciale du tribunal du deuxième degré de </w:t>
      </w:r>
      <w:r w:rsidR="007A774E" w:rsidRPr="00731644">
        <w:rPr>
          <w:lang w:val="fr-CH"/>
        </w:rPr>
        <w:t xml:space="preserve">Podgorica </w:t>
      </w:r>
      <w:r w:rsidRPr="00731644">
        <w:rPr>
          <w:lang w:val="fr-CH"/>
        </w:rPr>
        <w:t>a, faute de preuves, acquitté en première instance neuf membres du Ministère des affaires intérieures</w:t>
      </w:r>
      <w:r w:rsidR="007A774E" w:rsidRPr="00731644">
        <w:rPr>
          <w:lang w:val="fr-CH"/>
        </w:rPr>
        <w:t xml:space="preserve"> </w:t>
      </w:r>
      <w:r w:rsidRPr="00731644">
        <w:rPr>
          <w:lang w:val="fr-CH"/>
        </w:rPr>
        <w:t>du Monténégro accusés d</w:t>
      </w:r>
      <w:r w:rsidR="00425386" w:rsidRPr="00731644">
        <w:rPr>
          <w:lang w:val="fr-CH"/>
        </w:rPr>
        <w:t>’</w:t>
      </w:r>
      <w:r w:rsidRPr="00731644">
        <w:rPr>
          <w:lang w:val="fr-CH"/>
        </w:rPr>
        <w:t>avoir</w:t>
      </w:r>
      <w:r w:rsidR="00BE2F8A" w:rsidRPr="00731644">
        <w:rPr>
          <w:lang w:val="fr-CH"/>
        </w:rPr>
        <w:t>, en mai 1992,</w:t>
      </w:r>
      <w:r w:rsidRPr="00731644">
        <w:rPr>
          <w:lang w:val="fr-CH"/>
        </w:rPr>
        <w:t xml:space="preserve"> illégalement expulsé et remis aux autorités de la</w:t>
      </w:r>
      <w:r w:rsidR="00F31DD5" w:rsidRPr="00731644">
        <w:rPr>
          <w:lang w:val="fr-CH"/>
        </w:rPr>
        <w:t xml:space="preserve"> </w:t>
      </w:r>
      <w:r w:rsidRPr="00731644">
        <w:rPr>
          <w:lang w:val="fr-CH"/>
        </w:rPr>
        <w:t>République Srpska</w:t>
      </w:r>
      <w:r w:rsidR="00BE2F8A" w:rsidRPr="00731644">
        <w:rPr>
          <w:lang w:val="fr-CH"/>
        </w:rPr>
        <w:t xml:space="preserve"> des musulmans (citoyens de Bosnie-Herzégovine)</w:t>
      </w:r>
      <w:r w:rsidR="00731644">
        <w:rPr>
          <w:lang w:val="fr-CH"/>
        </w:rPr>
        <w:t>;</w:t>
      </w:r>
    </w:p>
    <w:p w:rsidR="002733FC" w:rsidRPr="00731644" w:rsidRDefault="002733FC" w:rsidP="002733FC">
      <w:pPr>
        <w:pStyle w:val="Bullet1G"/>
        <w:rPr>
          <w:lang w:val="fr-CH"/>
        </w:rPr>
      </w:pPr>
      <w:r w:rsidRPr="00731644">
        <w:rPr>
          <w:lang w:val="fr-CH"/>
        </w:rPr>
        <w:t>Sont</w:t>
      </w:r>
      <w:r w:rsidR="00BE2F8A" w:rsidRPr="00731644">
        <w:rPr>
          <w:lang w:val="fr-CH"/>
        </w:rPr>
        <w:t xml:space="preserve"> en cours devant la juridiction du deuxième degré de </w:t>
      </w:r>
      <w:r w:rsidR="007A774E" w:rsidRPr="00731644">
        <w:rPr>
          <w:lang w:val="fr-CH"/>
        </w:rPr>
        <w:t>Bijelo Polje</w:t>
      </w:r>
      <w:r w:rsidRPr="00731644">
        <w:rPr>
          <w:lang w:val="fr-CH"/>
        </w:rPr>
        <w:t xml:space="preserve"> les poursuites</w:t>
      </w:r>
      <w:r w:rsidR="00BE2F8A" w:rsidRPr="00731644">
        <w:rPr>
          <w:lang w:val="fr-CH"/>
        </w:rPr>
        <w:t xml:space="preserve"> contre les huit</w:t>
      </w:r>
      <w:r w:rsidR="00CB7658" w:rsidRPr="00731644">
        <w:rPr>
          <w:lang w:val="fr-CH"/>
        </w:rPr>
        <w:t> personnes</w:t>
      </w:r>
      <w:r w:rsidR="00BE2F8A" w:rsidRPr="00731644">
        <w:rPr>
          <w:lang w:val="fr-CH"/>
        </w:rPr>
        <w:t xml:space="preserve"> impliquées dans l</w:t>
      </w:r>
      <w:r w:rsidR="00425386" w:rsidRPr="00731644">
        <w:rPr>
          <w:lang w:val="fr-CH"/>
        </w:rPr>
        <w:t>’</w:t>
      </w:r>
      <w:r w:rsidR="00BE2F8A" w:rsidRPr="00731644">
        <w:rPr>
          <w:lang w:val="fr-CH"/>
        </w:rPr>
        <w:t xml:space="preserve">affaire </w:t>
      </w:r>
      <w:r w:rsidR="002061AB">
        <w:rPr>
          <w:lang w:val="fr-CH"/>
        </w:rPr>
        <w:t>«</w:t>
      </w:r>
      <w:r w:rsidR="007A774E" w:rsidRPr="00731644">
        <w:rPr>
          <w:lang w:val="fr-CH"/>
        </w:rPr>
        <w:t>Kaluđerski laz</w:t>
      </w:r>
      <w:r w:rsidR="002061AB">
        <w:rPr>
          <w:lang w:val="fr-CH"/>
        </w:rPr>
        <w:t>»</w:t>
      </w:r>
      <w:r w:rsidRPr="00731644">
        <w:rPr>
          <w:lang w:val="fr-CH"/>
        </w:rPr>
        <w:t xml:space="preserve"> pour crimes de guerre contre des civils</w:t>
      </w:r>
      <w:r w:rsidR="00404A42" w:rsidRPr="00731644">
        <w:rPr>
          <w:lang w:val="fr-CH"/>
        </w:rPr>
        <w:t>,</w:t>
      </w:r>
      <w:r w:rsidRPr="00731644">
        <w:rPr>
          <w:lang w:val="fr-CH"/>
        </w:rPr>
        <w:t xml:space="preserve"> visés</w:t>
      </w:r>
      <w:r w:rsidR="007A774E" w:rsidRPr="00731644">
        <w:rPr>
          <w:lang w:val="fr-CH"/>
        </w:rPr>
        <w:t xml:space="preserve"> </w:t>
      </w:r>
      <w:r w:rsidR="00FC3369">
        <w:rPr>
          <w:lang w:val="fr-CH"/>
        </w:rPr>
        <w:t xml:space="preserve">au paragraphe 1 de </w:t>
      </w:r>
      <w:r w:rsidR="00374D76" w:rsidRPr="00731644">
        <w:rPr>
          <w:lang w:val="fr-CH"/>
        </w:rPr>
        <w:t>l</w:t>
      </w:r>
      <w:r w:rsidR="00425386" w:rsidRPr="00731644">
        <w:rPr>
          <w:lang w:val="fr-CH"/>
        </w:rPr>
        <w:t>’</w:t>
      </w:r>
      <w:r w:rsidR="001753EC">
        <w:rPr>
          <w:lang w:val="fr-CH"/>
        </w:rPr>
        <w:t>article </w:t>
      </w:r>
      <w:r w:rsidR="007A774E" w:rsidRPr="00731644">
        <w:rPr>
          <w:lang w:val="fr-CH"/>
        </w:rPr>
        <w:t>142</w:t>
      </w:r>
      <w:r w:rsidR="00FC3369">
        <w:rPr>
          <w:lang w:val="fr-CH"/>
        </w:rPr>
        <w:t xml:space="preserve"> </w:t>
      </w:r>
      <w:r w:rsidRPr="00731644">
        <w:rPr>
          <w:lang w:val="fr-CH"/>
        </w:rPr>
        <w:t>du Code pénal de la</w:t>
      </w:r>
      <w:r w:rsidR="00F31DD5" w:rsidRPr="00731644">
        <w:rPr>
          <w:lang w:val="fr-CH"/>
        </w:rPr>
        <w:t xml:space="preserve"> </w:t>
      </w:r>
      <w:r w:rsidRPr="00731644">
        <w:rPr>
          <w:lang w:val="fr-CH"/>
        </w:rPr>
        <w:t>République fédérative de Yougoslavie. Tous les accusés ont été condamnés à des peines de prison le 1</w:t>
      </w:r>
      <w:r w:rsidRPr="00731644">
        <w:rPr>
          <w:vertAlign w:val="superscript"/>
          <w:lang w:val="fr-CH"/>
        </w:rPr>
        <w:t>er</w:t>
      </w:r>
      <w:r w:rsidRPr="00731644">
        <w:rPr>
          <w:lang w:val="fr-CH"/>
        </w:rPr>
        <w:t xml:space="preserve"> août</w:t>
      </w:r>
      <w:r w:rsidR="00F31DD5" w:rsidRPr="00731644">
        <w:rPr>
          <w:lang w:val="fr-CH"/>
        </w:rPr>
        <w:t xml:space="preserve"> </w:t>
      </w:r>
      <w:r w:rsidR="007A774E" w:rsidRPr="00731644">
        <w:rPr>
          <w:lang w:val="fr-CH"/>
        </w:rPr>
        <w:t xml:space="preserve">2008, </w:t>
      </w:r>
      <w:r w:rsidRPr="00731644">
        <w:rPr>
          <w:lang w:val="fr-CH"/>
        </w:rPr>
        <w:t xml:space="preserve">et tous sauf un ont été privés de liberté. </w:t>
      </w:r>
    </w:p>
    <w:p w:rsidR="007A774E" w:rsidRPr="00731644" w:rsidRDefault="003F6CEA" w:rsidP="002733FC">
      <w:pPr>
        <w:pStyle w:val="Bullet1G"/>
        <w:numPr>
          <w:ilvl w:val="0"/>
          <w:numId w:val="0"/>
        </w:numPr>
        <w:ind w:left="1134"/>
        <w:rPr>
          <w:lang w:val="fr-CH"/>
        </w:rPr>
      </w:pPr>
      <w:r w:rsidRPr="00731644">
        <w:rPr>
          <w:lang w:val="fr-CH"/>
        </w:rPr>
        <w:t>80.</w:t>
      </w:r>
      <w:r w:rsidRPr="00731644">
        <w:rPr>
          <w:lang w:val="fr-CH"/>
        </w:rPr>
        <w:tab/>
      </w:r>
      <w:r w:rsidR="002733FC" w:rsidRPr="00731644">
        <w:rPr>
          <w:lang w:val="fr-CH"/>
        </w:rPr>
        <w:t>Les in</w:t>
      </w:r>
      <w:r w:rsidR="00AE7A54" w:rsidRPr="00731644">
        <w:rPr>
          <w:lang w:val="fr-CH"/>
        </w:rPr>
        <w:t xml:space="preserve">dications </w:t>
      </w:r>
      <w:r w:rsidR="001072B3" w:rsidRPr="00731644">
        <w:rPr>
          <w:lang w:val="fr-CH"/>
        </w:rPr>
        <w:t>données à propos des</w:t>
      </w:r>
      <w:r w:rsidR="002733FC" w:rsidRPr="00731644">
        <w:rPr>
          <w:lang w:val="fr-CH"/>
        </w:rPr>
        <w:t xml:space="preserve"> procédures et </w:t>
      </w:r>
      <w:r w:rsidR="001072B3" w:rsidRPr="00731644">
        <w:rPr>
          <w:lang w:val="fr-CH"/>
        </w:rPr>
        <w:t>de</w:t>
      </w:r>
      <w:r w:rsidR="002733FC" w:rsidRPr="00731644">
        <w:rPr>
          <w:lang w:val="fr-CH"/>
        </w:rPr>
        <w:t xml:space="preserve"> l</w:t>
      </w:r>
      <w:r w:rsidR="00425386" w:rsidRPr="00731644">
        <w:rPr>
          <w:lang w:val="fr-CH"/>
        </w:rPr>
        <w:t>’</w:t>
      </w:r>
      <w:r w:rsidR="002733FC" w:rsidRPr="00731644">
        <w:rPr>
          <w:lang w:val="fr-CH"/>
        </w:rPr>
        <w:t xml:space="preserve">état des actions judiciaires relativement avancées </w:t>
      </w:r>
      <w:r w:rsidR="007A774E" w:rsidRPr="00731644">
        <w:rPr>
          <w:lang w:val="fr-CH"/>
        </w:rPr>
        <w:t>(</w:t>
      </w:r>
      <w:r w:rsidR="002733FC" w:rsidRPr="00731644">
        <w:rPr>
          <w:lang w:val="fr-CH"/>
        </w:rPr>
        <w:t>en appel</w:t>
      </w:r>
      <w:r w:rsidR="007A774E" w:rsidRPr="00731644">
        <w:rPr>
          <w:lang w:val="fr-CH"/>
        </w:rPr>
        <w:t xml:space="preserve">) </w:t>
      </w:r>
      <w:r w:rsidR="001072B3" w:rsidRPr="00731644">
        <w:rPr>
          <w:lang w:val="fr-CH"/>
        </w:rPr>
        <w:t>v</w:t>
      </w:r>
      <w:r w:rsidR="00A66512" w:rsidRPr="00731644">
        <w:rPr>
          <w:lang w:val="fr-CH"/>
        </w:rPr>
        <w:t>isent</w:t>
      </w:r>
      <w:r w:rsidR="001072B3" w:rsidRPr="00731644">
        <w:rPr>
          <w:lang w:val="fr-CH"/>
        </w:rPr>
        <w:t xml:space="preserve"> à répondre</w:t>
      </w:r>
      <w:r w:rsidR="002733FC" w:rsidRPr="00731644">
        <w:rPr>
          <w:lang w:val="fr-CH"/>
        </w:rPr>
        <w:t xml:space="preserve"> à la recommandation contenue au </w:t>
      </w:r>
      <w:r w:rsidR="00CB7658" w:rsidRPr="00731644">
        <w:rPr>
          <w:lang w:val="fr-CH"/>
        </w:rPr>
        <w:t>paragraphe </w:t>
      </w:r>
      <w:r w:rsidR="002733FC" w:rsidRPr="00731644">
        <w:rPr>
          <w:lang w:val="fr-CH"/>
        </w:rPr>
        <w:t xml:space="preserve">19 des observations finales du Comité. </w:t>
      </w:r>
    </w:p>
    <w:p w:rsidR="007A774E" w:rsidRPr="00731644" w:rsidRDefault="0005778B" w:rsidP="007A429C">
      <w:pPr>
        <w:pStyle w:val="SingleTxtG"/>
        <w:rPr>
          <w:lang w:val="fr-CH"/>
        </w:rPr>
      </w:pPr>
      <w:r w:rsidRPr="00731644">
        <w:rPr>
          <w:lang w:val="fr-CH"/>
        </w:rPr>
        <w:t>81.</w:t>
      </w:r>
      <w:r w:rsidRPr="00731644">
        <w:rPr>
          <w:lang w:val="fr-CH"/>
        </w:rPr>
        <w:tab/>
      </w:r>
      <w:r w:rsidR="00390288" w:rsidRPr="00731644">
        <w:rPr>
          <w:lang w:val="fr-CH"/>
        </w:rPr>
        <w:t>Le Conseil d</w:t>
      </w:r>
      <w:r w:rsidR="00882D64" w:rsidRPr="00731644">
        <w:rPr>
          <w:lang w:val="fr-CH"/>
        </w:rPr>
        <w:t>e</w:t>
      </w:r>
      <w:r w:rsidR="00390288" w:rsidRPr="00731644">
        <w:rPr>
          <w:lang w:val="fr-CH"/>
        </w:rPr>
        <w:t xml:space="preserve"> contrôle civi</w:t>
      </w:r>
      <w:r w:rsidR="00882D64" w:rsidRPr="00731644">
        <w:rPr>
          <w:lang w:val="fr-CH"/>
        </w:rPr>
        <w:t>l</w:t>
      </w:r>
      <w:r w:rsidR="00390288" w:rsidRPr="00731644">
        <w:rPr>
          <w:lang w:val="fr-CH"/>
        </w:rPr>
        <w:t xml:space="preserve"> du travail de la police est intervenu dans un </w:t>
      </w:r>
      <w:r w:rsidR="00A66512" w:rsidRPr="00731644">
        <w:rPr>
          <w:lang w:val="fr-CH"/>
        </w:rPr>
        <w:t>certain</w:t>
      </w:r>
      <w:r w:rsidR="00390288" w:rsidRPr="00731644">
        <w:rPr>
          <w:lang w:val="fr-CH"/>
        </w:rPr>
        <w:t xml:space="preserve"> nombre de cas </w:t>
      </w:r>
      <w:r w:rsidR="007A774E" w:rsidRPr="00731644">
        <w:rPr>
          <w:lang w:val="fr-CH"/>
        </w:rPr>
        <w:t>(90</w:t>
      </w:r>
      <w:r w:rsidR="00390288" w:rsidRPr="00731644">
        <w:rPr>
          <w:lang w:val="fr-CH"/>
        </w:rPr>
        <w:t xml:space="preserve"> env</w:t>
      </w:r>
      <w:r w:rsidR="00646928">
        <w:rPr>
          <w:lang w:val="fr-CH"/>
        </w:rPr>
        <w:t>.</w:t>
      </w:r>
      <w:r w:rsidR="007A774E" w:rsidRPr="00731644">
        <w:rPr>
          <w:lang w:val="fr-CH"/>
        </w:rPr>
        <w:t xml:space="preserve">) </w:t>
      </w:r>
      <w:r w:rsidR="00390288" w:rsidRPr="00731644">
        <w:rPr>
          <w:lang w:val="fr-CH"/>
        </w:rPr>
        <w:t>où des abus d</w:t>
      </w:r>
      <w:r w:rsidR="00425386" w:rsidRPr="00731644">
        <w:rPr>
          <w:lang w:val="fr-CH"/>
        </w:rPr>
        <w:t>’</w:t>
      </w:r>
      <w:r w:rsidR="00390288" w:rsidRPr="00731644">
        <w:rPr>
          <w:lang w:val="fr-CH"/>
        </w:rPr>
        <w:t xml:space="preserve">autorité de la police avaient été signalés. Dans certaines de ces affaires, les requérants ont fortement </w:t>
      </w:r>
      <w:r w:rsidR="00A66512" w:rsidRPr="00731644">
        <w:rPr>
          <w:lang w:val="fr-CH"/>
        </w:rPr>
        <w:t>insisté</w:t>
      </w:r>
      <w:r w:rsidR="00390288" w:rsidRPr="00731644">
        <w:rPr>
          <w:lang w:val="fr-CH"/>
        </w:rPr>
        <w:t xml:space="preserve"> sur des éléments d</w:t>
      </w:r>
      <w:r w:rsidR="00425386" w:rsidRPr="00731644">
        <w:rPr>
          <w:lang w:val="fr-CH"/>
        </w:rPr>
        <w:t>’</w:t>
      </w:r>
      <w:r w:rsidR="00390288" w:rsidRPr="00731644">
        <w:rPr>
          <w:lang w:val="fr-CH"/>
        </w:rPr>
        <w:t>appartenance ethnique, c</w:t>
      </w:r>
      <w:r w:rsidR="00425386" w:rsidRPr="00731644">
        <w:rPr>
          <w:lang w:val="fr-CH"/>
        </w:rPr>
        <w:t>’</w:t>
      </w:r>
      <w:r w:rsidR="00390288" w:rsidRPr="00731644">
        <w:rPr>
          <w:lang w:val="fr-CH"/>
        </w:rPr>
        <w:t xml:space="preserve">est-à-dire sur un traitement discriminatoire qui appelait une analyse </w:t>
      </w:r>
      <w:r w:rsidR="00AE7A54" w:rsidRPr="00731644">
        <w:rPr>
          <w:lang w:val="fr-CH"/>
        </w:rPr>
        <w:t>particulièrement minutieuse des</w:t>
      </w:r>
      <w:r w:rsidR="00390288" w:rsidRPr="00731644">
        <w:rPr>
          <w:lang w:val="fr-CH"/>
        </w:rPr>
        <w:t xml:space="preserve"> faits</w:t>
      </w:r>
      <w:r w:rsidR="007A774E" w:rsidRPr="00731644">
        <w:rPr>
          <w:lang w:val="fr-CH"/>
        </w:rPr>
        <w:t xml:space="preserve">. </w:t>
      </w:r>
      <w:r w:rsidR="00390288" w:rsidRPr="00731644">
        <w:rPr>
          <w:lang w:val="fr-CH"/>
        </w:rPr>
        <w:t>Comme l</w:t>
      </w:r>
      <w:r w:rsidR="00425386" w:rsidRPr="00731644">
        <w:rPr>
          <w:lang w:val="fr-CH"/>
        </w:rPr>
        <w:t>’</w:t>
      </w:r>
      <w:r w:rsidR="00390288" w:rsidRPr="00731644">
        <w:rPr>
          <w:lang w:val="fr-CH"/>
        </w:rPr>
        <w:t xml:space="preserve">indique son </w:t>
      </w:r>
      <w:r w:rsidR="00A66512" w:rsidRPr="00731644">
        <w:rPr>
          <w:lang w:val="fr-CH"/>
        </w:rPr>
        <w:t>rapport</w:t>
      </w:r>
      <w:r w:rsidR="00390288" w:rsidRPr="00731644">
        <w:rPr>
          <w:lang w:val="fr-CH"/>
        </w:rPr>
        <w:t xml:space="preserve"> pour la période </w:t>
      </w:r>
      <w:r w:rsidR="007A774E" w:rsidRPr="00731644">
        <w:rPr>
          <w:lang w:val="fr-CH"/>
        </w:rPr>
        <w:t xml:space="preserve">2005-2008, </w:t>
      </w:r>
      <w:r w:rsidR="00390288" w:rsidRPr="00731644">
        <w:rPr>
          <w:lang w:val="fr-CH"/>
        </w:rPr>
        <w:t>le Conseil a constaté que des droits avaient été violés</w:t>
      </w:r>
      <w:r w:rsidR="00F31DD5" w:rsidRPr="00731644">
        <w:rPr>
          <w:lang w:val="fr-CH"/>
        </w:rPr>
        <w:t>:</w:t>
      </w:r>
      <w:r w:rsidR="00390288" w:rsidRPr="00731644">
        <w:rPr>
          <w:lang w:val="fr-CH"/>
        </w:rPr>
        <w:t xml:space="preserve"> dans l</w:t>
      </w:r>
      <w:r w:rsidR="00425386" w:rsidRPr="00731644">
        <w:rPr>
          <w:lang w:val="fr-CH"/>
        </w:rPr>
        <w:t>’</w:t>
      </w:r>
      <w:r w:rsidR="00390288" w:rsidRPr="00731644">
        <w:rPr>
          <w:lang w:val="fr-CH"/>
        </w:rPr>
        <w:t xml:space="preserve">affaire </w:t>
      </w:r>
      <w:r w:rsidR="009719E4" w:rsidRPr="00731644">
        <w:rPr>
          <w:lang w:val="fr-CH"/>
        </w:rPr>
        <w:t>de deux</w:t>
      </w:r>
      <w:r w:rsidR="00F31DD5" w:rsidRPr="00731644">
        <w:rPr>
          <w:lang w:val="fr-CH"/>
        </w:rPr>
        <w:t xml:space="preserve"> </w:t>
      </w:r>
      <w:r w:rsidR="007A774E" w:rsidRPr="00731644">
        <w:rPr>
          <w:lang w:val="fr-CH"/>
        </w:rPr>
        <w:t>Rom</w:t>
      </w:r>
      <w:r w:rsidR="009719E4" w:rsidRPr="00731644">
        <w:rPr>
          <w:lang w:val="fr-CH"/>
        </w:rPr>
        <w:t>s</w:t>
      </w:r>
      <w:r w:rsidR="007A774E" w:rsidRPr="00731644">
        <w:rPr>
          <w:lang w:val="fr-CH"/>
        </w:rPr>
        <w:t xml:space="preserve"> </w:t>
      </w:r>
      <w:r w:rsidR="009719E4" w:rsidRPr="00731644">
        <w:rPr>
          <w:lang w:val="fr-CH"/>
        </w:rPr>
        <w:t>d</w:t>
      </w:r>
      <w:r w:rsidR="00425386" w:rsidRPr="00731644">
        <w:rPr>
          <w:lang w:val="fr-CH"/>
        </w:rPr>
        <w:t>’</w:t>
      </w:r>
      <w:r w:rsidR="007A774E" w:rsidRPr="00731644">
        <w:rPr>
          <w:lang w:val="fr-CH"/>
        </w:rPr>
        <w:t xml:space="preserve">Ulcinj </w:t>
      </w:r>
      <w:r w:rsidR="009719E4" w:rsidRPr="00731644">
        <w:rPr>
          <w:lang w:val="fr-CH"/>
        </w:rPr>
        <w:t>en</w:t>
      </w:r>
      <w:r w:rsidR="007A774E" w:rsidRPr="00731644">
        <w:rPr>
          <w:lang w:val="fr-CH"/>
        </w:rPr>
        <w:t xml:space="preserve"> 2006 (F.S., R.S.)</w:t>
      </w:r>
      <w:r w:rsidR="00F31DD5" w:rsidRPr="00731644">
        <w:rPr>
          <w:lang w:val="fr-CH"/>
        </w:rPr>
        <w:t>;</w:t>
      </w:r>
      <w:r w:rsidR="007A774E" w:rsidRPr="00731644">
        <w:rPr>
          <w:lang w:val="fr-CH"/>
        </w:rPr>
        <w:t xml:space="preserve"> </w:t>
      </w:r>
      <w:r w:rsidR="009719E4" w:rsidRPr="00731644">
        <w:rPr>
          <w:lang w:val="fr-CH"/>
        </w:rPr>
        <w:t>dans l</w:t>
      </w:r>
      <w:r w:rsidR="00425386" w:rsidRPr="00731644">
        <w:rPr>
          <w:lang w:val="fr-CH"/>
        </w:rPr>
        <w:t>’</w:t>
      </w:r>
      <w:r w:rsidR="009719E4" w:rsidRPr="00731644">
        <w:rPr>
          <w:lang w:val="fr-CH"/>
        </w:rPr>
        <w:t xml:space="preserve">opération </w:t>
      </w:r>
      <w:r w:rsidR="002061AB">
        <w:rPr>
          <w:lang w:val="fr-CH"/>
        </w:rPr>
        <w:t>«</w:t>
      </w:r>
      <w:r w:rsidR="009719E4" w:rsidRPr="00731644">
        <w:rPr>
          <w:lang w:val="fr-CH"/>
        </w:rPr>
        <w:t>Le vol de l</w:t>
      </w:r>
      <w:r w:rsidR="00425386" w:rsidRPr="00731644">
        <w:rPr>
          <w:lang w:val="fr-CH"/>
        </w:rPr>
        <w:t>’</w:t>
      </w:r>
      <w:r w:rsidR="009719E4" w:rsidRPr="00731644">
        <w:rPr>
          <w:lang w:val="fr-CH"/>
        </w:rPr>
        <w:t>aigle</w:t>
      </w:r>
      <w:r w:rsidR="002061AB">
        <w:rPr>
          <w:lang w:val="fr-CH"/>
        </w:rPr>
        <w:t>»</w:t>
      </w:r>
      <w:r w:rsidR="009719E4" w:rsidRPr="00731644">
        <w:rPr>
          <w:lang w:val="fr-CH"/>
        </w:rPr>
        <w:t xml:space="preserve"> menée par la police contre un certain nombre de nationaux</w:t>
      </w:r>
      <w:r w:rsidR="00F31DD5" w:rsidRPr="00731644">
        <w:rPr>
          <w:lang w:val="fr-CH"/>
        </w:rPr>
        <w:t xml:space="preserve"> </w:t>
      </w:r>
      <w:r w:rsidR="009719E4" w:rsidRPr="00731644">
        <w:rPr>
          <w:lang w:val="fr-CH"/>
        </w:rPr>
        <w:t>albanais en</w:t>
      </w:r>
      <w:r w:rsidR="007A774E" w:rsidRPr="00731644">
        <w:rPr>
          <w:lang w:val="fr-CH"/>
        </w:rPr>
        <w:t xml:space="preserve"> 2006</w:t>
      </w:r>
      <w:r w:rsidR="00F31DD5" w:rsidRPr="00731644">
        <w:rPr>
          <w:lang w:val="fr-CH"/>
        </w:rPr>
        <w:t>;</w:t>
      </w:r>
      <w:r w:rsidR="007A774E" w:rsidRPr="00731644">
        <w:rPr>
          <w:lang w:val="fr-CH"/>
        </w:rPr>
        <w:t xml:space="preserve"> </w:t>
      </w:r>
      <w:r w:rsidR="009719E4" w:rsidRPr="00731644">
        <w:rPr>
          <w:lang w:val="fr-CH"/>
        </w:rPr>
        <w:t>dans le cas des citoyens</w:t>
      </w:r>
      <w:r w:rsidR="007A774E" w:rsidRPr="00731644">
        <w:rPr>
          <w:lang w:val="fr-CH"/>
        </w:rPr>
        <w:t xml:space="preserve"> M.I., L.S., A.N. </w:t>
      </w:r>
      <w:r w:rsidR="009719E4" w:rsidRPr="00731644">
        <w:rPr>
          <w:lang w:val="fr-CH"/>
        </w:rPr>
        <w:t>et</w:t>
      </w:r>
      <w:r w:rsidR="007A774E" w:rsidRPr="00731644">
        <w:rPr>
          <w:lang w:val="fr-CH"/>
        </w:rPr>
        <w:t xml:space="preserve"> E.N. </w:t>
      </w:r>
      <w:r w:rsidR="009719E4" w:rsidRPr="00731644">
        <w:rPr>
          <w:lang w:val="fr-CH"/>
        </w:rPr>
        <w:t xml:space="preserve">du Kosovo, en </w:t>
      </w:r>
      <w:r w:rsidR="00731644">
        <w:rPr>
          <w:lang w:val="fr-CH"/>
        </w:rPr>
        <w:t>2007-20</w:t>
      </w:r>
      <w:r w:rsidR="007A774E" w:rsidRPr="00731644">
        <w:rPr>
          <w:lang w:val="fr-CH"/>
        </w:rPr>
        <w:t>08</w:t>
      </w:r>
      <w:r w:rsidR="00F31DD5" w:rsidRPr="00731644">
        <w:rPr>
          <w:lang w:val="fr-CH"/>
        </w:rPr>
        <w:t>;</w:t>
      </w:r>
      <w:r w:rsidR="007A774E" w:rsidRPr="00731644">
        <w:rPr>
          <w:lang w:val="fr-CH"/>
        </w:rPr>
        <w:t xml:space="preserve"> </w:t>
      </w:r>
      <w:r w:rsidR="009719E4" w:rsidRPr="00731644">
        <w:rPr>
          <w:lang w:val="fr-CH"/>
        </w:rPr>
        <w:t xml:space="preserve">enfin, dans le cas des citoyens </w:t>
      </w:r>
      <w:r w:rsidR="007A774E" w:rsidRPr="00731644">
        <w:rPr>
          <w:lang w:val="fr-CH"/>
        </w:rPr>
        <w:t xml:space="preserve">Z.V., Z.V. </w:t>
      </w:r>
      <w:r w:rsidR="009719E4" w:rsidRPr="00731644">
        <w:rPr>
          <w:lang w:val="fr-CH"/>
        </w:rPr>
        <w:t>et</w:t>
      </w:r>
      <w:r w:rsidR="007A774E" w:rsidRPr="00731644">
        <w:rPr>
          <w:lang w:val="fr-CH"/>
        </w:rPr>
        <w:t xml:space="preserve"> N.P. </w:t>
      </w:r>
      <w:r w:rsidR="009719E4" w:rsidRPr="00731644">
        <w:rPr>
          <w:lang w:val="fr-CH"/>
        </w:rPr>
        <w:t>de</w:t>
      </w:r>
      <w:r w:rsidR="007A774E" w:rsidRPr="00731644">
        <w:rPr>
          <w:lang w:val="fr-CH"/>
        </w:rPr>
        <w:t xml:space="preserve"> Berane </w:t>
      </w:r>
      <w:r w:rsidR="009719E4" w:rsidRPr="00731644">
        <w:rPr>
          <w:lang w:val="fr-CH"/>
        </w:rPr>
        <w:t>au cou</w:t>
      </w:r>
      <w:r w:rsidR="00AE7A54" w:rsidRPr="00731644">
        <w:rPr>
          <w:lang w:val="fr-CH"/>
        </w:rPr>
        <w:t>r</w:t>
      </w:r>
      <w:r w:rsidR="009719E4" w:rsidRPr="00731644">
        <w:rPr>
          <w:lang w:val="fr-CH"/>
        </w:rPr>
        <w:t>s d</w:t>
      </w:r>
      <w:r w:rsidR="00425386" w:rsidRPr="00731644">
        <w:rPr>
          <w:lang w:val="fr-CH"/>
        </w:rPr>
        <w:t>’</w:t>
      </w:r>
      <w:r w:rsidR="009719E4" w:rsidRPr="00731644">
        <w:rPr>
          <w:lang w:val="fr-CH"/>
        </w:rPr>
        <w:t xml:space="preserve">événements survenus en </w:t>
      </w:r>
      <w:r w:rsidR="007A774E" w:rsidRPr="00731644">
        <w:rPr>
          <w:lang w:val="fr-CH"/>
        </w:rPr>
        <w:t xml:space="preserve">2007. </w:t>
      </w:r>
      <w:r w:rsidR="009719E4" w:rsidRPr="00731644">
        <w:rPr>
          <w:lang w:val="fr-CH"/>
        </w:rPr>
        <w:t>Dans tout</w:t>
      </w:r>
      <w:r w:rsidR="00882D64" w:rsidRPr="00731644">
        <w:rPr>
          <w:lang w:val="fr-CH"/>
        </w:rPr>
        <w:t>e</w:t>
      </w:r>
      <w:r w:rsidR="009719E4" w:rsidRPr="00731644">
        <w:rPr>
          <w:lang w:val="fr-CH"/>
        </w:rPr>
        <w:t>s ces affaires, des agents de police ont été l</w:t>
      </w:r>
      <w:r w:rsidR="00425386" w:rsidRPr="00731644">
        <w:rPr>
          <w:lang w:val="fr-CH"/>
        </w:rPr>
        <w:t>’</w:t>
      </w:r>
      <w:r w:rsidR="009719E4" w:rsidRPr="00731644">
        <w:rPr>
          <w:lang w:val="fr-CH"/>
        </w:rPr>
        <w:t>objet d</w:t>
      </w:r>
      <w:r w:rsidR="00425386" w:rsidRPr="00731644">
        <w:rPr>
          <w:lang w:val="fr-CH"/>
        </w:rPr>
        <w:t>’</w:t>
      </w:r>
      <w:r w:rsidR="00AE7A54" w:rsidRPr="00731644">
        <w:rPr>
          <w:lang w:val="fr-CH"/>
        </w:rPr>
        <w:t>actions</w:t>
      </w:r>
      <w:r w:rsidR="009719E4" w:rsidRPr="00731644">
        <w:rPr>
          <w:lang w:val="fr-CH"/>
        </w:rPr>
        <w:t xml:space="preserve"> disciplinaires</w:t>
      </w:r>
      <w:r w:rsidR="00731644">
        <w:rPr>
          <w:lang w:val="fr-CH"/>
        </w:rPr>
        <w:t xml:space="preserve"> </w:t>
      </w:r>
      <w:r w:rsidR="009719E4" w:rsidRPr="00731644">
        <w:rPr>
          <w:lang w:val="fr-CH"/>
        </w:rPr>
        <w:t xml:space="preserve">ou pénales selon leur degré de responsabilité. </w:t>
      </w:r>
    </w:p>
    <w:p w:rsidR="007A774E" w:rsidRPr="00731644" w:rsidRDefault="0005778B" w:rsidP="00D123BB">
      <w:pPr>
        <w:pStyle w:val="SingleTxtG"/>
        <w:rPr>
          <w:lang w:val="fr-CH"/>
        </w:rPr>
      </w:pPr>
      <w:r w:rsidRPr="00731644">
        <w:rPr>
          <w:lang w:val="fr-CH"/>
        </w:rPr>
        <w:t>82.</w:t>
      </w:r>
      <w:r w:rsidRPr="00731644">
        <w:rPr>
          <w:lang w:val="fr-CH"/>
        </w:rPr>
        <w:tab/>
      </w:r>
      <w:r w:rsidR="009719E4" w:rsidRPr="00731644">
        <w:rPr>
          <w:lang w:val="fr-CH"/>
        </w:rPr>
        <w:t xml:space="preserve">En 2009/2010, le Conseil </w:t>
      </w:r>
      <w:r w:rsidR="00882D64" w:rsidRPr="00731644">
        <w:rPr>
          <w:lang w:val="fr-CH"/>
        </w:rPr>
        <w:t xml:space="preserve">de contrôle civil du travail de la police </w:t>
      </w:r>
      <w:r w:rsidR="009719E4" w:rsidRPr="00731644">
        <w:rPr>
          <w:lang w:val="fr-CH"/>
        </w:rPr>
        <w:t xml:space="preserve">a eu à connaître de plusieurs autres affaires, dont deux </w:t>
      </w:r>
      <w:r w:rsidR="00B35773" w:rsidRPr="00731644">
        <w:rPr>
          <w:lang w:val="fr-CH"/>
        </w:rPr>
        <w:t>se signalent plus particulièrement à l</w:t>
      </w:r>
      <w:r w:rsidR="00425386" w:rsidRPr="00731644">
        <w:rPr>
          <w:lang w:val="fr-CH"/>
        </w:rPr>
        <w:t>’</w:t>
      </w:r>
      <w:r w:rsidR="00B35773" w:rsidRPr="00731644">
        <w:rPr>
          <w:lang w:val="fr-CH"/>
        </w:rPr>
        <w:t>attention. L</w:t>
      </w:r>
      <w:r w:rsidR="00425386" w:rsidRPr="00731644">
        <w:rPr>
          <w:lang w:val="fr-CH"/>
        </w:rPr>
        <w:t>’</w:t>
      </w:r>
      <w:r w:rsidR="00B35773" w:rsidRPr="00731644">
        <w:rPr>
          <w:lang w:val="fr-CH"/>
        </w:rPr>
        <w:t>une d</w:t>
      </w:r>
      <w:r w:rsidR="00425386" w:rsidRPr="00731644">
        <w:rPr>
          <w:lang w:val="fr-CH"/>
        </w:rPr>
        <w:t>’</w:t>
      </w:r>
      <w:r w:rsidR="00B35773" w:rsidRPr="00731644">
        <w:rPr>
          <w:lang w:val="fr-CH"/>
        </w:rPr>
        <w:t xml:space="preserve">elles est en </w:t>
      </w:r>
      <w:r w:rsidR="00AE7A54" w:rsidRPr="00731644">
        <w:rPr>
          <w:lang w:val="fr-CH"/>
        </w:rPr>
        <w:t>rapport</w:t>
      </w:r>
      <w:r w:rsidR="00B35773" w:rsidRPr="00731644">
        <w:rPr>
          <w:lang w:val="fr-CH"/>
        </w:rPr>
        <w:t xml:space="preserve"> avec les recommandations formulées par le Comité au </w:t>
      </w:r>
      <w:r w:rsidR="00CB7658" w:rsidRPr="00731644">
        <w:rPr>
          <w:lang w:val="fr-CH"/>
        </w:rPr>
        <w:t>paragraphe </w:t>
      </w:r>
      <w:r w:rsidR="00AE7A54" w:rsidRPr="00731644">
        <w:rPr>
          <w:lang w:val="fr-CH"/>
        </w:rPr>
        <w:t>18 de ses observations finales</w:t>
      </w:r>
      <w:r w:rsidR="00B35773" w:rsidRPr="00731644">
        <w:rPr>
          <w:lang w:val="fr-CH"/>
        </w:rPr>
        <w:t>. D</w:t>
      </w:r>
      <w:r w:rsidR="00425386" w:rsidRPr="00731644">
        <w:rPr>
          <w:lang w:val="fr-CH"/>
        </w:rPr>
        <w:t>’</w:t>
      </w:r>
      <w:r w:rsidR="00B35773" w:rsidRPr="00731644">
        <w:rPr>
          <w:lang w:val="fr-CH"/>
        </w:rPr>
        <w:t>après les con</w:t>
      </w:r>
      <w:r w:rsidR="00AE7A54" w:rsidRPr="00731644">
        <w:rPr>
          <w:lang w:val="fr-CH"/>
        </w:rPr>
        <w:t>clusi</w:t>
      </w:r>
      <w:r w:rsidR="00B35773" w:rsidRPr="00731644">
        <w:rPr>
          <w:lang w:val="fr-CH"/>
        </w:rPr>
        <w:t>ons du Conseil, sont impliqués dans cette affaire des délinquants surpris en flagrant délit tandis qu</w:t>
      </w:r>
      <w:r w:rsidR="00425386" w:rsidRPr="00731644">
        <w:rPr>
          <w:lang w:val="fr-CH"/>
        </w:rPr>
        <w:t>’</w:t>
      </w:r>
      <w:r w:rsidR="00B35773" w:rsidRPr="00731644">
        <w:rPr>
          <w:lang w:val="fr-CH"/>
        </w:rPr>
        <w:t>ils tentaient de voler des pièces d</w:t>
      </w:r>
      <w:r w:rsidR="00425386" w:rsidRPr="00731644">
        <w:rPr>
          <w:lang w:val="fr-CH"/>
        </w:rPr>
        <w:t>’</w:t>
      </w:r>
      <w:r w:rsidR="00B35773" w:rsidRPr="00731644">
        <w:rPr>
          <w:lang w:val="fr-CH"/>
        </w:rPr>
        <w:t xml:space="preserve">un </w:t>
      </w:r>
      <w:r w:rsidR="00ED3E7E" w:rsidRPr="00731644">
        <w:rPr>
          <w:lang w:val="fr-CH"/>
        </w:rPr>
        <w:t>wagon de marchandises</w:t>
      </w:r>
      <w:r w:rsidR="00882D64" w:rsidRPr="00731644">
        <w:rPr>
          <w:lang w:val="fr-CH"/>
        </w:rPr>
        <w:t>,</w:t>
      </w:r>
      <w:r w:rsidR="00B35773" w:rsidRPr="00731644">
        <w:rPr>
          <w:lang w:val="fr-CH"/>
        </w:rPr>
        <w:t xml:space="preserve"> qui ont été retenus sur place par des habitants jusqu</w:t>
      </w:r>
      <w:r w:rsidR="00425386" w:rsidRPr="00731644">
        <w:rPr>
          <w:lang w:val="fr-CH"/>
        </w:rPr>
        <w:t>’</w:t>
      </w:r>
      <w:r w:rsidR="00B35773" w:rsidRPr="00731644">
        <w:rPr>
          <w:lang w:val="fr-CH"/>
        </w:rPr>
        <w:t>à l</w:t>
      </w:r>
      <w:r w:rsidR="00425386" w:rsidRPr="00731644">
        <w:rPr>
          <w:lang w:val="fr-CH"/>
        </w:rPr>
        <w:t>’</w:t>
      </w:r>
      <w:r w:rsidR="00B35773" w:rsidRPr="00731644">
        <w:rPr>
          <w:lang w:val="fr-CH"/>
        </w:rPr>
        <w:t>arrivée de la police</w:t>
      </w:r>
      <w:r w:rsidR="007A774E" w:rsidRPr="00731644">
        <w:rPr>
          <w:lang w:val="fr-CH"/>
        </w:rPr>
        <w:t>.</w:t>
      </w:r>
      <w:r w:rsidR="00B35773" w:rsidRPr="00731644">
        <w:rPr>
          <w:lang w:val="fr-CH"/>
        </w:rPr>
        <w:t xml:space="preserve"> </w:t>
      </w:r>
      <w:r w:rsidR="00ED3E7E" w:rsidRPr="00731644">
        <w:rPr>
          <w:lang w:val="fr-CH"/>
        </w:rPr>
        <w:t>Selon</w:t>
      </w:r>
      <w:r w:rsidR="00B35773" w:rsidRPr="00731644">
        <w:rPr>
          <w:lang w:val="fr-CH"/>
        </w:rPr>
        <w:t xml:space="preserve"> les renseignements recueillis, </w:t>
      </w:r>
      <w:r w:rsidR="00B569C5" w:rsidRPr="00731644">
        <w:rPr>
          <w:lang w:val="fr-CH"/>
        </w:rPr>
        <w:t>ces personnes</w:t>
      </w:r>
      <w:r w:rsidR="00B35773" w:rsidRPr="00731644">
        <w:rPr>
          <w:lang w:val="fr-CH"/>
        </w:rPr>
        <w:t xml:space="preserve"> ne présentaient aucune trace de blessures</w:t>
      </w:r>
      <w:r w:rsidR="00F31DD5" w:rsidRPr="00731644">
        <w:rPr>
          <w:lang w:val="fr-CH"/>
        </w:rPr>
        <w:t xml:space="preserve"> </w:t>
      </w:r>
      <w:r w:rsidR="00500C62" w:rsidRPr="00731644">
        <w:rPr>
          <w:lang w:val="fr-CH"/>
        </w:rPr>
        <w:t>de nature à incriminer</w:t>
      </w:r>
      <w:r w:rsidR="00B35773" w:rsidRPr="00731644">
        <w:rPr>
          <w:lang w:val="fr-CH"/>
        </w:rPr>
        <w:t xml:space="preserve"> les habitants qui les avaient retenus, et l</w:t>
      </w:r>
      <w:r w:rsidR="00425386" w:rsidRPr="00731644">
        <w:rPr>
          <w:lang w:val="fr-CH"/>
        </w:rPr>
        <w:t>’</w:t>
      </w:r>
      <w:r w:rsidR="00B35773" w:rsidRPr="00731644">
        <w:rPr>
          <w:lang w:val="fr-CH"/>
        </w:rPr>
        <w:t>état des prétendues victimes de tortures (vêtements mouillés et boueux)</w:t>
      </w:r>
      <w:r w:rsidR="00F31DD5" w:rsidRPr="00731644">
        <w:rPr>
          <w:lang w:val="fr-CH"/>
        </w:rPr>
        <w:t xml:space="preserve"> </w:t>
      </w:r>
      <w:r w:rsidR="00ED3E7E" w:rsidRPr="00731644">
        <w:rPr>
          <w:lang w:val="fr-CH"/>
        </w:rPr>
        <w:t>était dû</w:t>
      </w:r>
      <w:r w:rsidR="00F63E1A" w:rsidRPr="00731644">
        <w:rPr>
          <w:lang w:val="fr-CH"/>
        </w:rPr>
        <w:t xml:space="preserve"> aux conditions </w:t>
      </w:r>
      <w:r w:rsidR="00ED3E7E" w:rsidRPr="00731644">
        <w:rPr>
          <w:lang w:val="fr-CH"/>
        </w:rPr>
        <w:t>météorologiques</w:t>
      </w:r>
      <w:r w:rsidR="00F63E1A" w:rsidRPr="00731644">
        <w:rPr>
          <w:lang w:val="fr-CH"/>
        </w:rPr>
        <w:t xml:space="preserve"> qui régnaient la nuit</w:t>
      </w:r>
      <w:r w:rsidR="00500C62" w:rsidRPr="00731644">
        <w:rPr>
          <w:lang w:val="fr-CH"/>
        </w:rPr>
        <w:t xml:space="preserve"> </w:t>
      </w:r>
      <w:r w:rsidR="00F63E1A" w:rsidRPr="00731644">
        <w:rPr>
          <w:lang w:val="fr-CH"/>
        </w:rPr>
        <w:t>de</w:t>
      </w:r>
      <w:r w:rsidR="004B7DF4" w:rsidRPr="00731644">
        <w:rPr>
          <w:lang w:val="fr-CH"/>
        </w:rPr>
        <w:t>s</w:t>
      </w:r>
      <w:r w:rsidR="00F63E1A" w:rsidRPr="00731644">
        <w:rPr>
          <w:lang w:val="fr-CH"/>
        </w:rPr>
        <w:t xml:space="preserve"> événements (</w:t>
      </w:r>
      <w:r w:rsidR="004B7DF4" w:rsidRPr="00731644">
        <w:rPr>
          <w:lang w:val="fr-CH"/>
        </w:rPr>
        <w:t>il pleuvait</w:t>
      </w:r>
      <w:r w:rsidR="00F63E1A" w:rsidRPr="00731644">
        <w:rPr>
          <w:lang w:val="fr-CH"/>
        </w:rPr>
        <w:t>)</w:t>
      </w:r>
      <w:r w:rsidR="007A774E" w:rsidRPr="00731644">
        <w:rPr>
          <w:lang w:val="fr-CH"/>
        </w:rPr>
        <w:t xml:space="preserve">. </w:t>
      </w:r>
      <w:r w:rsidR="00F63E1A" w:rsidRPr="00731644">
        <w:rPr>
          <w:lang w:val="fr-CH"/>
        </w:rPr>
        <w:t>En l</w:t>
      </w:r>
      <w:r w:rsidR="00425386" w:rsidRPr="00731644">
        <w:rPr>
          <w:lang w:val="fr-CH"/>
        </w:rPr>
        <w:t>’</w:t>
      </w:r>
      <w:r w:rsidR="00F63E1A" w:rsidRPr="00731644">
        <w:rPr>
          <w:lang w:val="fr-CH"/>
        </w:rPr>
        <w:t xml:space="preserve">absence de preuves directes ou indirectes des tortures alléguées, </w:t>
      </w:r>
      <w:r w:rsidR="004B7DF4" w:rsidRPr="00731644">
        <w:rPr>
          <w:lang w:val="fr-CH"/>
        </w:rPr>
        <w:t>les conditions requises pour que le</w:t>
      </w:r>
      <w:r w:rsidR="00F63E1A" w:rsidRPr="00731644">
        <w:rPr>
          <w:lang w:val="fr-CH"/>
        </w:rPr>
        <w:t xml:space="preserve"> Conseil </w:t>
      </w:r>
      <w:r w:rsidR="004B7DF4" w:rsidRPr="00731644">
        <w:rPr>
          <w:lang w:val="fr-CH"/>
        </w:rPr>
        <w:t>puisse entamer une procédure n</w:t>
      </w:r>
      <w:r w:rsidR="00425386" w:rsidRPr="00731644">
        <w:rPr>
          <w:lang w:val="fr-CH"/>
        </w:rPr>
        <w:t>’</w:t>
      </w:r>
      <w:r w:rsidR="00A66512" w:rsidRPr="00731644">
        <w:rPr>
          <w:lang w:val="fr-CH"/>
        </w:rPr>
        <w:t>étaient</w:t>
      </w:r>
      <w:r w:rsidR="004B7DF4" w:rsidRPr="00731644">
        <w:rPr>
          <w:lang w:val="fr-CH"/>
        </w:rPr>
        <w:t xml:space="preserve"> pas réunies. </w:t>
      </w:r>
    </w:p>
    <w:p w:rsidR="007A774E" w:rsidRPr="00731644" w:rsidRDefault="0005778B" w:rsidP="007A774E">
      <w:pPr>
        <w:pStyle w:val="SingleTxtG"/>
        <w:rPr>
          <w:lang w:val="fr-CH"/>
        </w:rPr>
      </w:pPr>
      <w:r w:rsidRPr="00731644">
        <w:rPr>
          <w:lang w:val="fr-CH"/>
        </w:rPr>
        <w:t>83.</w:t>
      </w:r>
      <w:r w:rsidRPr="00731644">
        <w:rPr>
          <w:lang w:val="fr-CH"/>
        </w:rPr>
        <w:tab/>
      </w:r>
      <w:r w:rsidR="004B7DF4" w:rsidRPr="00731644">
        <w:rPr>
          <w:lang w:val="fr-CH"/>
        </w:rPr>
        <w:t xml:space="preserve">Dans la seconde affaire, </w:t>
      </w:r>
      <w:r w:rsidR="00DD5699" w:rsidRPr="00731644">
        <w:rPr>
          <w:lang w:val="fr-CH"/>
        </w:rPr>
        <w:t xml:space="preserve">des éléments dénotaient </w:t>
      </w:r>
      <w:r w:rsidR="004B7DF4" w:rsidRPr="00731644">
        <w:rPr>
          <w:lang w:val="fr-CH"/>
        </w:rPr>
        <w:t>u</w:t>
      </w:r>
      <w:r w:rsidR="00DD5699" w:rsidRPr="00731644">
        <w:rPr>
          <w:lang w:val="fr-CH"/>
        </w:rPr>
        <w:t>n abus de pouvoir de la police vi</w:t>
      </w:r>
      <w:r w:rsidR="004B7DF4" w:rsidRPr="00731644">
        <w:rPr>
          <w:lang w:val="fr-CH"/>
        </w:rPr>
        <w:t>s-à-vis d</w:t>
      </w:r>
      <w:r w:rsidR="00425386" w:rsidRPr="00731644">
        <w:rPr>
          <w:lang w:val="fr-CH"/>
        </w:rPr>
        <w:t>’</w:t>
      </w:r>
      <w:r w:rsidR="004B7DF4" w:rsidRPr="00731644">
        <w:rPr>
          <w:lang w:val="fr-CH"/>
        </w:rPr>
        <w:t xml:space="preserve">une des trois victimes alléguées </w:t>
      </w:r>
      <w:r w:rsidR="007A774E" w:rsidRPr="00731644">
        <w:rPr>
          <w:lang w:val="fr-CH"/>
        </w:rPr>
        <w:t xml:space="preserve">(A.S., K.S. </w:t>
      </w:r>
      <w:r w:rsidR="004B7DF4" w:rsidRPr="00731644">
        <w:rPr>
          <w:lang w:val="fr-CH"/>
        </w:rPr>
        <w:t>et</w:t>
      </w:r>
      <w:r w:rsidR="007A774E" w:rsidRPr="00731644">
        <w:rPr>
          <w:lang w:val="fr-CH"/>
        </w:rPr>
        <w:t xml:space="preserve"> LJ.S.), </w:t>
      </w:r>
      <w:r w:rsidR="00DD5699" w:rsidRPr="00731644">
        <w:rPr>
          <w:lang w:val="fr-CH"/>
        </w:rPr>
        <w:t>comme l</w:t>
      </w:r>
      <w:r w:rsidR="00425386" w:rsidRPr="00731644">
        <w:rPr>
          <w:lang w:val="fr-CH"/>
        </w:rPr>
        <w:t>’</w:t>
      </w:r>
      <w:r w:rsidR="00DD5699" w:rsidRPr="00731644">
        <w:rPr>
          <w:lang w:val="fr-CH"/>
        </w:rPr>
        <w:t>indique</w:t>
      </w:r>
      <w:r w:rsidR="00F31DD5" w:rsidRPr="00731644">
        <w:rPr>
          <w:lang w:val="fr-CH"/>
        </w:rPr>
        <w:t xml:space="preserve"> </w:t>
      </w:r>
      <w:r w:rsidR="00DD5699" w:rsidRPr="00731644">
        <w:rPr>
          <w:lang w:val="fr-CH"/>
        </w:rPr>
        <w:t>clairement le Conseil dans ses conclusions, où il décrit</w:t>
      </w:r>
      <w:r w:rsidR="00F31DD5" w:rsidRPr="00731644">
        <w:rPr>
          <w:lang w:val="fr-CH"/>
        </w:rPr>
        <w:t xml:space="preserve"> </w:t>
      </w:r>
      <w:r w:rsidR="00DD5699" w:rsidRPr="00731644">
        <w:rPr>
          <w:lang w:val="fr-CH"/>
        </w:rPr>
        <w:t>la cause première des blessures présentées par une personne de nationalité rom</w:t>
      </w:r>
      <w:r w:rsidR="007A774E" w:rsidRPr="00731644">
        <w:rPr>
          <w:lang w:val="fr-CH"/>
        </w:rPr>
        <w:t xml:space="preserve">. </w:t>
      </w:r>
      <w:r w:rsidR="00DD5699" w:rsidRPr="00731644">
        <w:rPr>
          <w:lang w:val="fr-CH"/>
        </w:rPr>
        <w:t xml:space="preserve">La difficulté tient au fait que </w:t>
      </w:r>
      <w:r w:rsidR="00B569C5" w:rsidRPr="00731644">
        <w:rPr>
          <w:lang w:val="fr-CH"/>
        </w:rPr>
        <w:t>ces personnes</w:t>
      </w:r>
      <w:r w:rsidR="00DD5699" w:rsidRPr="00731644">
        <w:rPr>
          <w:lang w:val="fr-CH"/>
        </w:rPr>
        <w:t xml:space="preserve"> s</w:t>
      </w:r>
      <w:r w:rsidR="00425386" w:rsidRPr="00731644">
        <w:rPr>
          <w:lang w:val="fr-CH"/>
        </w:rPr>
        <w:t>’</w:t>
      </w:r>
      <w:r w:rsidR="00DD5699" w:rsidRPr="00731644">
        <w:rPr>
          <w:lang w:val="fr-CH"/>
        </w:rPr>
        <w:t>étaient battues entre elles auparavant (ce qui n</w:t>
      </w:r>
      <w:r w:rsidR="00425386" w:rsidRPr="00731644">
        <w:rPr>
          <w:lang w:val="fr-CH"/>
        </w:rPr>
        <w:t>’</w:t>
      </w:r>
      <w:r w:rsidR="00DD5699" w:rsidRPr="00731644">
        <w:rPr>
          <w:lang w:val="fr-CH"/>
        </w:rPr>
        <w:t>est</w:t>
      </w:r>
      <w:r w:rsidR="00F31DD5" w:rsidRPr="00731644">
        <w:rPr>
          <w:lang w:val="fr-CH"/>
        </w:rPr>
        <w:t xml:space="preserve"> </w:t>
      </w:r>
      <w:r w:rsidR="00DD5699" w:rsidRPr="00731644">
        <w:rPr>
          <w:lang w:val="fr-CH"/>
        </w:rPr>
        <w:t>pas contesté), qu</w:t>
      </w:r>
      <w:r w:rsidR="00425386" w:rsidRPr="00731644">
        <w:rPr>
          <w:lang w:val="fr-CH"/>
        </w:rPr>
        <w:t>’</w:t>
      </w:r>
      <w:r w:rsidR="00DD5699" w:rsidRPr="00731644">
        <w:rPr>
          <w:lang w:val="fr-CH"/>
        </w:rPr>
        <w:t xml:space="preserve">elles avaient attaqué une patrouille de police </w:t>
      </w:r>
      <w:r w:rsidR="007A774E" w:rsidRPr="00731644">
        <w:rPr>
          <w:lang w:val="fr-CH"/>
        </w:rPr>
        <w:t>(</w:t>
      </w:r>
      <w:r w:rsidR="00DD5699" w:rsidRPr="00731644">
        <w:rPr>
          <w:lang w:val="fr-CH"/>
        </w:rPr>
        <w:t>ce qui a également été constaté au cours de la procédure</w:t>
      </w:r>
      <w:r w:rsidR="001072B3" w:rsidRPr="00731644">
        <w:rPr>
          <w:lang w:val="fr-CH"/>
        </w:rPr>
        <w:t xml:space="preserve"> ultérieure</w:t>
      </w:r>
      <w:r w:rsidR="00DD5699" w:rsidRPr="00731644">
        <w:rPr>
          <w:lang w:val="fr-CH"/>
        </w:rPr>
        <w:t>) et qu</w:t>
      </w:r>
      <w:r w:rsidR="00425386" w:rsidRPr="00731644">
        <w:rPr>
          <w:lang w:val="fr-CH"/>
        </w:rPr>
        <w:t>’</w:t>
      </w:r>
      <w:r w:rsidR="00DD5699" w:rsidRPr="00731644">
        <w:rPr>
          <w:lang w:val="fr-CH"/>
        </w:rPr>
        <w:t>elles ont saisi</w:t>
      </w:r>
      <w:r w:rsidR="00F31DD5" w:rsidRPr="00731644">
        <w:rPr>
          <w:lang w:val="fr-CH"/>
        </w:rPr>
        <w:t xml:space="preserve"> </w:t>
      </w:r>
      <w:r w:rsidR="00DD5699" w:rsidRPr="00731644">
        <w:rPr>
          <w:lang w:val="fr-CH"/>
        </w:rPr>
        <w:t xml:space="preserve">le Conseil après </w:t>
      </w:r>
      <w:r w:rsidR="00500C62" w:rsidRPr="00731644">
        <w:rPr>
          <w:lang w:val="fr-CH"/>
        </w:rPr>
        <w:t>l</w:t>
      </w:r>
      <w:r w:rsidR="00425386" w:rsidRPr="00731644">
        <w:rPr>
          <w:lang w:val="fr-CH"/>
        </w:rPr>
        <w:t>’</w:t>
      </w:r>
      <w:r w:rsidR="00500C62" w:rsidRPr="00731644">
        <w:rPr>
          <w:lang w:val="fr-CH"/>
        </w:rPr>
        <w:t>ouverture de</w:t>
      </w:r>
      <w:r w:rsidR="00DD5699" w:rsidRPr="00731644">
        <w:rPr>
          <w:lang w:val="fr-CH"/>
        </w:rPr>
        <w:t xml:space="preserve"> poursuites pénales contre elles. De plus, le </w:t>
      </w:r>
      <w:r w:rsidR="00A66512" w:rsidRPr="00731644">
        <w:rPr>
          <w:lang w:val="fr-CH"/>
        </w:rPr>
        <w:t>procès-verbal</w:t>
      </w:r>
      <w:r w:rsidR="00DD5699" w:rsidRPr="00731644">
        <w:rPr>
          <w:lang w:val="fr-CH"/>
        </w:rPr>
        <w:t xml:space="preserve"> de l</w:t>
      </w:r>
      <w:r w:rsidR="00425386" w:rsidRPr="00731644">
        <w:rPr>
          <w:lang w:val="fr-CH"/>
        </w:rPr>
        <w:t>’</w:t>
      </w:r>
      <w:r w:rsidR="00DD5699" w:rsidRPr="00731644">
        <w:rPr>
          <w:lang w:val="fr-CH"/>
        </w:rPr>
        <w:t>interrogatoire qui s</w:t>
      </w:r>
      <w:r w:rsidR="00425386" w:rsidRPr="00731644">
        <w:rPr>
          <w:lang w:val="fr-CH"/>
        </w:rPr>
        <w:t>’</w:t>
      </w:r>
      <w:r w:rsidR="00DD5699" w:rsidRPr="00731644">
        <w:rPr>
          <w:lang w:val="fr-CH"/>
        </w:rPr>
        <w:t>est déroulé dans les locaux de la polic</w:t>
      </w:r>
      <w:r w:rsidR="00A66512" w:rsidRPr="00731644">
        <w:rPr>
          <w:lang w:val="fr-CH"/>
        </w:rPr>
        <w:t>e, document que les prévenus ont</w:t>
      </w:r>
      <w:r w:rsidR="00DD5699" w:rsidRPr="00731644">
        <w:rPr>
          <w:lang w:val="fr-CH"/>
        </w:rPr>
        <w:t xml:space="preserve"> signé </w:t>
      </w:r>
      <w:r w:rsidR="00D55C47" w:rsidRPr="00731644">
        <w:rPr>
          <w:lang w:val="fr-CH"/>
        </w:rPr>
        <w:t>de leur main</w:t>
      </w:r>
      <w:r w:rsidR="00DD5699" w:rsidRPr="00731644">
        <w:rPr>
          <w:lang w:val="fr-CH"/>
        </w:rPr>
        <w:t xml:space="preserve"> en présence de l</w:t>
      </w:r>
      <w:r w:rsidR="00D55C47" w:rsidRPr="00731644">
        <w:rPr>
          <w:lang w:val="fr-CH"/>
        </w:rPr>
        <w:t xml:space="preserve">eur avocat, exclut sans aucune ambiguïté tout usage </w:t>
      </w:r>
      <w:r w:rsidR="00A66512" w:rsidRPr="00731644">
        <w:rPr>
          <w:lang w:val="fr-CH"/>
        </w:rPr>
        <w:t>indu</w:t>
      </w:r>
      <w:r w:rsidR="00D55C47" w:rsidRPr="00731644">
        <w:rPr>
          <w:lang w:val="fr-CH"/>
        </w:rPr>
        <w:t xml:space="preserve"> de la force</w:t>
      </w:r>
      <w:r w:rsidR="00F31DD5" w:rsidRPr="00731644">
        <w:rPr>
          <w:lang w:val="fr-CH"/>
        </w:rPr>
        <w:t xml:space="preserve"> </w:t>
      </w:r>
      <w:r w:rsidR="00D55C47" w:rsidRPr="00731644">
        <w:rPr>
          <w:lang w:val="fr-CH"/>
        </w:rPr>
        <w:t>de la part des policiers. La même conclusion s</w:t>
      </w:r>
      <w:r w:rsidR="00425386" w:rsidRPr="00731644">
        <w:rPr>
          <w:lang w:val="fr-CH"/>
        </w:rPr>
        <w:t>’</w:t>
      </w:r>
      <w:r w:rsidR="00D55C47" w:rsidRPr="00731644">
        <w:rPr>
          <w:lang w:val="fr-CH"/>
        </w:rPr>
        <w:t>est dégagée des renseignements reçus de l</w:t>
      </w:r>
      <w:r w:rsidR="00425386" w:rsidRPr="00731644">
        <w:rPr>
          <w:lang w:val="fr-CH"/>
        </w:rPr>
        <w:t>’</w:t>
      </w:r>
      <w:r w:rsidR="00D55C47" w:rsidRPr="00731644">
        <w:rPr>
          <w:lang w:val="fr-CH"/>
        </w:rPr>
        <w:t>avocat à qui le Conseil avait demandé de faire une déclaration sur les circonstances de l</w:t>
      </w:r>
      <w:r w:rsidR="00425386" w:rsidRPr="00731644">
        <w:rPr>
          <w:lang w:val="fr-CH"/>
        </w:rPr>
        <w:t>’</w:t>
      </w:r>
      <w:r w:rsidR="00D55C47" w:rsidRPr="00731644">
        <w:rPr>
          <w:lang w:val="fr-CH"/>
        </w:rPr>
        <w:t>affaire</w:t>
      </w:r>
      <w:r w:rsidR="007A774E" w:rsidRPr="00731644">
        <w:rPr>
          <w:lang w:val="fr-CH"/>
        </w:rPr>
        <w:t>.</w:t>
      </w:r>
    </w:p>
    <w:p w:rsidR="007A774E" w:rsidRPr="00731644" w:rsidRDefault="00F3780F" w:rsidP="007A774E">
      <w:pPr>
        <w:pStyle w:val="SingleTxtG"/>
        <w:rPr>
          <w:lang w:val="fr-CH"/>
        </w:rPr>
      </w:pPr>
      <w:r w:rsidRPr="00731644">
        <w:rPr>
          <w:lang w:val="fr-CH"/>
        </w:rPr>
        <w:t>84.</w:t>
      </w:r>
      <w:r w:rsidRPr="00731644">
        <w:rPr>
          <w:lang w:val="fr-CH"/>
        </w:rPr>
        <w:tab/>
      </w:r>
      <w:r w:rsidR="004C5B55" w:rsidRPr="00731644">
        <w:rPr>
          <w:lang w:val="fr-CH"/>
        </w:rPr>
        <w:t xml:space="preserve">Néanmoins, le Conseil </w:t>
      </w:r>
      <w:r w:rsidR="00F05C8A" w:rsidRPr="00731644">
        <w:rPr>
          <w:lang w:val="fr-CH"/>
        </w:rPr>
        <w:t xml:space="preserve">du contrôle civil du travail de la police </w:t>
      </w:r>
      <w:r w:rsidR="004C5B55" w:rsidRPr="00731644">
        <w:rPr>
          <w:lang w:val="fr-CH"/>
        </w:rPr>
        <w:t xml:space="preserve">a, dans une </w:t>
      </w:r>
      <w:r w:rsidR="00A66512" w:rsidRPr="00731644">
        <w:rPr>
          <w:lang w:val="fr-CH"/>
        </w:rPr>
        <w:t>recommandation</w:t>
      </w:r>
      <w:r w:rsidR="004C5B55" w:rsidRPr="00731644">
        <w:rPr>
          <w:lang w:val="fr-CH"/>
        </w:rPr>
        <w:t xml:space="preserve"> adressée à la Direction de la police, demandé</w:t>
      </w:r>
      <w:r w:rsidR="00F31DD5" w:rsidRPr="00731644">
        <w:rPr>
          <w:lang w:val="fr-CH"/>
        </w:rPr>
        <w:t xml:space="preserve"> </w:t>
      </w:r>
      <w:r w:rsidR="004C5B55" w:rsidRPr="00731644">
        <w:rPr>
          <w:lang w:val="fr-CH"/>
        </w:rPr>
        <w:t xml:space="preserve">que les </w:t>
      </w:r>
      <w:r w:rsidR="00F05C8A" w:rsidRPr="00731644">
        <w:rPr>
          <w:lang w:val="fr-CH"/>
        </w:rPr>
        <w:t>forces de l</w:t>
      </w:r>
      <w:r w:rsidR="00425386" w:rsidRPr="00731644">
        <w:rPr>
          <w:lang w:val="fr-CH"/>
        </w:rPr>
        <w:t>’</w:t>
      </w:r>
      <w:r w:rsidR="00F05C8A" w:rsidRPr="00731644">
        <w:rPr>
          <w:lang w:val="fr-CH"/>
        </w:rPr>
        <w:t>ordre</w:t>
      </w:r>
      <w:r w:rsidR="004C5B55" w:rsidRPr="00731644">
        <w:rPr>
          <w:lang w:val="fr-CH"/>
        </w:rPr>
        <w:t xml:space="preserve"> prêtent une attention particulière et soient sensibilisés aux conditions dans lesquelles </w:t>
      </w:r>
      <w:r w:rsidR="00F05C8A" w:rsidRPr="00731644">
        <w:rPr>
          <w:lang w:val="fr-CH"/>
        </w:rPr>
        <w:t>elles</w:t>
      </w:r>
      <w:r w:rsidR="004C5B55" w:rsidRPr="00731644">
        <w:rPr>
          <w:lang w:val="fr-CH"/>
        </w:rPr>
        <w:t xml:space="preserve"> usent de </w:t>
      </w:r>
      <w:r w:rsidR="00A66512" w:rsidRPr="00731644">
        <w:rPr>
          <w:lang w:val="fr-CH"/>
        </w:rPr>
        <w:t>leurs pouvoirs</w:t>
      </w:r>
      <w:r w:rsidR="004C5B55" w:rsidRPr="00731644">
        <w:rPr>
          <w:lang w:val="fr-CH"/>
        </w:rPr>
        <w:t xml:space="preserve"> à l</w:t>
      </w:r>
      <w:r w:rsidR="00425386" w:rsidRPr="00731644">
        <w:rPr>
          <w:lang w:val="fr-CH"/>
        </w:rPr>
        <w:t>’</w:t>
      </w:r>
      <w:r w:rsidR="004C5B55" w:rsidRPr="00731644">
        <w:rPr>
          <w:lang w:val="fr-CH"/>
        </w:rPr>
        <w:t>égard de</w:t>
      </w:r>
      <w:r w:rsidR="001072B3" w:rsidRPr="00731644">
        <w:rPr>
          <w:lang w:val="fr-CH"/>
        </w:rPr>
        <w:t xml:space="preserve"> ce groupe particulièrement vulnérable de la société qu</w:t>
      </w:r>
      <w:r w:rsidR="00425386" w:rsidRPr="00731644">
        <w:rPr>
          <w:lang w:val="fr-CH"/>
        </w:rPr>
        <w:t>’</w:t>
      </w:r>
      <w:r w:rsidR="001072B3" w:rsidRPr="00731644">
        <w:rPr>
          <w:lang w:val="fr-CH"/>
        </w:rPr>
        <w:t>est la communauté rom</w:t>
      </w:r>
      <w:r w:rsidR="004C5B55" w:rsidRPr="00731644">
        <w:rPr>
          <w:lang w:val="fr-CH"/>
        </w:rPr>
        <w:t>.</w:t>
      </w:r>
      <w:r w:rsidR="00F31DD5" w:rsidRPr="00731644">
        <w:rPr>
          <w:lang w:val="fr-CH"/>
        </w:rPr>
        <w:t xml:space="preserve"> </w:t>
      </w:r>
    </w:p>
    <w:p w:rsidR="007A774E" w:rsidRPr="00731644" w:rsidRDefault="00F3780F" w:rsidP="00E72EC3">
      <w:pPr>
        <w:pStyle w:val="SingleTxtG"/>
        <w:rPr>
          <w:lang w:val="fr-CH"/>
        </w:rPr>
      </w:pPr>
      <w:r w:rsidRPr="00731644">
        <w:rPr>
          <w:lang w:val="fr-CH"/>
        </w:rPr>
        <w:t>85.</w:t>
      </w:r>
      <w:r w:rsidRPr="00731644">
        <w:rPr>
          <w:lang w:val="fr-CH"/>
        </w:rPr>
        <w:tab/>
      </w:r>
      <w:r w:rsidR="00F05C8A" w:rsidRPr="00731644">
        <w:rPr>
          <w:lang w:val="fr-CH"/>
        </w:rPr>
        <w:t>L</w:t>
      </w:r>
      <w:r w:rsidR="004C5B55" w:rsidRPr="00731644">
        <w:rPr>
          <w:lang w:val="fr-CH"/>
        </w:rPr>
        <w:t xml:space="preserve">es renseignements </w:t>
      </w:r>
      <w:r w:rsidR="00F05C8A" w:rsidRPr="00731644">
        <w:rPr>
          <w:lang w:val="fr-CH"/>
        </w:rPr>
        <w:t xml:space="preserve">qui précèdent </w:t>
      </w:r>
      <w:r w:rsidR="004C5B55" w:rsidRPr="00731644">
        <w:rPr>
          <w:lang w:val="fr-CH"/>
        </w:rPr>
        <w:t>montrent qu</w:t>
      </w:r>
      <w:r w:rsidR="00425386" w:rsidRPr="00731644">
        <w:rPr>
          <w:lang w:val="fr-CH"/>
        </w:rPr>
        <w:t>’</w:t>
      </w:r>
      <w:r w:rsidR="004C5B55" w:rsidRPr="00731644">
        <w:rPr>
          <w:lang w:val="fr-CH"/>
        </w:rPr>
        <w:t xml:space="preserve">il existe des mécanismes institutionnels de contrôle et des moyens de protéger efficacement les droits des citoyens contre une éventuelle discrimination, comme cela est recommandé au </w:t>
      </w:r>
      <w:r w:rsidR="00CB7658" w:rsidRPr="00731644">
        <w:rPr>
          <w:lang w:val="fr-CH"/>
        </w:rPr>
        <w:t>paragraphe </w:t>
      </w:r>
      <w:r w:rsidR="004C5B55" w:rsidRPr="00731644">
        <w:rPr>
          <w:lang w:val="fr-CH"/>
        </w:rPr>
        <w:t>18 déjà cité.</w:t>
      </w:r>
      <w:r w:rsidR="00F31DD5" w:rsidRPr="00731644">
        <w:rPr>
          <w:lang w:val="fr-CH"/>
        </w:rPr>
        <w:t xml:space="preserve"> </w:t>
      </w:r>
    </w:p>
    <w:p w:rsidR="00F3780F" w:rsidRPr="00731644" w:rsidRDefault="004C5B55" w:rsidP="00F3780F">
      <w:pPr>
        <w:pStyle w:val="HChG"/>
        <w:rPr>
          <w:lang w:val="fr-CH"/>
        </w:rPr>
      </w:pPr>
      <w:r w:rsidRPr="00731644">
        <w:rPr>
          <w:lang w:val="fr-CH"/>
        </w:rPr>
        <w:tab/>
      </w:r>
      <w:r w:rsidR="004934E1" w:rsidRPr="00731644">
        <w:rPr>
          <w:lang w:val="fr-CH"/>
        </w:rPr>
        <w:t>I</w:t>
      </w:r>
      <w:r w:rsidR="00CF112E" w:rsidRPr="00731644">
        <w:rPr>
          <w:lang w:val="fr-CH"/>
        </w:rPr>
        <w:t>II.</w:t>
      </w:r>
      <w:r w:rsidR="00F3780F" w:rsidRPr="00731644">
        <w:rPr>
          <w:lang w:val="fr-CH"/>
        </w:rPr>
        <w:tab/>
      </w:r>
      <w:r w:rsidR="00154F4C" w:rsidRPr="00731644">
        <w:rPr>
          <w:lang w:val="fr-CH"/>
        </w:rPr>
        <w:t>Le r</w:t>
      </w:r>
      <w:r w:rsidR="00F3780F" w:rsidRPr="00731644">
        <w:rPr>
          <w:lang w:val="fr-CH"/>
        </w:rPr>
        <w:t xml:space="preserve">espect </w:t>
      </w:r>
      <w:r w:rsidRPr="00731644">
        <w:rPr>
          <w:lang w:val="fr-CH"/>
        </w:rPr>
        <w:t xml:space="preserve">de </w:t>
      </w:r>
      <w:r w:rsidR="008C4348" w:rsidRPr="00731644">
        <w:rPr>
          <w:lang w:val="fr-CH"/>
        </w:rPr>
        <w:t>certains</w:t>
      </w:r>
      <w:r w:rsidR="001072B3" w:rsidRPr="00731644">
        <w:rPr>
          <w:lang w:val="fr-CH"/>
        </w:rPr>
        <w:t xml:space="preserve"> droits et</w:t>
      </w:r>
      <w:r w:rsidR="008C4348" w:rsidRPr="00731644">
        <w:rPr>
          <w:lang w:val="fr-CH"/>
        </w:rPr>
        <w:t xml:space="preserve"> </w:t>
      </w:r>
      <w:r w:rsidRPr="00731644">
        <w:rPr>
          <w:lang w:val="fr-CH"/>
        </w:rPr>
        <w:t xml:space="preserve">libertés </w:t>
      </w:r>
      <w:r w:rsidR="001072B3" w:rsidRPr="00731644">
        <w:rPr>
          <w:lang w:val="fr-CH"/>
        </w:rPr>
        <w:t>considéré</w:t>
      </w:r>
      <w:r w:rsidRPr="00731644">
        <w:rPr>
          <w:lang w:val="fr-CH"/>
        </w:rPr>
        <w:t xml:space="preserve"> </w:t>
      </w:r>
      <w:r w:rsidR="00866910" w:rsidRPr="00731644">
        <w:rPr>
          <w:lang w:val="fr-CH"/>
        </w:rPr>
        <w:t>dans la perspective de l</w:t>
      </w:r>
      <w:r w:rsidR="00425386" w:rsidRPr="00731644">
        <w:rPr>
          <w:lang w:val="fr-CH"/>
        </w:rPr>
        <w:t>’</w:t>
      </w:r>
      <w:r w:rsidR="00866910" w:rsidRPr="00731644">
        <w:rPr>
          <w:lang w:val="fr-CH"/>
        </w:rPr>
        <w:t xml:space="preserve">élimination de la </w:t>
      </w:r>
      <w:r w:rsidR="00F3780F" w:rsidRPr="00731644">
        <w:rPr>
          <w:lang w:val="fr-CH"/>
        </w:rPr>
        <w:t>discrimination</w:t>
      </w:r>
    </w:p>
    <w:p w:rsidR="00F3780F" w:rsidRPr="00731644" w:rsidRDefault="004C5B55" w:rsidP="00286F92">
      <w:pPr>
        <w:pStyle w:val="H1G"/>
        <w:rPr>
          <w:lang w:val="fr-CH"/>
        </w:rPr>
      </w:pPr>
      <w:r w:rsidRPr="00731644">
        <w:rPr>
          <w:lang w:val="fr-CH"/>
        </w:rPr>
        <w:tab/>
      </w:r>
      <w:r w:rsidRPr="00731644">
        <w:rPr>
          <w:lang w:val="fr-CH"/>
        </w:rPr>
        <w:tab/>
      </w:r>
      <w:r w:rsidR="00F3780F" w:rsidRPr="00731644">
        <w:rPr>
          <w:lang w:val="fr-CH"/>
        </w:rPr>
        <w:t xml:space="preserve">Article 5 </w:t>
      </w:r>
    </w:p>
    <w:p w:rsidR="00F3780F" w:rsidRPr="00731644" w:rsidRDefault="004C5B55" w:rsidP="00F3780F">
      <w:pPr>
        <w:pStyle w:val="H23G"/>
        <w:rPr>
          <w:lang w:val="fr-CH"/>
        </w:rPr>
      </w:pPr>
      <w:r w:rsidRPr="00731644">
        <w:rPr>
          <w:lang w:val="fr-CH"/>
        </w:rPr>
        <w:tab/>
      </w:r>
      <w:r w:rsidRPr="00731644">
        <w:rPr>
          <w:lang w:val="fr-CH"/>
        </w:rPr>
        <w:tab/>
      </w:r>
      <w:r w:rsidR="00A66512" w:rsidRPr="00731644">
        <w:rPr>
          <w:lang w:val="fr-CH"/>
        </w:rPr>
        <w:t>Accès</w:t>
      </w:r>
      <w:r w:rsidR="001072B3" w:rsidRPr="00731644">
        <w:rPr>
          <w:lang w:val="fr-CH"/>
        </w:rPr>
        <w:t xml:space="preserve"> à la justice </w:t>
      </w:r>
      <w:r w:rsidR="008C4348" w:rsidRPr="00731644">
        <w:rPr>
          <w:lang w:val="fr-CH"/>
        </w:rPr>
        <w:t>et</w:t>
      </w:r>
      <w:r w:rsidR="00F3780F" w:rsidRPr="00731644">
        <w:rPr>
          <w:lang w:val="fr-CH"/>
        </w:rPr>
        <w:t xml:space="preserve"> </w:t>
      </w:r>
      <w:r w:rsidR="008C4348" w:rsidRPr="00731644">
        <w:rPr>
          <w:lang w:val="fr-CH"/>
        </w:rPr>
        <w:t xml:space="preserve">traitement égal devant les tribunaux </w:t>
      </w:r>
    </w:p>
    <w:p w:rsidR="00BA54A8" w:rsidRPr="00731644" w:rsidRDefault="007609CB" w:rsidP="00BA54A8">
      <w:pPr>
        <w:pStyle w:val="SingleTxtG"/>
        <w:rPr>
          <w:bCs/>
          <w:lang w:val="fr-CH"/>
        </w:rPr>
      </w:pPr>
      <w:r w:rsidRPr="00731644">
        <w:rPr>
          <w:bCs/>
          <w:lang w:val="fr-CH"/>
        </w:rPr>
        <w:t>86.</w:t>
      </w:r>
      <w:r w:rsidRPr="00731644">
        <w:rPr>
          <w:bCs/>
          <w:lang w:val="fr-CH"/>
        </w:rPr>
        <w:tab/>
      </w:r>
      <w:r w:rsidR="008C4348" w:rsidRPr="00731644">
        <w:rPr>
          <w:bCs/>
          <w:lang w:val="fr-CH"/>
        </w:rPr>
        <w:t>L</w:t>
      </w:r>
      <w:r w:rsidR="00425386" w:rsidRPr="00731644">
        <w:rPr>
          <w:bCs/>
          <w:lang w:val="fr-CH"/>
        </w:rPr>
        <w:t>’</w:t>
      </w:r>
      <w:r w:rsidR="008C4348" w:rsidRPr="00731644">
        <w:rPr>
          <w:bCs/>
          <w:lang w:val="fr-CH"/>
        </w:rPr>
        <w:t>interdiction</w:t>
      </w:r>
      <w:r w:rsidR="009412FD" w:rsidRPr="00731644">
        <w:rPr>
          <w:bCs/>
          <w:lang w:val="fr-CH"/>
        </w:rPr>
        <w:t xml:space="preserve">, consacrée par la Constitution, </w:t>
      </w:r>
      <w:r w:rsidR="008C4348" w:rsidRPr="00731644">
        <w:rPr>
          <w:bCs/>
          <w:lang w:val="fr-CH"/>
        </w:rPr>
        <w:t xml:space="preserve">de toute discrimination, directe ou indirecte, pour </w:t>
      </w:r>
      <w:r w:rsidR="009412FD" w:rsidRPr="00731644">
        <w:rPr>
          <w:bCs/>
          <w:lang w:val="fr-CH"/>
        </w:rPr>
        <w:t>quelque</w:t>
      </w:r>
      <w:r w:rsidR="008C4348" w:rsidRPr="00731644">
        <w:rPr>
          <w:bCs/>
          <w:lang w:val="fr-CH"/>
        </w:rPr>
        <w:t xml:space="preserve"> motif que</w:t>
      </w:r>
      <w:r w:rsidR="009412FD" w:rsidRPr="00731644">
        <w:rPr>
          <w:bCs/>
          <w:lang w:val="fr-CH"/>
        </w:rPr>
        <w:t xml:space="preserve"> ce soit</w:t>
      </w:r>
      <w:r w:rsidR="008C4348" w:rsidRPr="00731644">
        <w:rPr>
          <w:bCs/>
          <w:lang w:val="fr-CH"/>
        </w:rPr>
        <w:t xml:space="preserve"> s</w:t>
      </w:r>
      <w:r w:rsidR="00425386" w:rsidRPr="00731644">
        <w:rPr>
          <w:bCs/>
          <w:lang w:val="fr-CH"/>
        </w:rPr>
        <w:t>’</w:t>
      </w:r>
      <w:r w:rsidR="008C4348" w:rsidRPr="00731644">
        <w:rPr>
          <w:bCs/>
          <w:lang w:val="fr-CH"/>
        </w:rPr>
        <w:t xml:space="preserve">étend </w:t>
      </w:r>
      <w:r w:rsidR="009412FD" w:rsidRPr="00731644">
        <w:rPr>
          <w:bCs/>
          <w:lang w:val="fr-CH"/>
        </w:rPr>
        <w:t>à l</w:t>
      </w:r>
      <w:r w:rsidR="00425386" w:rsidRPr="00731644">
        <w:rPr>
          <w:bCs/>
          <w:lang w:val="fr-CH"/>
        </w:rPr>
        <w:t>’</w:t>
      </w:r>
      <w:r w:rsidR="009412FD" w:rsidRPr="00731644">
        <w:rPr>
          <w:bCs/>
          <w:lang w:val="fr-CH"/>
        </w:rPr>
        <w:t xml:space="preserve">accès </w:t>
      </w:r>
      <w:r w:rsidR="008C4348" w:rsidRPr="00731644">
        <w:rPr>
          <w:bCs/>
          <w:lang w:val="fr-CH"/>
        </w:rPr>
        <w:t>à la justice</w:t>
      </w:r>
      <w:r w:rsidR="00BA54A8" w:rsidRPr="00731644">
        <w:rPr>
          <w:bCs/>
          <w:lang w:val="fr-CH"/>
        </w:rPr>
        <w:t>.</w:t>
      </w:r>
    </w:p>
    <w:p w:rsidR="00BA54A8" w:rsidRPr="00731644" w:rsidRDefault="007609CB" w:rsidP="00BA54A8">
      <w:pPr>
        <w:pStyle w:val="SingleTxtG"/>
        <w:rPr>
          <w:bCs/>
          <w:lang w:val="fr-CH"/>
        </w:rPr>
      </w:pPr>
      <w:r w:rsidRPr="00731644">
        <w:rPr>
          <w:bCs/>
          <w:lang w:val="fr-CH"/>
        </w:rPr>
        <w:t>87.</w:t>
      </w:r>
      <w:r w:rsidRPr="00731644">
        <w:rPr>
          <w:bCs/>
          <w:lang w:val="fr-CH"/>
        </w:rPr>
        <w:tab/>
      </w:r>
      <w:r w:rsidR="008C4348" w:rsidRPr="00731644">
        <w:rPr>
          <w:bCs/>
          <w:lang w:val="fr-CH"/>
        </w:rPr>
        <w:t>La</w:t>
      </w:r>
      <w:r w:rsidR="00F31DD5" w:rsidRPr="00731644">
        <w:rPr>
          <w:bCs/>
          <w:lang w:val="fr-CH"/>
        </w:rPr>
        <w:t xml:space="preserve"> </w:t>
      </w:r>
      <w:r w:rsidR="00BA54A8" w:rsidRPr="00731644">
        <w:rPr>
          <w:bCs/>
          <w:lang w:val="fr-CH"/>
        </w:rPr>
        <w:t xml:space="preserve">Constitution </w:t>
      </w:r>
      <w:r w:rsidR="008C4348" w:rsidRPr="00731644">
        <w:rPr>
          <w:bCs/>
          <w:lang w:val="fr-CH"/>
        </w:rPr>
        <w:t>garantit aussi à chacun une protection égale de ses droits et libertés.</w:t>
      </w:r>
      <w:r w:rsidR="00F31DD5" w:rsidRPr="00731644">
        <w:rPr>
          <w:bCs/>
          <w:lang w:val="fr-CH"/>
        </w:rPr>
        <w:t xml:space="preserve"> </w:t>
      </w:r>
      <w:r w:rsidR="008C4348" w:rsidRPr="00731644">
        <w:rPr>
          <w:bCs/>
          <w:lang w:val="fr-CH"/>
        </w:rPr>
        <w:t xml:space="preserve">Tous </w:t>
      </w:r>
      <w:r w:rsidR="00CD0777" w:rsidRPr="00731644">
        <w:rPr>
          <w:bCs/>
          <w:lang w:val="fr-CH"/>
        </w:rPr>
        <w:t xml:space="preserve">les habitants </w:t>
      </w:r>
      <w:r w:rsidR="008C4348" w:rsidRPr="00731644">
        <w:rPr>
          <w:bCs/>
          <w:lang w:val="fr-CH"/>
        </w:rPr>
        <w:t>sont égaux devant la loi, indépendamment de toute particularité ou caractéristique personnelle</w:t>
      </w:r>
      <w:r w:rsidR="00BA54A8" w:rsidRPr="00731644">
        <w:rPr>
          <w:bCs/>
          <w:lang w:val="fr-CH"/>
        </w:rPr>
        <w:t xml:space="preserve">. </w:t>
      </w:r>
      <w:r w:rsidR="008C4348" w:rsidRPr="00731644">
        <w:rPr>
          <w:bCs/>
          <w:lang w:val="fr-CH"/>
        </w:rPr>
        <w:t xml:space="preserve">Chacun a le droit de </w:t>
      </w:r>
      <w:r w:rsidR="00CD0777" w:rsidRPr="00731644">
        <w:rPr>
          <w:bCs/>
          <w:lang w:val="fr-CH"/>
        </w:rPr>
        <w:t>s</w:t>
      </w:r>
      <w:r w:rsidR="00425386" w:rsidRPr="00731644">
        <w:rPr>
          <w:bCs/>
          <w:lang w:val="fr-CH"/>
        </w:rPr>
        <w:t>’</w:t>
      </w:r>
      <w:r w:rsidR="00CD0777" w:rsidRPr="00731644">
        <w:rPr>
          <w:bCs/>
          <w:lang w:val="fr-CH"/>
        </w:rPr>
        <w:t>adresser aux</w:t>
      </w:r>
      <w:r w:rsidR="008C4348" w:rsidRPr="00731644">
        <w:rPr>
          <w:bCs/>
          <w:lang w:val="fr-CH"/>
        </w:rPr>
        <w:t xml:space="preserve"> institutions internationales pour faire protéger les droits et libertés inscrits dans la </w:t>
      </w:r>
      <w:r w:rsidR="00BA54A8" w:rsidRPr="00731644">
        <w:rPr>
          <w:bCs/>
          <w:lang w:val="fr-CH"/>
        </w:rPr>
        <w:t xml:space="preserve">Constitution. </w:t>
      </w:r>
      <w:r w:rsidR="008C4348" w:rsidRPr="00731644">
        <w:rPr>
          <w:bCs/>
          <w:lang w:val="fr-CH"/>
        </w:rPr>
        <w:t>L</w:t>
      </w:r>
      <w:r w:rsidR="00425386" w:rsidRPr="00731644">
        <w:rPr>
          <w:bCs/>
          <w:lang w:val="fr-CH"/>
        </w:rPr>
        <w:t>’</w:t>
      </w:r>
      <w:r w:rsidR="00731644">
        <w:rPr>
          <w:bCs/>
          <w:lang w:val="fr-CH"/>
        </w:rPr>
        <w:t xml:space="preserve">accès égal </w:t>
      </w:r>
      <w:r w:rsidR="00B569C5" w:rsidRPr="00731644">
        <w:rPr>
          <w:bCs/>
          <w:lang w:val="fr-CH"/>
        </w:rPr>
        <w:t>des personnes</w:t>
      </w:r>
      <w:r w:rsidR="008C4348" w:rsidRPr="00731644">
        <w:rPr>
          <w:bCs/>
          <w:lang w:val="fr-CH"/>
        </w:rPr>
        <w:t xml:space="preserve"> physiques et morales, </w:t>
      </w:r>
      <w:r w:rsidR="00AC02E8" w:rsidRPr="00731644">
        <w:rPr>
          <w:bCs/>
          <w:lang w:val="fr-CH"/>
        </w:rPr>
        <w:t xml:space="preserve">monténégrines et étrangères, </w:t>
      </w:r>
      <w:r w:rsidR="00CD0777" w:rsidRPr="00731644">
        <w:rPr>
          <w:bCs/>
          <w:lang w:val="fr-CH"/>
        </w:rPr>
        <w:t>à la justice</w:t>
      </w:r>
      <w:r w:rsidR="00AC02E8" w:rsidRPr="00731644">
        <w:rPr>
          <w:bCs/>
          <w:lang w:val="fr-CH"/>
        </w:rPr>
        <w:t xml:space="preserve"> suppose aussi l</w:t>
      </w:r>
      <w:r w:rsidR="00425386" w:rsidRPr="00731644">
        <w:rPr>
          <w:bCs/>
          <w:lang w:val="fr-CH"/>
        </w:rPr>
        <w:t>’</w:t>
      </w:r>
      <w:r w:rsidR="00AC02E8" w:rsidRPr="00731644">
        <w:rPr>
          <w:bCs/>
          <w:lang w:val="fr-CH"/>
        </w:rPr>
        <w:t>égalité des droits à l</w:t>
      </w:r>
      <w:r w:rsidR="00425386" w:rsidRPr="00731644">
        <w:rPr>
          <w:bCs/>
          <w:lang w:val="fr-CH"/>
        </w:rPr>
        <w:t>’</w:t>
      </w:r>
      <w:r w:rsidR="00AC02E8" w:rsidRPr="00731644">
        <w:rPr>
          <w:bCs/>
          <w:lang w:val="fr-CH"/>
        </w:rPr>
        <w:t>assistance d</w:t>
      </w:r>
      <w:r w:rsidR="00425386" w:rsidRPr="00731644">
        <w:rPr>
          <w:bCs/>
          <w:lang w:val="fr-CH"/>
        </w:rPr>
        <w:t>’</w:t>
      </w:r>
      <w:r w:rsidR="00AC02E8" w:rsidRPr="00731644">
        <w:rPr>
          <w:bCs/>
          <w:lang w:val="fr-CH"/>
        </w:rPr>
        <w:t xml:space="preserve">un conseil – que la </w:t>
      </w:r>
      <w:r w:rsidR="00BA54A8" w:rsidRPr="00731644">
        <w:rPr>
          <w:bCs/>
          <w:lang w:val="fr-CH"/>
        </w:rPr>
        <w:t xml:space="preserve">Constitution </w:t>
      </w:r>
      <w:r w:rsidR="00AC02E8" w:rsidRPr="00731644">
        <w:rPr>
          <w:bCs/>
          <w:lang w:val="fr-CH"/>
        </w:rPr>
        <w:t>assure à chacun</w:t>
      </w:r>
      <w:r w:rsidR="00BA54A8" w:rsidRPr="00731644">
        <w:rPr>
          <w:bCs/>
          <w:lang w:val="fr-CH"/>
        </w:rPr>
        <w:t>.</w:t>
      </w:r>
    </w:p>
    <w:p w:rsidR="00BA54A8" w:rsidRPr="00731644" w:rsidRDefault="007609CB" w:rsidP="00BA54A8">
      <w:pPr>
        <w:pStyle w:val="SingleTxtG"/>
        <w:rPr>
          <w:bCs/>
          <w:lang w:val="fr-CH"/>
        </w:rPr>
      </w:pPr>
      <w:r w:rsidRPr="00731644">
        <w:rPr>
          <w:bCs/>
          <w:lang w:val="fr-CH"/>
        </w:rPr>
        <w:t>88.</w:t>
      </w:r>
      <w:r w:rsidRPr="00731644">
        <w:rPr>
          <w:bCs/>
          <w:lang w:val="fr-CH"/>
        </w:rPr>
        <w:tab/>
      </w:r>
      <w:r w:rsidR="00CD0777" w:rsidRPr="00731644">
        <w:rPr>
          <w:bCs/>
          <w:lang w:val="fr-CH"/>
        </w:rPr>
        <w:t>L</w:t>
      </w:r>
      <w:r w:rsidR="00AC02E8" w:rsidRPr="00731644">
        <w:rPr>
          <w:bCs/>
          <w:lang w:val="fr-CH"/>
        </w:rPr>
        <w:t>e Monténégro est signataire d</w:t>
      </w:r>
      <w:r w:rsidR="00425386" w:rsidRPr="00731644">
        <w:rPr>
          <w:bCs/>
          <w:lang w:val="fr-CH"/>
        </w:rPr>
        <w:t>’</w:t>
      </w:r>
      <w:r w:rsidR="00AC02E8" w:rsidRPr="00731644">
        <w:rPr>
          <w:bCs/>
          <w:lang w:val="fr-CH"/>
        </w:rPr>
        <w:t>un cer</w:t>
      </w:r>
      <w:r w:rsidR="00CD0777" w:rsidRPr="00731644">
        <w:rPr>
          <w:bCs/>
          <w:lang w:val="fr-CH"/>
        </w:rPr>
        <w:t>t</w:t>
      </w:r>
      <w:r w:rsidR="00AC02E8" w:rsidRPr="00731644">
        <w:rPr>
          <w:bCs/>
          <w:lang w:val="fr-CH"/>
        </w:rPr>
        <w:t>ain nombre d</w:t>
      </w:r>
      <w:r w:rsidR="00425386" w:rsidRPr="00731644">
        <w:rPr>
          <w:bCs/>
          <w:lang w:val="fr-CH"/>
        </w:rPr>
        <w:t>’</w:t>
      </w:r>
      <w:r w:rsidR="00AC02E8" w:rsidRPr="00731644">
        <w:rPr>
          <w:bCs/>
          <w:lang w:val="fr-CH"/>
        </w:rPr>
        <w:t>accords multilatéraux et bilatéraux avec les pays de l</w:t>
      </w:r>
      <w:r w:rsidR="00425386" w:rsidRPr="00731644">
        <w:rPr>
          <w:bCs/>
          <w:lang w:val="fr-CH"/>
        </w:rPr>
        <w:t>’</w:t>
      </w:r>
      <w:r w:rsidR="00AC02E8" w:rsidRPr="00731644">
        <w:rPr>
          <w:bCs/>
          <w:lang w:val="fr-CH"/>
        </w:rPr>
        <w:t>Union européenne et avec des pays tiers</w:t>
      </w:r>
      <w:r w:rsidR="00774A4C" w:rsidRPr="00731644">
        <w:rPr>
          <w:bCs/>
          <w:lang w:val="fr-CH"/>
        </w:rPr>
        <w:t>,</w:t>
      </w:r>
      <w:r w:rsidR="00AC02E8" w:rsidRPr="00731644">
        <w:rPr>
          <w:bCs/>
          <w:lang w:val="fr-CH"/>
        </w:rPr>
        <w:t xml:space="preserve"> qui réglementent la question du libre accès </w:t>
      </w:r>
      <w:r w:rsidR="00CD0777" w:rsidRPr="00731644">
        <w:rPr>
          <w:bCs/>
          <w:lang w:val="fr-CH"/>
        </w:rPr>
        <w:t>à la justice</w:t>
      </w:r>
      <w:r w:rsidR="00F31DD5" w:rsidRPr="00731644">
        <w:rPr>
          <w:bCs/>
          <w:lang w:val="fr-CH"/>
        </w:rPr>
        <w:t>;</w:t>
      </w:r>
      <w:r w:rsidR="00AC02E8" w:rsidRPr="00731644">
        <w:rPr>
          <w:bCs/>
          <w:lang w:val="fr-CH"/>
        </w:rPr>
        <w:t xml:space="preserve"> citons </w:t>
      </w:r>
      <w:r w:rsidR="00CD0777" w:rsidRPr="00731644">
        <w:rPr>
          <w:bCs/>
          <w:lang w:val="fr-CH"/>
        </w:rPr>
        <w:t xml:space="preserve">la </w:t>
      </w:r>
      <w:r w:rsidR="00BA54A8" w:rsidRPr="00731644">
        <w:rPr>
          <w:bCs/>
          <w:lang w:val="fr-CH"/>
        </w:rPr>
        <w:t xml:space="preserve">Convention </w:t>
      </w:r>
      <w:r w:rsidR="00BD6FF2" w:rsidRPr="00731644">
        <w:rPr>
          <w:bCs/>
          <w:lang w:val="fr-CH"/>
        </w:rPr>
        <w:t>de sauvegarde des droits de l</w:t>
      </w:r>
      <w:r w:rsidR="00425386" w:rsidRPr="00731644">
        <w:rPr>
          <w:bCs/>
          <w:lang w:val="fr-CH"/>
        </w:rPr>
        <w:t>’</w:t>
      </w:r>
      <w:r w:rsidR="00BD6FF2" w:rsidRPr="00731644">
        <w:rPr>
          <w:bCs/>
          <w:lang w:val="fr-CH"/>
        </w:rPr>
        <w:t xml:space="preserve">homme et des libertés fondamentales, </w:t>
      </w:r>
      <w:r w:rsidR="00CD0777" w:rsidRPr="00731644">
        <w:rPr>
          <w:bCs/>
          <w:lang w:val="fr-CH"/>
        </w:rPr>
        <w:t xml:space="preserve">la </w:t>
      </w:r>
      <w:r w:rsidR="00BA54A8" w:rsidRPr="00731644">
        <w:rPr>
          <w:bCs/>
          <w:lang w:val="fr-CH"/>
        </w:rPr>
        <w:t xml:space="preserve">Convention </w:t>
      </w:r>
      <w:r w:rsidR="00CD0777" w:rsidRPr="00731644">
        <w:rPr>
          <w:bCs/>
          <w:lang w:val="fr-CH"/>
        </w:rPr>
        <w:t>européenne d</w:t>
      </w:r>
      <w:r w:rsidR="00425386" w:rsidRPr="00731644">
        <w:rPr>
          <w:bCs/>
          <w:lang w:val="fr-CH"/>
        </w:rPr>
        <w:t>’</w:t>
      </w:r>
      <w:r w:rsidR="00CD0777" w:rsidRPr="00731644">
        <w:rPr>
          <w:bCs/>
          <w:lang w:val="fr-CH"/>
        </w:rPr>
        <w:t>entraide judiciaire en matière pénale (</w:t>
      </w:r>
      <w:r w:rsidR="00BA54A8" w:rsidRPr="00731644">
        <w:rPr>
          <w:bCs/>
          <w:lang w:val="fr-CH"/>
        </w:rPr>
        <w:t>1959</w:t>
      </w:r>
      <w:r w:rsidR="00CD0777" w:rsidRPr="00731644">
        <w:rPr>
          <w:bCs/>
          <w:lang w:val="fr-CH"/>
        </w:rPr>
        <w:t>)</w:t>
      </w:r>
      <w:r w:rsidR="00BA54A8" w:rsidRPr="00731644">
        <w:rPr>
          <w:bCs/>
          <w:lang w:val="fr-CH"/>
        </w:rPr>
        <w:t xml:space="preserve">, </w:t>
      </w:r>
      <w:r w:rsidR="00A40C2E" w:rsidRPr="00731644">
        <w:rPr>
          <w:bCs/>
          <w:lang w:val="fr-CH"/>
        </w:rPr>
        <w:t>et ses</w:t>
      </w:r>
      <w:r w:rsidR="00BA54A8" w:rsidRPr="00731644">
        <w:rPr>
          <w:bCs/>
          <w:lang w:val="fr-CH"/>
        </w:rPr>
        <w:t xml:space="preserve"> Protocol</w:t>
      </w:r>
      <w:r w:rsidR="00A40C2E" w:rsidRPr="00731644">
        <w:rPr>
          <w:bCs/>
          <w:lang w:val="fr-CH"/>
        </w:rPr>
        <w:t>es additionnels</w:t>
      </w:r>
      <w:r w:rsidR="00BA54A8" w:rsidRPr="00731644">
        <w:rPr>
          <w:bCs/>
          <w:lang w:val="fr-CH"/>
        </w:rPr>
        <w:t xml:space="preserve">, </w:t>
      </w:r>
      <w:r w:rsidR="00A40C2E" w:rsidRPr="00731644">
        <w:rPr>
          <w:bCs/>
          <w:lang w:val="fr-CH"/>
        </w:rPr>
        <w:t>les</w:t>
      </w:r>
      <w:r w:rsidR="00BA54A8" w:rsidRPr="00731644">
        <w:rPr>
          <w:bCs/>
          <w:lang w:val="fr-CH"/>
        </w:rPr>
        <w:t xml:space="preserve"> </w:t>
      </w:r>
      <w:r w:rsidR="00A40C2E" w:rsidRPr="00731644">
        <w:rPr>
          <w:bCs/>
          <w:lang w:val="fr-CH"/>
        </w:rPr>
        <w:t>c</w:t>
      </w:r>
      <w:r w:rsidR="00BA54A8" w:rsidRPr="00731644">
        <w:rPr>
          <w:bCs/>
          <w:lang w:val="fr-CH"/>
        </w:rPr>
        <w:t>onvention</w:t>
      </w:r>
      <w:r w:rsidR="00A40C2E" w:rsidRPr="00731644">
        <w:rPr>
          <w:bCs/>
          <w:lang w:val="fr-CH"/>
        </w:rPr>
        <w:t>s</w:t>
      </w:r>
      <w:r w:rsidR="00BA54A8" w:rsidRPr="00731644">
        <w:rPr>
          <w:bCs/>
          <w:lang w:val="fr-CH"/>
        </w:rPr>
        <w:t xml:space="preserve"> </w:t>
      </w:r>
      <w:r w:rsidR="00A40C2E" w:rsidRPr="00731644">
        <w:rPr>
          <w:bCs/>
          <w:lang w:val="fr-CH"/>
        </w:rPr>
        <w:t>relatives à la procédure civile signées à La Haye en</w:t>
      </w:r>
      <w:r w:rsidR="00BA54A8" w:rsidRPr="00731644">
        <w:rPr>
          <w:bCs/>
          <w:lang w:val="fr-CH"/>
        </w:rPr>
        <w:t xml:space="preserve"> 1905 </w:t>
      </w:r>
      <w:r w:rsidR="00A40C2E" w:rsidRPr="00731644">
        <w:rPr>
          <w:bCs/>
          <w:lang w:val="fr-CH"/>
        </w:rPr>
        <w:t xml:space="preserve">et </w:t>
      </w:r>
      <w:r w:rsidR="00BA54A8" w:rsidRPr="00731644">
        <w:rPr>
          <w:bCs/>
          <w:lang w:val="fr-CH"/>
        </w:rPr>
        <w:t xml:space="preserve">1954 </w:t>
      </w:r>
      <w:r w:rsidR="00A40C2E" w:rsidRPr="00731644">
        <w:rPr>
          <w:bCs/>
          <w:lang w:val="fr-CH"/>
        </w:rPr>
        <w:t>et la</w:t>
      </w:r>
      <w:r w:rsidR="00BA54A8" w:rsidRPr="00731644">
        <w:rPr>
          <w:bCs/>
          <w:lang w:val="fr-CH"/>
        </w:rPr>
        <w:t xml:space="preserve"> Convention </w:t>
      </w:r>
      <w:r w:rsidR="00A40C2E" w:rsidRPr="00731644">
        <w:rPr>
          <w:bCs/>
          <w:lang w:val="fr-CH"/>
        </w:rPr>
        <w:t>tendant à faciliter l</w:t>
      </w:r>
      <w:r w:rsidR="00425386" w:rsidRPr="00731644">
        <w:rPr>
          <w:bCs/>
          <w:lang w:val="fr-CH"/>
        </w:rPr>
        <w:t>’</w:t>
      </w:r>
      <w:r w:rsidR="00A40C2E" w:rsidRPr="00731644">
        <w:rPr>
          <w:bCs/>
          <w:lang w:val="fr-CH"/>
        </w:rPr>
        <w:t>accès internationa</w:t>
      </w:r>
      <w:r w:rsidR="00F920C2" w:rsidRPr="00731644">
        <w:rPr>
          <w:bCs/>
          <w:lang w:val="fr-CH"/>
        </w:rPr>
        <w:t>l</w:t>
      </w:r>
      <w:r w:rsidR="00A40C2E" w:rsidRPr="00731644">
        <w:rPr>
          <w:bCs/>
          <w:lang w:val="fr-CH"/>
        </w:rPr>
        <w:t xml:space="preserve"> à la justice (La Haye,</w:t>
      </w:r>
      <w:r w:rsidR="00BA54A8" w:rsidRPr="00731644">
        <w:rPr>
          <w:bCs/>
          <w:lang w:val="fr-CH"/>
        </w:rPr>
        <w:t>1980</w:t>
      </w:r>
      <w:r w:rsidR="00A40C2E" w:rsidRPr="00731644">
        <w:rPr>
          <w:bCs/>
          <w:lang w:val="fr-CH"/>
        </w:rPr>
        <w:t>)</w:t>
      </w:r>
      <w:r w:rsidR="00BA54A8" w:rsidRPr="00731644">
        <w:rPr>
          <w:bCs/>
          <w:lang w:val="fr-CH"/>
        </w:rPr>
        <w:t xml:space="preserve">, </w:t>
      </w:r>
      <w:r w:rsidR="00AC02E8" w:rsidRPr="00731644">
        <w:rPr>
          <w:bCs/>
          <w:lang w:val="fr-CH"/>
        </w:rPr>
        <w:t xml:space="preserve">le Pacte international relatif aux droits civils et politiques (1966), la </w:t>
      </w:r>
      <w:r w:rsidR="00A40C2E" w:rsidRPr="00731644">
        <w:rPr>
          <w:bCs/>
          <w:lang w:val="fr-CH"/>
        </w:rPr>
        <w:t>D</w:t>
      </w:r>
      <w:r w:rsidR="00AC02E8" w:rsidRPr="00731644">
        <w:rPr>
          <w:bCs/>
          <w:lang w:val="fr-CH"/>
        </w:rPr>
        <w:t>éclaration universelle des droits de l</w:t>
      </w:r>
      <w:r w:rsidR="00425386" w:rsidRPr="00731644">
        <w:rPr>
          <w:bCs/>
          <w:lang w:val="fr-CH"/>
        </w:rPr>
        <w:t>’</w:t>
      </w:r>
      <w:r w:rsidR="00AC02E8" w:rsidRPr="00731644">
        <w:rPr>
          <w:bCs/>
          <w:lang w:val="fr-CH"/>
        </w:rPr>
        <w:t>homme (19</w:t>
      </w:r>
      <w:r w:rsidR="00BA54A8" w:rsidRPr="00731644">
        <w:rPr>
          <w:bCs/>
          <w:lang w:val="fr-CH"/>
        </w:rPr>
        <w:t>48</w:t>
      </w:r>
      <w:r w:rsidR="00AC02E8" w:rsidRPr="00731644">
        <w:rPr>
          <w:bCs/>
          <w:lang w:val="fr-CH"/>
        </w:rPr>
        <w:t>)</w:t>
      </w:r>
      <w:r w:rsidR="00BA54A8" w:rsidRPr="00731644">
        <w:rPr>
          <w:bCs/>
          <w:lang w:val="fr-CH"/>
        </w:rPr>
        <w:t xml:space="preserve">, </w:t>
      </w:r>
      <w:r w:rsidR="00AC02E8" w:rsidRPr="00731644">
        <w:rPr>
          <w:bCs/>
          <w:lang w:val="fr-CH"/>
        </w:rPr>
        <w:t>les accords bilatéraux d</w:t>
      </w:r>
      <w:r w:rsidR="00425386" w:rsidRPr="00731644">
        <w:rPr>
          <w:bCs/>
          <w:lang w:val="fr-CH"/>
        </w:rPr>
        <w:t>’</w:t>
      </w:r>
      <w:r w:rsidR="00AC02E8" w:rsidRPr="00731644">
        <w:rPr>
          <w:bCs/>
          <w:lang w:val="fr-CH"/>
        </w:rPr>
        <w:t xml:space="preserve">entraide judiciaire en matière civile et pénale conclus avec la </w:t>
      </w:r>
      <w:r w:rsidR="00F920C2" w:rsidRPr="00731644">
        <w:rPr>
          <w:bCs/>
          <w:lang w:val="fr-CH"/>
        </w:rPr>
        <w:t>R</w:t>
      </w:r>
      <w:r w:rsidR="00AC02E8" w:rsidRPr="00731644">
        <w:rPr>
          <w:bCs/>
          <w:lang w:val="fr-CH"/>
        </w:rPr>
        <w:t xml:space="preserve">épublique Tchèque et la Slovaquie en </w:t>
      </w:r>
      <w:r w:rsidR="00BA54A8" w:rsidRPr="00731644">
        <w:rPr>
          <w:bCs/>
          <w:lang w:val="fr-CH"/>
        </w:rPr>
        <w:t xml:space="preserve">1964, </w:t>
      </w:r>
      <w:r w:rsidR="00AC02E8" w:rsidRPr="00731644">
        <w:rPr>
          <w:bCs/>
          <w:lang w:val="fr-CH"/>
        </w:rPr>
        <w:t>l</w:t>
      </w:r>
      <w:r w:rsidR="00425386" w:rsidRPr="00731644">
        <w:rPr>
          <w:bCs/>
          <w:lang w:val="fr-CH"/>
        </w:rPr>
        <w:t>’</w:t>
      </w:r>
      <w:r w:rsidR="00BA54A8" w:rsidRPr="00731644">
        <w:rPr>
          <w:bCs/>
          <w:lang w:val="fr-CH"/>
        </w:rPr>
        <w:t>Alg</w:t>
      </w:r>
      <w:r w:rsidR="00AC02E8" w:rsidRPr="00731644">
        <w:rPr>
          <w:bCs/>
          <w:lang w:val="fr-CH"/>
        </w:rPr>
        <w:t>érie en</w:t>
      </w:r>
      <w:r w:rsidR="00BA54A8" w:rsidRPr="00731644">
        <w:rPr>
          <w:bCs/>
          <w:lang w:val="fr-CH"/>
        </w:rPr>
        <w:t xml:space="preserve">1982, </w:t>
      </w:r>
      <w:r w:rsidR="00AC02E8" w:rsidRPr="00731644">
        <w:rPr>
          <w:bCs/>
          <w:lang w:val="fr-CH"/>
        </w:rPr>
        <w:t xml:space="preserve">la </w:t>
      </w:r>
      <w:r w:rsidR="00BA54A8" w:rsidRPr="00731644">
        <w:rPr>
          <w:bCs/>
          <w:lang w:val="fr-CH"/>
        </w:rPr>
        <w:t>Bosni</w:t>
      </w:r>
      <w:r w:rsidR="00AC02E8" w:rsidRPr="00731644">
        <w:rPr>
          <w:bCs/>
          <w:lang w:val="fr-CH"/>
        </w:rPr>
        <w:t>e-</w:t>
      </w:r>
      <w:r w:rsidR="00BA54A8" w:rsidRPr="00731644">
        <w:rPr>
          <w:bCs/>
          <w:lang w:val="fr-CH"/>
        </w:rPr>
        <w:t>Herz</w:t>
      </w:r>
      <w:r w:rsidR="00AC02E8" w:rsidRPr="00731644">
        <w:rPr>
          <w:bCs/>
          <w:lang w:val="fr-CH"/>
        </w:rPr>
        <w:t>é</w:t>
      </w:r>
      <w:r w:rsidR="00BA54A8" w:rsidRPr="00731644">
        <w:rPr>
          <w:bCs/>
          <w:lang w:val="fr-CH"/>
        </w:rPr>
        <w:t>govin</w:t>
      </w:r>
      <w:r w:rsidR="00AC02E8" w:rsidRPr="00731644">
        <w:rPr>
          <w:bCs/>
          <w:lang w:val="fr-CH"/>
        </w:rPr>
        <w:t>e</w:t>
      </w:r>
      <w:r w:rsidR="00BA54A8" w:rsidRPr="00731644">
        <w:rPr>
          <w:bCs/>
          <w:lang w:val="fr-CH"/>
        </w:rPr>
        <w:t xml:space="preserve"> </w:t>
      </w:r>
      <w:r w:rsidR="00AC02E8" w:rsidRPr="00731644">
        <w:rPr>
          <w:bCs/>
          <w:lang w:val="fr-CH"/>
        </w:rPr>
        <w:t>en</w:t>
      </w:r>
      <w:r w:rsidR="00BA54A8" w:rsidRPr="00731644">
        <w:rPr>
          <w:bCs/>
          <w:lang w:val="fr-CH"/>
        </w:rPr>
        <w:t xml:space="preserve"> 2011, </w:t>
      </w:r>
      <w:r w:rsidR="00AC02E8" w:rsidRPr="00731644">
        <w:rPr>
          <w:bCs/>
          <w:lang w:val="fr-CH"/>
        </w:rPr>
        <w:t xml:space="preserve">la </w:t>
      </w:r>
      <w:r w:rsidR="00BA54A8" w:rsidRPr="00731644">
        <w:rPr>
          <w:bCs/>
          <w:lang w:val="fr-CH"/>
        </w:rPr>
        <w:t>Croati</w:t>
      </w:r>
      <w:r w:rsidR="00AC02E8" w:rsidRPr="00731644">
        <w:rPr>
          <w:bCs/>
          <w:lang w:val="fr-CH"/>
        </w:rPr>
        <w:t xml:space="preserve">e en </w:t>
      </w:r>
      <w:r w:rsidR="00BA54A8" w:rsidRPr="00731644">
        <w:rPr>
          <w:bCs/>
          <w:lang w:val="fr-CH"/>
        </w:rPr>
        <w:t>2011,</w:t>
      </w:r>
      <w:r w:rsidR="00AC02E8" w:rsidRPr="00731644">
        <w:rPr>
          <w:bCs/>
          <w:lang w:val="fr-CH"/>
        </w:rPr>
        <w:t xml:space="preserve"> la </w:t>
      </w:r>
      <w:r w:rsidR="00BA54A8" w:rsidRPr="00731644">
        <w:rPr>
          <w:bCs/>
          <w:lang w:val="fr-CH"/>
        </w:rPr>
        <w:t>Serbi</w:t>
      </w:r>
      <w:r w:rsidR="00AC02E8" w:rsidRPr="00731644">
        <w:rPr>
          <w:bCs/>
          <w:lang w:val="fr-CH"/>
        </w:rPr>
        <w:t>e en</w:t>
      </w:r>
      <w:r w:rsidR="00BA54A8" w:rsidRPr="00731644">
        <w:rPr>
          <w:bCs/>
          <w:lang w:val="fr-CH"/>
        </w:rPr>
        <w:t xml:space="preserve"> 2009, </w:t>
      </w:r>
      <w:r w:rsidR="00AC02E8" w:rsidRPr="00731644">
        <w:rPr>
          <w:bCs/>
          <w:lang w:val="fr-CH"/>
        </w:rPr>
        <w:t>l</w:t>
      </w:r>
      <w:r w:rsidR="00425386" w:rsidRPr="00731644">
        <w:rPr>
          <w:bCs/>
          <w:lang w:val="fr-CH"/>
        </w:rPr>
        <w:t>’</w:t>
      </w:r>
      <w:r w:rsidR="00BA54A8" w:rsidRPr="00731644">
        <w:rPr>
          <w:bCs/>
          <w:lang w:val="fr-CH"/>
        </w:rPr>
        <w:t xml:space="preserve">Iraq </w:t>
      </w:r>
      <w:r w:rsidR="00AC02E8" w:rsidRPr="00731644">
        <w:rPr>
          <w:bCs/>
          <w:lang w:val="fr-CH"/>
        </w:rPr>
        <w:t>en</w:t>
      </w:r>
      <w:r w:rsidR="00154F4C" w:rsidRPr="00731644">
        <w:rPr>
          <w:bCs/>
          <w:lang w:val="fr-CH"/>
        </w:rPr>
        <w:t xml:space="preserve"> </w:t>
      </w:r>
      <w:r w:rsidR="00BA54A8" w:rsidRPr="00731644">
        <w:rPr>
          <w:bCs/>
          <w:lang w:val="fr-CH"/>
        </w:rPr>
        <w:t>1986, C</w:t>
      </w:r>
      <w:r w:rsidR="00AC02E8" w:rsidRPr="00731644">
        <w:rPr>
          <w:bCs/>
          <w:lang w:val="fr-CH"/>
        </w:rPr>
        <w:t>hypre en</w:t>
      </w:r>
      <w:r w:rsidR="00BA54A8" w:rsidRPr="00731644">
        <w:rPr>
          <w:bCs/>
          <w:lang w:val="fr-CH"/>
        </w:rPr>
        <w:t xml:space="preserve"> 1984, </w:t>
      </w:r>
      <w:r w:rsidR="00F920C2" w:rsidRPr="00731644">
        <w:rPr>
          <w:bCs/>
          <w:lang w:val="fr-CH"/>
        </w:rPr>
        <w:t>l</w:t>
      </w:r>
      <w:r w:rsidR="00425386" w:rsidRPr="00731644">
        <w:rPr>
          <w:bCs/>
          <w:lang w:val="fr-CH"/>
        </w:rPr>
        <w:t>’</w:t>
      </w:r>
      <w:r w:rsidR="00F920C2" w:rsidRPr="00731644">
        <w:rPr>
          <w:bCs/>
          <w:lang w:val="fr-CH"/>
        </w:rPr>
        <w:t xml:space="preserve">ex-République yougoslave de </w:t>
      </w:r>
      <w:r w:rsidR="00BA54A8" w:rsidRPr="00731644">
        <w:rPr>
          <w:bCs/>
          <w:lang w:val="fr-CH"/>
        </w:rPr>
        <w:t>Mac</w:t>
      </w:r>
      <w:r w:rsidR="00F920C2" w:rsidRPr="00731644">
        <w:rPr>
          <w:bCs/>
          <w:lang w:val="fr-CH"/>
        </w:rPr>
        <w:t>é</w:t>
      </w:r>
      <w:r w:rsidR="00BA54A8" w:rsidRPr="00731644">
        <w:rPr>
          <w:bCs/>
          <w:lang w:val="fr-CH"/>
        </w:rPr>
        <w:t>do</w:t>
      </w:r>
      <w:r w:rsidR="00F920C2" w:rsidRPr="00731644">
        <w:rPr>
          <w:bCs/>
          <w:lang w:val="fr-CH"/>
        </w:rPr>
        <w:t>ine</w:t>
      </w:r>
      <w:r w:rsidR="00BA54A8" w:rsidRPr="00731644">
        <w:rPr>
          <w:bCs/>
          <w:lang w:val="fr-CH"/>
        </w:rPr>
        <w:t xml:space="preserve"> </w:t>
      </w:r>
      <w:r w:rsidR="00866E19" w:rsidRPr="00731644">
        <w:rPr>
          <w:bCs/>
          <w:lang w:val="fr-CH"/>
        </w:rPr>
        <w:t>en</w:t>
      </w:r>
      <w:r w:rsidR="00BA54A8" w:rsidRPr="00731644">
        <w:rPr>
          <w:bCs/>
          <w:lang w:val="fr-CH"/>
        </w:rPr>
        <w:t xml:space="preserve"> 2004, </w:t>
      </w:r>
      <w:r w:rsidR="00866E19" w:rsidRPr="00731644">
        <w:rPr>
          <w:bCs/>
          <w:lang w:val="fr-CH"/>
        </w:rPr>
        <w:t xml:space="preserve">la </w:t>
      </w:r>
      <w:r w:rsidR="00BA54A8" w:rsidRPr="00731644">
        <w:rPr>
          <w:bCs/>
          <w:lang w:val="fr-CH"/>
        </w:rPr>
        <w:t>Mongoli</w:t>
      </w:r>
      <w:r w:rsidR="00866E19" w:rsidRPr="00731644">
        <w:rPr>
          <w:bCs/>
          <w:lang w:val="fr-CH"/>
        </w:rPr>
        <w:t xml:space="preserve">e en </w:t>
      </w:r>
      <w:r w:rsidR="00BA54A8" w:rsidRPr="00731644">
        <w:rPr>
          <w:bCs/>
          <w:lang w:val="fr-CH"/>
        </w:rPr>
        <w:t xml:space="preserve">1981, </w:t>
      </w:r>
      <w:r w:rsidR="00866E19" w:rsidRPr="00731644">
        <w:rPr>
          <w:bCs/>
          <w:lang w:val="fr-CH"/>
        </w:rPr>
        <w:t>la Pologne en</w:t>
      </w:r>
      <w:r w:rsidR="00BA54A8" w:rsidRPr="00731644">
        <w:rPr>
          <w:bCs/>
          <w:lang w:val="fr-CH"/>
        </w:rPr>
        <w:t xml:space="preserve"> 1962, </w:t>
      </w:r>
      <w:r w:rsidR="00866E19" w:rsidRPr="00731644">
        <w:rPr>
          <w:bCs/>
          <w:lang w:val="fr-CH"/>
        </w:rPr>
        <w:t xml:space="preserve">la </w:t>
      </w:r>
      <w:r w:rsidR="00BA54A8" w:rsidRPr="00731644">
        <w:rPr>
          <w:bCs/>
          <w:lang w:val="fr-CH"/>
        </w:rPr>
        <w:t>Russi</w:t>
      </w:r>
      <w:r w:rsidR="00866E19" w:rsidRPr="00731644">
        <w:rPr>
          <w:bCs/>
          <w:lang w:val="fr-CH"/>
        </w:rPr>
        <w:t xml:space="preserve">e en </w:t>
      </w:r>
      <w:r w:rsidR="00BA54A8" w:rsidRPr="00731644">
        <w:rPr>
          <w:bCs/>
          <w:lang w:val="fr-CH"/>
        </w:rPr>
        <w:t xml:space="preserve">1962, </w:t>
      </w:r>
      <w:r w:rsidR="00866E19" w:rsidRPr="00731644">
        <w:rPr>
          <w:bCs/>
          <w:lang w:val="fr-CH"/>
        </w:rPr>
        <w:t>l</w:t>
      </w:r>
      <w:r w:rsidR="00425386" w:rsidRPr="00731644">
        <w:rPr>
          <w:bCs/>
          <w:lang w:val="fr-CH"/>
        </w:rPr>
        <w:t>’</w:t>
      </w:r>
      <w:r w:rsidR="00A66512" w:rsidRPr="00731644">
        <w:rPr>
          <w:bCs/>
          <w:lang w:val="fr-CH"/>
        </w:rPr>
        <w:t>Autriche</w:t>
      </w:r>
      <w:r w:rsidR="00866E19" w:rsidRPr="00731644">
        <w:rPr>
          <w:bCs/>
          <w:lang w:val="fr-CH"/>
        </w:rPr>
        <w:t xml:space="preserve"> en</w:t>
      </w:r>
      <w:r w:rsidR="00BA54A8" w:rsidRPr="00731644">
        <w:rPr>
          <w:bCs/>
          <w:lang w:val="fr-CH"/>
        </w:rPr>
        <w:t xml:space="preserve"> 1954, </w:t>
      </w:r>
      <w:r w:rsidR="00866E19" w:rsidRPr="00731644">
        <w:rPr>
          <w:bCs/>
          <w:lang w:val="fr-CH"/>
        </w:rPr>
        <w:t xml:space="preserve">la Belgique en </w:t>
      </w:r>
      <w:r w:rsidR="00BA54A8" w:rsidRPr="00731644">
        <w:rPr>
          <w:bCs/>
          <w:lang w:val="fr-CH"/>
        </w:rPr>
        <w:t xml:space="preserve">1971, </w:t>
      </w:r>
      <w:r w:rsidR="00866E19" w:rsidRPr="00731644">
        <w:rPr>
          <w:bCs/>
          <w:lang w:val="fr-CH"/>
        </w:rPr>
        <w:t xml:space="preserve">la </w:t>
      </w:r>
      <w:r w:rsidR="00BA54A8" w:rsidRPr="00731644">
        <w:rPr>
          <w:bCs/>
          <w:lang w:val="fr-CH"/>
        </w:rPr>
        <w:t>Bulgari</w:t>
      </w:r>
      <w:r w:rsidR="00866E19" w:rsidRPr="00731644">
        <w:rPr>
          <w:bCs/>
          <w:lang w:val="fr-CH"/>
        </w:rPr>
        <w:t>e en</w:t>
      </w:r>
      <w:r w:rsidR="00BA54A8" w:rsidRPr="00731644">
        <w:rPr>
          <w:bCs/>
          <w:lang w:val="fr-CH"/>
        </w:rPr>
        <w:t xml:space="preserve"> 1956, </w:t>
      </w:r>
      <w:r w:rsidR="00866E19" w:rsidRPr="00731644">
        <w:rPr>
          <w:bCs/>
          <w:lang w:val="fr-CH"/>
        </w:rPr>
        <w:t>la Grèce en</w:t>
      </w:r>
      <w:r w:rsidR="00BA54A8" w:rsidRPr="00731644">
        <w:rPr>
          <w:bCs/>
          <w:lang w:val="fr-CH"/>
        </w:rPr>
        <w:t xml:space="preserve"> 1959, </w:t>
      </w:r>
      <w:r w:rsidR="00866E19" w:rsidRPr="00731644">
        <w:rPr>
          <w:bCs/>
          <w:lang w:val="fr-CH"/>
        </w:rPr>
        <w:t xml:space="preserve">la Hongrie en </w:t>
      </w:r>
      <w:r w:rsidR="00BA54A8" w:rsidRPr="00731644">
        <w:rPr>
          <w:bCs/>
          <w:lang w:val="fr-CH"/>
        </w:rPr>
        <w:t xml:space="preserve">1982, </w:t>
      </w:r>
      <w:r w:rsidR="00866E19" w:rsidRPr="00731644">
        <w:rPr>
          <w:bCs/>
          <w:lang w:val="fr-CH"/>
        </w:rPr>
        <w:t>la Roumanie en</w:t>
      </w:r>
      <w:r w:rsidR="00BA54A8" w:rsidRPr="00731644">
        <w:rPr>
          <w:bCs/>
          <w:lang w:val="fr-CH"/>
        </w:rPr>
        <w:t xml:space="preserve"> 1960, </w:t>
      </w:r>
      <w:r w:rsidR="00866E19" w:rsidRPr="00731644">
        <w:rPr>
          <w:bCs/>
          <w:lang w:val="fr-CH"/>
        </w:rPr>
        <w:t>l</w:t>
      </w:r>
      <w:r w:rsidR="00425386" w:rsidRPr="00731644">
        <w:rPr>
          <w:bCs/>
          <w:lang w:val="fr-CH"/>
        </w:rPr>
        <w:t>’</w:t>
      </w:r>
      <w:r w:rsidR="00866E19" w:rsidRPr="00731644">
        <w:rPr>
          <w:bCs/>
          <w:lang w:val="fr-CH"/>
        </w:rPr>
        <w:t xml:space="preserve">Italie en </w:t>
      </w:r>
      <w:r w:rsidR="00BA54A8" w:rsidRPr="00731644">
        <w:rPr>
          <w:bCs/>
          <w:lang w:val="fr-CH"/>
        </w:rPr>
        <w:t xml:space="preserve">1960, </w:t>
      </w:r>
      <w:r w:rsidR="00866E19" w:rsidRPr="00731644">
        <w:rPr>
          <w:bCs/>
          <w:lang w:val="fr-CH"/>
        </w:rPr>
        <w:t xml:space="preserve">la Turquie en </w:t>
      </w:r>
      <w:r w:rsidR="00BA54A8" w:rsidRPr="00731644">
        <w:rPr>
          <w:bCs/>
          <w:lang w:val="fr-CH"/>
        </w:rPr>
        <w:t xml:space="preserve">1934 </w:t>
      </w:r>
      <w:r w:rsidR="00866E19" w:rsidRPr="00731644">
        <w:rPr>
          <w:bCs/>
          <w:lang w:val="fr-CH"/>
        </w:rPr>
        <w:t>et le Royaume-Uni en</w:t>
      </w:r>
      <w:r w:rsidR="00BA54A8" w:rsidRPr="00731644">
        <w:rPr>
          <w:bCs/>
          <w:lang w:val="fr-CH"/>
        </w:rPr>
        <w:t xml:space="preserve"> 1936</w:t>
      </w:r>
      <w:r w:rsidR="00866E19" w:rsidRPr="00731644">
        <w:rPr>
          <w:bCs/>
          <w:lang w:val="fr-CH"/>
        </w:rPr>
        <w:t xml:space="preserve">, ainsi que </w:t>
      </w:r>
      <w:r w:rsidR="00F920C2" w:rsidRPr="00731644">
        <w:rPr>
          <w:bCs/>
          <w:lang w:val="fr-CH"/>
        </w:rPr>
        <w:t>l</w:t>
      </w:r>
      <w:r w:rsidR="00866E19" w:rsidRPr="00731644">
        <w:rPr>
          <w:bCs/>
          <w:lang w:val="fr-CH"/>
        </w:rPr>
        <w:t xml:space="preserve">es accords spéciaux </w:t>
      </w:r>
      <w:r w:rsidR="00F920C2" w:rsidRPr="00731644">
        <w:rPr>
          <w:bCs/>
          <w:lang w:val="fr-CH"/>
        </w:rPr>
        <w:t>visant</w:t>
      </w:r>
      <w:r w:rsidR="00866E19" w:rsidRPr="00731644">
        <w:rPr>
          <w:bCs/>
          <w:lang w:val="fr-CH"/>
        </w:rPr>
        <w:t xml:space="preserve"> à faciliter la mise en œuvre de la Convention </w:t>
      </w:r>
      <w:r w:rsidR="00F920C2" w:rsidRPr="00731644">
        <w:rPr>
          <w:bCs/>
          <w:lang w:val="fr-CH"/>
        </w:rPr>
        <w:t>relative à la procédure civile</w:t>
      </w:r>
      <w:r w:rsidR="00866E19" w:rsidRPr="00731644">
        <w:rPr>
          <w:bCs/>
          <w:lang w:val="fr-CH"/>
        </w:rPr>
        <w:t xml:space="preserve"> </w:t>
      </w:r>
      <w:r w:rsidR="008164EF" w:rsidRPr="00731644">
        <w:rPr>
          <w:bCs/>
          <w:lang w:val="fr-CH"/>
        </w:rPr>
        <w:t>(La Haye,</w:t>
      </w:r>
      <w:r w:rsidR="00BA54A8" w:rsidRPr="00731644">
        <w:rPr>
          <w:bCs/>
          <w:lang w:val="fr-CH"/>
        </w:rPr>
        <w:t>1954</w:t>
      </w:r>
      <w:r w:rsidR="008164EF" w:rsidRPr="00731644">
        <w:rPr>
          <w:bCs/>
          <w:lang w:val="fr-CH"/>
        </w:rPr>
        <w:t>)</w:t>
      </w:r>
      <w:r w:rsidR="00BA54A8" w:rsidRPr="00731644">
        <w:rPr>
          <w:bCs/>
          <w:lang w:val="fr-CH"/>
        </w:rPr>
        <w:t xml:space="preserve"> conclu</w:t>
      </w:r>
      <w:r w:rsidR="00866E19" w:rsidRPr="00731644">
        <w:rPr>
          <w:bCs/>
          <w:lang w:val="fr-CH"/>
        </w:rPr>
        <w:t>s avec la</w:t>
      </w:r>
      <w:r w:rsidR="00F31DD5" w:rsidRPr="00731644">
        <w:rPr>
          <w:bCs/>
          <w:lang w:val="fr-CH"/>
        </w:rPr>
        <w:t xml:space="preserve"> </w:t>
      </w:r>
      <w:r w:rsidR="00BA54A8" w:rsidRPr="00731644">
        <w:rPr>
          <w:bCs/>
          <w:lang w:val="fr-CH"/>
        </w:rPr>
        <w:t xml:space="preserve">France </w:t>
      </w:r>
      <w:r w:rsidR="00866E19" w:rsidRPr="00731644">
        <w:rPr>
          <w:bCs/>
          <w:lang w:val="fr-CH"/>
        </w:rPr>
        <w:t>e</w:t>
      </w:r>
      <w:r w:rsidR="00BA54A8" w:rsidRPr="00731644">
        <w:rPr>
          <w:bCs/>
          <w:lang w:val="fr-CH"/>
        </w:rPr>
        <w:t xml:space="preserve">n 1969 </w:t>
      </w:r>
      <w:r w:rsidR="00866E19" w:rsidRPr="00731644">
        <w:rPr>
          <w:bCs/>
          <w:lang w:val="fr-CH"/>
        </w:rPr>
        <w:t>et la Suède en</w:t>
      </w:r>
      <w:r w:rsidR="00BA54A8" w:rsidRPr="00731644">
        <w:rPr>
          <w:bCs/>
          <w:lang w:val="fr-CH"/>
        </w:rPr>
        <w:t xml:space="preserve"> 1990.</w:t>
      </w:r>
    </w:p>
    <w:p w:rsidR="00BA54A8" w:rsidRPr="00731644" w:rsidRDefault="007609CB" w:rsidP="00D53B48">
      <w:pPr>
        <w:pStyle w:val="SingleTxtG"/>
        <w:rPr>
          <w:bCs/>
          <w:lang w:val="fr-CH"/>
        </w:rPr>
      </w:pPr>
      <w:r w:rsidRPr="00731644">
        <w:rPr>
          <w:bCs/>
          <w:lang w:val="fr-CH"/>
        </w:rPr>
        <w:t>89.</w:t>
      </w:r>
      <w:r w:rsidRPr="00731644">
        <w:rPr>
          <w:bCs/>
          <w:lang w:val="fr-CH"/>
        </w:rPr>
        <w:tab/>
      </w:r>
      <w:r w:rsidR="00866E19" w:rsidRPr="00731644">
        <w:rPr>
          <w:bCs/>
          <w:lang w:val="fr-CH"/>
        </w:rPr>
        <w:t xml:space="preserve">La </w:t>
      </w:r>
      <w:r w:rsidR="00866E19" w:rsidRPr="005E7B4F">
        <w:rPr>
          <w:bCs/>
          <w:iCs/>
          <w:lang w:val="fr-CH"/>
        </w:rPr>
        <w:t>loi relative aux tribunaux</w:t>
      </w:r>
      <w:r w:rsidR="00BA54A8" w:rsidRPr="00731644">
        <w:rPr>
          <w:bCs/>
          <w:lang w:val="fr-CH"/>
        </w:rPr>
        <w:t xml:space="preserve"> (</w:t>
      </w:r>
      <w:r w:rsidR="007370E0" w:rsidRPr="001115F6">
        <w:rPr>
          <w:bCs/>
          <w:i/>
          <w:lang w:val="fr-CH"/>
        </w:rPr>
        <w:t>Journal</w:t>
      </w:r>
      <w:r w:rsidR="001115F6" w:rsidRPr="001115F6">
        <w:rPr>
          <w:bCs/>
          <w:i/>
          <w:lang w:val="fr-CH"/>
        </w:rPr>
        <w:t xml:space="preserve"> officiel</w:t>
      </w:r>
      <w:r w:rsidR="00E66A6C" w:rsidRPr="00E66A6C">
        <w:rPr>
          <w:bCs/>
          <w:lang w:val="fr-CH"/>
        </w:rPr>
        <w:t xml:space="preserve"> du </w:t>
      </w:r>
      <w:r w:rsidR="001115F6">
        <w:rPr>
          <w:bCs/>
          <w:lang w:val="fr-CH"/>
        </w:rPr>
        <w:t>Monténégro</w:t>
      </w:r>
      <w:r w:rsidR="00E66A6C" w:rsidRPr="00E66A6C">
        <w:rPr>
          <w:bCs/>
          <w:lang w:val="fr-CH"/>
        </w:rPr>
        <w:t>,</w:t>
      </w:r>
      <w:r w:rsidR="00E66A6C">
        <w:rPr>
          <w:bCs/>
          <w:i/>
          <w:lang w:val="fr-CH"/>
        </w:rPr>
        <w:t xml:space="preserve"> </w:t>
      </w:r>
      <w:r w:rsidR="005072A0">
        <w:rPr>
          <w:lang w:val="fr-CH"/>
        </w:rPr>
        <w:t>n</w:t>
      </w:r>
      <w:r w:rsidR="005072A0" w:rsidRPr="005072A0">
        <w:rPr>
          <w:vertAlign w:val="superscript"/>
          <w:lang w:val="fr-CH"/>
        </w:rPr>
        <w:t>o</w:t>
      </w:r>
      <w:r w:rsidR="005072A0">
        <w:rPr>
          <w:lang w:val="fr-CH"/>
        </w:rPr>
        <w:t> </w:t>
      </w:r>
      <w:r w:rsidR="00BA54A8" w:rsidRPr="00731644">
        <w:rPr>
          <w:bCs/>
          <w:lang w:val="fr-CH"/>
        </w:rPr>
        <w:t>52/08)</w:t>
      </w:r>
      <w:r w:rsidR="008164EF" w:rsidRPr="00731644">
        <w:rPr>
          <w:bCs/>
          <w:lang w:val="fr-CH"/>
        </w:rPr>
        <w:t xml:space="preserve"> dispose à </w:t>
      </w:r>
      <w:r w:rsidR="00374D76" w:rsidRPr="00731644">
        <w:rPr>
          <w:bCs/>
          <w:lang w:val="fr-CH"/>
        </w:rPr>
        <w:t>l</w:t>
      </w:r>
      <w:r w:rsidR="00425386" w:rsidRPr="00731644">
        <w:rPr>
          <w:bCs/>
          <w:lang w:val="fr-CH"/>
        </w:rPr>
        <w:t>’</w:t>
      </w:r>
      <w:r w:rsidR="001753EC">
        <w:rPr>
          <w:bCs/>
          <w:lang w:val="fr-CH"/>
        </w:rPr>
        <w:t>article </w:t>
      </w:r>
      <w:r w:rsidR="00866E19" w:rsidRPr="00731644">
        <w:rPr>
          <w:bCs/>
          <w:lang w:val="fr-CH"/>
        </w:rPr>
        <w:t>5</w:t>
      </w:r>
      <w:r w:rsidR="008164EF" w:rsidRPr="00731644">
        <w:rPr>
          <w:bCs/>
          <w:lang w:val="fr-CH"/>
        </w:rPr>
        <w:t xml:space="preserve"> </w:t>
      </w:r>
      <w:r w:rsidR="00866E19" w:rsidRPr="00731644">
        <w:rPr>
          <w:bCs/>
          <w:lang w:val="fr-CH"/>
        </w:rPr>
        <w:t xml:space="preserve">que chacun a le droit de saisir la justice pour exercer ses droits. Tous les </w:t>
      </w:r>
      <w:r w:rsidR="008164EF" w:rsidRPr="00731644">
        <w:rPr>
          <w:bCs/>
          <w:lang w:val="fr-CH"/>
        </w:rPr>
        <w:t>habitants</w:t>
      </w:r>
      <w:r w:rsidR="00866E19" w:rsidRPr="00731644">
        <w:rPr>
          <w:bCs/>
          <w:lang w:val="fr-CH"/>
        </w:rPr>
        <w:t xml:space="preserve"> sont éga</w:t>
      </w:r>
      <w:r w:rsidR="008164EF" w:rsidRPr="00731644">
        <w:rPr>
          <w:bCs/>
          <w:lang w:val="fr-CH"/>
        </w:rPr>
        <w:t>ux</w:t>
      </w:r>
      <w:r w:rsidR="00866E19" w:rsidRPr="00731644">
        <w:rPr>
          <w:bCs/>
          <w:lang w:val="fr-CH"/>
        </w:rPr>
        <w:t xml:space="preserve"> devant les tribunaux.</w:t>
      </w:r>
      <w:r w:rsidR="006443F6" w:rsidRPr="00731644">
        <w:rPr>
          <w:bCs/>
          <w:lang w:val="fr-CH"/>
        </w:rPr>
        <w:t xml:space="preserve"> </w:t>
      </w:r>
    </w:p>
    <w:p w:rsidR="002571D8" w:rsidRPr="00731644" w:rsidRDefault="007609CB" w:rsidP="00BA54A8">
      <w:pPr>
        <w:pStyle w:val="SingleTxtG"/>
        <w:rPr>
          <w:bCs/>
          <w:lang w:val="fr-CH"/>
        </w:rPr>
      </w:pPr>
      <w:r w:rsidRPr="00731644">
        <w:rPr>
          <w:bCs/>
          <w:lang w:val="fr-CH"/>
        </w:rPr>
        <w:t>90.</w:t>
      </w:r>
      <w:r w:rsidRPr="00731644">
        <w:rPr>
          <w:bCs/>
          <w:lang w:val="fr-CH"/>
        </w:rPr>
        <w:tab/>
      </w:r>
      <w:r w:rsidR="008164EF" w:rsidRPr="00731644">
        <w:rPr>
          <w:bCs/>
          <w:lang w:val="fr-CH"/>
        </w:rPr>
        <w:t>L</w:t>
      </w:r>
      <w:r w:rsidR="00BD6FF2" w:rsidRPr="00731644">
        <w:rPr>
          <w:bCs/>
          <w:lang w:val="fr-CH"/>
        </w:rPr>
        <w:t xml:space="preserve">a </w:t>
      </w:r>
      <w:r w:rsidR="00BD6FF2" w:rsidRPr="005E7B4F">
        <w:rPr>
          <w:bCs/>
          <w:iCs/>
          <w:lang w:val="fr-CH"/>
        </w:rPr>
        <w:t xml:space="preserve">loi relative à la procédure civile </w:t>
      </w:r>
      <w:r w:rsidR="00BA54A8" w:rsidRPr="00731644">
        <w:rPr>
          <w:bCs/>
          <w:lang w:val="fr-CH"/>
        </w:rPr>
        <w:t>(</w:t>
      </w:r>
      <w:r w:rsidR="007370E0" w:rsidRPr="001115F6">
        <w:rPr>
          <w:bCs/>
          <w:i/>
          <w:lang w:val="fr-CH"/>
        </w:rPr>
        <w:t>Journal</w:t>
      </w:r>
      <w:r w:rsidR="001115F6" w:rsidRPr="001115F6">
        <w:rPr>
          <w:bCs/>
          <w:i/>
          <w:lang w:val="fr-CH"/>
        </w:rPr>
        <w:t xml:space="preserve"> officiel</w:t>
      </w:r>
      <w:r w:rsidR="00E66A6C" w:rsidRPr="00E66A6C">
        <w:rPr>
          <w:bCs/>
          <w:lang w:val="fr-CH"/>
        </w:rPr>
        <w:t xml:space="preserve"> du </w:t>
      </w:r>
      <w:r w:rsidR="001115F6">
        <w:rPr>
          <w:bCs/>
          <w:lang w:val="fr-CH"/>
        </w:rPr>
        <w:t>Monténégro</w:t>
      </w:r>
      <w:r w:rsidR="00E66A6C" w:rsidRPr="00E66A6C">
        <w:rPr>
          <w:bCs/>
          <w:lang w:val="fr-CH"/>
        </w:rPr>
        <w:t>,</w:t>
      </w:r>
      <w:r w:rsidR="00E66A6C">
        <w:rPr>
          <w:bCs/>
          <w:i/>
          <w:lang w:val="fr-CH"/>
        </w:rPr>
        <w:t xml:space="preserve"> </w:t>
      </w:r>
      <w:r w:rsidR="005072A0">
        <w:rPr>
          <w:lang w:val="fr-CH"/>
        </w:rPr>
        <w:t>n</w:t>
      </w:r>
      <w:r w:rsidR="005072A0" w:rsidRPr="005072A0">
        <w:rPr>
          <w:vertAlign w:val="superscript"/>
          <w:lang w:val="fr-CH"/>
        </w:rPr>
        <w:t>o</w:t>
      </w:r>
      <w:r w:rsidR="00F47A90">
        <w:rPr>
          <w:vertAlign w:val="superscript"/>
          <w:lang w:val="fr-CH"/>
        </w:rPr>
        <w:t>s</w:t>
      </w:r>
      <w:r w:rsidR="005072A0">
        <w:rPr>
          <w:lang w:val="fr-CH"/>
        </w:rPr>
        <w:t> </w:t>
      </w:r>
      <w:hyperlink r:id="rId8" w:anchor="ZK22/04" w:history="1">
        <w:r w:rsidR="00BA54A8" w:rsidRPr="00731644">
          <w:rPr>
            <w:bCs/>
            <w:lang w:val="fr-CH"/>
          </w:rPr>
          <w:t>22/2004</w:t>
        </w:r>
      </w:hyperlink>
      <w:r w:rsidR="00BA54A8" w:rsidRPr="00731644">
        <w:rPr>
          <w:bCs/>
          <w:lang w:val="fr-CH"/>
        </w:rPr>
        <w:t xml:space="preserve"> </w:t>
      </w:r>
      <w:r w:rsidR="00BD6FF2" w:rsidRPr="00731644">
        <w:rPr>
          <w:bCs/>
          <w:lang w:val="fr-CH"/>
        </w:rPr>
        <w:t>et</w:t>
      </w:r>
      <w:r w:rsidR="00E045F1">
        <w:rPr>
          <w:lang w:val="fr-CH"/>
        </w:rPr>
        <w:t> </w:t>
      </w:r>
      <w:hyperlink r:id="rId9" w:anchor="zk76/06" w:history="1">
        <w:r w:rsidR="00BA54A8" w:rsidRPr="00731644">
          <w:rPr>
            <w:bCs/>
            <w:lang w:val="fr-CH"/>
          </w:rPr>
          <w:t>76/2006</w:t>
        </w:r>
      </w:hyperlink>
      <w:r w:rsidR="00BA54A8" w:rsidRPr="00731644">
        <w:rPr>
          <w:bCs/>
          <w:lang w:val="fr-CH"/>
        </w:rPr>
        <w:t>)</w:t>
      </w:r>
      <w:r w:rsidR="00BD6FF2" w:rsidRPr="00731644">
        <w:rPr>
          <w:bCs/>
          <w:lang w:val="fr-CH"/>
        </w:rPr>
        <w:t xml:space="preserve"> affirme elle aussi l</w:t>
      </w:r>
      <w:r w:rsidR="00425386" w:rsidRPr="00731644">
        <w:rPr>
          <w:bCs/>
          <w:lang w:val="fr-CH"/>
        </w:rPr>
        <w:t>’</w:t>
      </w:r>
      <w:r w:rsidR="00BD6FF2" w:rsidRPr="00731644">
        <w:rPr>
          <w:bCs/>
          <w:lang w:val="fr-CH"/>
        </w:rPr>
        <w:t xml:space="preserve">égalité des parties et exige que les tribunaux donnent à </w:t>
      </w:r>
      <w:r w:rsidR="008164EF" w:rsidRPr="00731644">
        <w:rPr>
          <w:bCs/>
          <w:lang w:val="fr-CH"/>
        </w:rPr>
        <w:t>chacune d</w:t>
      </w:r>
      <w:r w:rsidR="00425386" w:rsidRPr="00731644">
        <w:rPr>
          <w:bCs/>
          <w:lang w:val="fr-CH"/>
        </w:rPr>
        <w:t>’</w:t>
      </w:r>
      <w:r w:rsidR="008164EF" w:rsidRPr="00731644">
        <w:rPr>
          <w:bCs/>
          <w:lang w:val="fr-CH"/>
        </w:rPr>
        <w:t>elles</w:t>
      </w:r>
      <w:r w:rsidR="00BD6FF2" w:rsidRPr="00731644">
        <w:rPr>
          <w:bCs/>
          <w:lang w:val="fr-CH"/>
        </w:rPr>
        <w:t xml:space="preserve"> la possibilité d</w:t>
      </w:r>
      <w:r w:rsidR="00425386" w:rsidRPr="00731644">
        <w:rPr>
          <w:bCs/>
          <w:lang w:val="fr-CH"/>
        </w:rPr>
        <w:t>’</w:t>
      </w:r>
      <w:r w:rsidR="00BD6FF2" w:rsidRPr="00731644">
        <w:rPr>
          <w:bCs/>
          <w:lang w:val="fr-CH"/>
        </w:rPr>
        <w:t xml:space="preserve">exposer ses arguments en réponse aux assertions et aux déclarations de </w:t>
      </w:r>
      <w:r w:rsidR="008164EF" w:rsidRPr="00731644">
        <w:rPr>
          <w:bCs/>
          <w:lang w:val="fr-CH"/>
        </w:rPr>
        <w:t>l</w:t>
      </w:r>
      <w:r w:rsidR="00425386" w:rsidRPr="00731644">
        <w:rPr>
          <w:bCs/>
          <w:lang w:val="fr-CH"/>
        </w:rPr>
        <w:t>’</w:t>
      </w:r>
      <w:r w:rsidR="00BD6FF2" w:rsidRPr="00731644">
        <w:rPr>
          <w:bCs/>
          <w:lang w:val="fr-CH"/>
        </w:rPr>
        <w:t>advers</w:t>
      </w:r>
      <w:r w:rsidR="008164EF" w:rsidRPr="00731644">
        <w:rPr>
          <w:bCs/>
          <w:lang w:val="fr-CH"/>
        </w:rPr>
        <w:t>aire</w:t>
      </w:r>
      <w:r w:rsidR="00BA54A8" w:rsidRPr="00731644">
        <w:rPr>
          <w:bCs/>
          <w:lang w:val="fr-CH"/>
        </w:rPr>
        <w:t xml:space="preserve">. </w:t>
      </w:r>
      <w:r w:rsidR="00BD6FF2" w:rsidRPr="00731644">
        <w:rPr>
          <w:bCs/>
          <w:lang w:val="fr-CH"/>
        </w:rPr>
        <w:t>Toute personne physique ou morale peut être partie à un procès</w:t>
      </w:r>
      <w:r w:rsidR="00BA54A8" w:rsidRPr="00731644">
        <w:rPr>
          <w:bCs/>
          <w:lang w:val="fr-CH"/>
        </w:rPr>
        <w:t xml:space="preserve">. </w:t>
      </w:r>
      <w:r w:rsidR="00BD6FF2" w:rsidRPr="00731644">
        <w:rPr>
          <w:bCs/>
          <w:lang w:val="fr-CH"/>
        </w:rPr>
        <w:t xml:space="preserve">Si </w:t>
      </w:r>
      <w:r w:rsidR="00DA0C9C" w:rsidRPr="00731644">
        <w:rPr>
          <w:bCs/>
          <w:lang w:val="fr-CH"/>
        </w:rPr>
        <w:t>ce dernier</w:t>
      </w:r>
      <w:r w:rsidR="00BD6FF2" w:rsidRPr="00731644">
        <w:rPr>
          <w:bCs/>
          <w:lang w:val="fr-CH"/>
        </w:rPr>
        <w:t xml:space="preserve"> se déroule dans une langue qui n</w:t>
      </w:r>
      <w:r w:rsidR="00425386" w:rsidRPr="00731644">
        <w:rPr>
          <w:bCs/>
          <w:lang w:val="fr-CH"/>
        </w:rPr>
        <w:t>’</w:t>
      </w:r>
      <w:r w:rsidR="00BD6FF2" w:rsidRPr="00731644">
        <w:rPr>
          <w:bCs/>
          <w:lang w:val="fr-CH"/>
        </w:rPr>
        <w:t xml:space="preserve">est pas celle de la partie </w:t>
      </w:r>
      <w:r w:rsidR="002571D8" w:rsidRPr="00731644">
        <w:rPr>
          <w:bCs/>
          <w:lang w:val="fr-CH"/>
        </w:rPr>
        <w:t>ou d</w:t>
      </w:r>
      <w:r w:rsidR="00425386" w:rsidRPr="00731644">
        <w:rPr>
          <w:bCs/>
          <w:lang w:val="fr-CH"/>
        </w:rPr>
        <w:t>’</w:t>
      </w:r>
      <w:r w:rsidR="002571D8" w:rsidRPr="00731644">
        <w:rPr>
          <w:bCs/>
          <w:lang w:val="fr-CH"/>
        </w:rPr>
        <w:t xml:space="preserve">autres </w:t>
      </w:r>
      <w:r w:rsidR="00A66512" w:rsidRPr="00731644">
        <w:rPr>
          <w:bCs/>
          <w:lang w:val="fr-CH"/>
        </w:rPr>
        <w:t>participants</w:t>
      </w:r>
      <w:r w:rsidR="002571D8" w:rsidRPr="00731644">
        <w:rPr>
          <w:bCs/>
          <w:lang w:val="fr-CH"/>
        </w:rPr>
        <w:t xml:space="preserve"> à la procédure, </w:t>
      </w:r>
      <w:r w:rsidR="008164EF" w:rsidRPr="00731644">
        <w:rPr>
          <w:bCs/>
          <w:lang w:val="fr-CH"/>
        </w:rPr>
        <w:t>ceux-ci</w:t>
      </w:r>
      <w:r w:rsidR="002571D8" w:rsidRPr="00731644">
        <w:rPr>
          <w:bCs/>
          <w:lang w:val="fr-CH"/>
        </w:rPr>
        <w:t xml:space="preserve"> peuvent demander des services d</w:t>
      </w:r>
      <w:r w:rsidR="00425386" w:rsidRPr="00731644">
        <w:rPr>
          <w:bCs/>
          <w:lang w:val="fr-CH"/>
        </w:rPr>
        <w:t>’</w:t>
      </w:r>
      <w:r w:rsidR="002571D8" w:rsidRPr="00731644">
        <w:rPr>
          <w:bCs/>
          <w:lang w:val="fr-CH"/>
        </w:rPr>
        <w:t>interprétation dans leur langue ou dans une langue qu</w:t>
      </w:r>
      <w:r w:rsidR="00425386" w:rsidRPr="00731644">
        <w:rPr>
          <w:bCs/>
          <w:lang w:val="fr-CH"/>
        </w:rPr>
        <w:t>’</w:t>
      </w:r>
      <w:r w:rsidR="002571D8" w:rsidRPr="00731644">
        <w:rPr>
          <w:bCs/>
          <w:lang w:val="fr-CH"/>
        </w:rPr>
        <w:t>ils comprennent, la traduction de toutes les prétentions et des preuves écrites et l</w:t>
      </w:r>
      <w:r w:rsidR="00425386" w:rsidRPr="00731644">
        <w:rPr>
          <w:bCs/>
          <w:lang w:val="fr-CH"/>
        </w:rPr>
        <w:t>’</w:t>
      </w:r>
      <w:r w:rsidR="002571D8" w:rsidRPr="00731644">
        <w:rPr>
          <w:bCs/>
          <w:lang w:val="fr-CH"/>
        </w:rPr>
        <w:t xml:space="preserve">interprétation de la totalité des </w:t>
      </w:r>
      <w:r w:rsidR="00F26360" w:rsidRPr="00731644">
        <w:rPr>
          <w:bCs/>
          <w:lang w:val="fr-CH"/>
        </w:rPr>
        <w:t xml:space="preserve">débats. </w:t>
      </w:r>
    </w:p>
    <w:p w:rsidR="00BA54A8" w:rsidRPr="00731644" w:rsidRDefault="007609CB" w:rsidP="00BA54A8">
      <w:pPr>
        <w:pStyle w:val="SingleTxtG"/>
        <w:rPr>
          <w:bCs/>
          <w:lang w:val="fr-CH"/>
        </w:rPr>
      </w:pPr>
      <w:r w:rsidRPr="00731644">
        <w:rPr>
          <w:bCs/>
          <w:lang w:val="fr-CH"/>
        </w:rPr>
        <w:t>91.</w:t>
      </w:r>
      <w:r w:rsidRPr="00731644">
        <w:rPr>
          <w:bCs/>
          <w:lang w:val="fr-CH"/>
        </w:rPr>
        <w:tab/>
      </w:r>
      <w:r w:rsidR="00767D58" w:rsidRPr="00731644">
        <w:rPr>
          <w:bCs/>
          <w:lang w:val="fr-CH"/>
        </w:rPr>
        <w:t>La loi prescrit d</w:t>
      </w:r>
      <w:r w:rsidR="00425386" w:rsidRPr="00731644">
        <w:rPr>
          <w:bCs/>
          <w:lang w:val="fr-CH"/>
        </w:rPr>
        <w:t>’</w:t>
      </w:r>
      <w:r w:rsidR="00767D58" w:rsidRPr="00731644">
        <w:rPr>
          <w:bCs/>
          <w:lang w:val="fr-CH"/>
        </w:rPr>
        <w:t>informer les parties et autres participants à la procédure de l</w:t>
      </w:r>
      <w:r w:rsidR="002675AE">
        <w:rPr>
          <w:bCs/>
          <w:lang w:val="fr-CH"/>
        </w:rPr>
        <w:t xml:space="preserve">eur droit de suivre les travaux </w:t>
      </w:r>
      <w:r w:rsidR="00767D58" w:rsidRPr="00731644">
        <w:rPr>
          <w:bCs/>
          <w:lang w:val="fr-CH"/>
        </w:rPr>
        <w:t>du tribunal dans leur propre langue avec l</w:t>
      </w:r>
      <w:r w:rsidR="00425386" w:rsidRPr="00731644">
        <w:rPr>
          <w:bCs/>
          <w:lang w:val="fr-CH"/>
        </w:rPr>
        <w:t>’</w:t>
      </w:r>
      <w:r w:rsidR="00767D58" w:rsidRPr="00731644">
        <w:rPr>
          <w:bCs/>
          <w:lang w:val="fr-CH"/>
        </w:rPr>
        <w:t>aide d</w:t>
      </w:r>
      <w:r w:rsidR="00425386" w:rsidRPr="00731644">
        <w:rPr>
          <w:bCs/>
          <w:lang w:val="fr-CH"/>
        </w:rPr>
        <w:t>’</w:t>
      </w:r>
      <w:r w:rsidR="00767D58" w:rsidRPr="00731644">
        <w:rPr>
          <w:bCs/>
          <w:lang w:val="fr-CH"/>
        </w:rPr>
        <w:t>un interprète. Ceux d</w:t>
      </w:r>
      <w:r w:rsidR="00425386" w:rsidRPr="00731644">
        <w:rPr>
          <w:bCs/>
          <w:lang w:val="fr-CH"/>
        </w:rPr>
        <w:t>’</w:t>
      </w:r>
      <w:r w:rsidR="00767D58" w:rsidRPr="00731644">
        <w:rPr>
          <w:bCs/>
          <w:lang w:val="fr-CH"/>
        </w:rPr>
        <w:t>entre eux qui ne comprennent pas ou ne parlent pas la langue officiellement en usage au tribunal peuvent utiliser leur propre langue ou une langue qu</w:t>
      </w:r>
      <w:r w:rsidR="00425386" w:rsidRPr="00731644">
        <w:rPr>
          <w:bCs/>
          <w:lang w:val="fr-CH"/>
        </w:rPr>
        <w:t>’</w:t>
      </w:r>
      <w:r w:rsidR="00767D58" w:rsidRPr="00731644">
        <w:rPr>
          <w:bCs/>
          <w:lang w:val="fr-CH"/>
        </w:rPr>
        <w:t>ils comprennent</w:t>
      </w:r>
      <w:r w:rsidR="00BA54A8" w:rsidRPr="00731644">
        <w:rPr>
          <w:bCs/>
          <w:lang w:val="fr-CH"/>
        </w:rPr>
        <w:t xml:space="preserve">. </w:t>
      </w:r>
    </w:p>
    <w:p w:rsidR="00BA54A8" w:rsidRPr="00731644" w:rsidRDefault="007609CB" w:rsidP="00D53B48">
      <w:pPr>
        <w:pStyle w:val="SingleTxtG"/>
        <w:rPr>
          <w:lang w:val="fr-CH"/>
        </w:rPr>
      </w:pPr>
      <w:r w:rsidRPr="00731644">
        <w:rPr>
          <w:lang w:val="fr-CH"/>
        </w:rPr>
        <w:t>92.</w:t>
      </w:r>
      <w:r w:rsidRPr="00731644">
        <w:rPr>
          <w:lang w:val="fr-CH"/>
        </w:rPr>
        <w:tab/>
      </w:r>
      <w:r w:rsidR="00767D58" w:rsidRPr="00731644">
        <w:rPr>
          <w:lang w:val="fr-CH"/>
        </w:rPr>
        <w:t>En vertu d</w:t>
      </w:r>
      <w:r w:rsidR="00FC3369">
        <w:rPr>
          <w:lang w:val="fr-CH"/>
        </w:rPr>
        <w:t>u paragraphe 2 de</w:t>
      </w:r>
      <w:r w:rsidR="00767D58" w:rsidRPr="00731644">
        <w:rPr>
          <w:lang w:val="fr-CH"/>
        </w:rPr>
        <w:t xml:space="preserve"> </w:t>
      </w:r>
      <w:r w:rsidR="00374D76" w:rsidRPr="00731644">
        <w:rPr>
          <w:lang w:val="fr-CH"/>
        </w:rPr>
        <w:t>l</w:t>
      </w:r>
      <w:r w:rsidR="00425386" w:rsidRPr="00731644">
        <w:rPr>
          <w:lang w:val="fr-CH"/>
        </w:rPr>
        <w:t>’</w:t>
      </w:r>
      <w:r w:rsidR="001753EC">
        <w:rPr>
          <w:lang w:val="fr-CH"/>
        </w:rPr>
        <w:t>article </w:t>
      </w:r>
      <w:r w:rsidR="00767D58" w:rsidRPr="00731644">
        <w:rPr>
          <w:lang w:val="fr-CH"/>
        </w:rPr>
        <w:t>7</w:t>
      </w:r>
      <w:r w:rsidR="00FC3369">
        <w:rPr>
          <w:lang w:val="fr-CH"/>
        </w:rPr>
        <w:t xml:space="preserve"> </w:t>
      </w:r>
      <w:r w:rsidR="00767D58" w:rsidRPr="00731644">
        <w:rPr>
          <w:lang w:val="fr-CH"/>
        </w:rPr>
        <w:t>du Code de pro</w:t>
      </w:r>
      <w:r w:rsidR="008164EF" w:rsidRPr="00731644">
        <w:rPr>
          <w:lang w:val="fr-CH"/>
        </w:rPr>
        <w:t>c</w:t>
      </w:r>
      <w:r w:rsidR="00767D58" w:rsidRPr="00731644">
        <w:rPr>
          <w:lang w:val="fr-CH"/>
        </w:rPr>
        <w:t>édure pénale</w:t>
      </w:r>
      <w:r w:rsidR="00F31DD5" w:rsidRPr="00731644">
        <w:rPr>
          <w:lang w:val="fr-CH"/>
        </w:rPr>
        <w:t xml:space="preserve"> </w:t>
      </w:r>
      <w:r w:rsidR="00BA54A8"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5072A0">
        <w:rPr>
          <w:lang w:val="fr-CH"/>
        </w:rPr>
        <w:t>n</w:t>
      </w:r>
      <w:r w:rsidR="005072A0" w:rsidRPr="005072A0">
        <w:rPr>
          <w:vertAlign w:val="superscript"/>
          <w:lang w:val="fr-CH"/>
        </w:rPr>
        <w:t>o</w:t>
      </w:r>
      <w:r w:rsidR="00F47A90">
        <w:rPr>
          <w:vertAlign w:val="superscript"/>
          <w:lang w:val="fr-CH"/>
        </w:rPr>
        <w:t>s</w:t>
      </w:r>
      <w:r w:rsidR="005072A0">
        <w:rPr>
          <w:lang w:val="fr-CH"/>
        </w:rPr>
        <w:t> </w:t>
      </w:r>
      <w:r w:rsidR="00BA54A8" w:rsidRPr="00731644">
        <w:rPr>
          <w:lang w:val="fr-CH"/>
        </w:rPr>
        <w:t xml:space="preserve">57/2009 </w:t>
      </w:r>
      <w:r w:rsidR="00767D58" w:rsidRPr="00731644">
        <w:rPr>
          <w:lang w:val="fr-CH"/>
        </w:rPr>
        <w:t>et</w:t>
      </w:r>
      <w:r w:rsidR="00F47A90">
        <w:rPr>
          <w:lang w:val="fr-CH"/>
        </w:rPr>
        <w:t xml:space="preserve"> </w:t>
      </w:r>
      <w:r w:rsidR="00BA54A8" w:rsidRPr="00731644">
        <w:rPr>
          <w:lang w:val="fr-CH"/>
        </w:rPr>
        <w:t xml:space="preserve">49/2010), </w:t>
      </w:r>
      <w:r w:rsidR="00BF4A34" w:rsidRPr="00731644">
        <w:rPr>
          <w:lang w:val="fr-CH"/>
        </w:rPr>
        <w:t>lorsque des nations ou d</w:t>
      </w:r>
      <w:r w:rsidR="00425386" w:rsidRPr="00731644">
        <w:rPr>
          <w:lang w:val="fr-CH"/>
        </w:rPr>
        <w:t>’</w:t>
      </w:r>
      <w:r w:rsidR="00BF4A34" w:rsidRPr="00731644">
        <w:rPr>
          <w:lang w:val="fr-CH"/>
        </w:rPr>
        <w:t>autres communautés ethniques minoritaires forment une part</w:t>
      </w:r>
      <w:r w:rsidR="00F4752E" w:rsidRPr="00731644">
        <w:rPr>
          <w:lang w:val="fr-CH"/>
        </w:rPr>
        <w:t xml:space="preserve">ie appréciable de la population </w:t>
      </w:r>
      <w:r w:rsidR="00BF4A34" w:rsidRPr="00731644">
        <w:rPr>
          <w:lang w:val="fr-CH"/>
        </w:rPr>
        <w:t>du ressort d</w:t>
      </w:r>
      <w:r w:rsidR="00425386" w:rsidRPr="00731644">
        <w:rPr>
          <w:lang w:val="fr-CH"/>
        </w:rPr>
        <w:t>’</w:t>
      </w:r>
      <w:r w:rsidR="00BF4A34" w:rsidRPr="00731644">
        <w:rPr>
          <w:lang w:val="fr-CH"/>
        </w:rPr>
        <w:t>un tribunal, leur langue est également d</w:t>
      </w:r>
      <w:r w:rsidR="00425386" w:rsidRPr="00731644">
        <w:rPr>
          <w:lang w:val="fr-CH"/>
        </w:rPr>
        <w:t>’</w:t>
      </w:r>
      <w:r w:rsidR="00BF4A34" w:rsidRPr="00731644">
        <w:rPr>
          <w:lang w:val="fr-CH"/>
        </w:rPr>
        <w:t>usage officiel dans les procès pénaux, conformément à la loi.</w:t>
      </w:r>
      <w:r w:rsidR="00F31DD5" w:rsidRPr="00731644">
        <w:rPr>
          <w:lang w:val="fr-CH"/>
        </w:rPr>
        <w:t xml:space="preserve"> </w:t>
      </w:r>
    </w:p>
    <w:p w:rsidR="00BA54A8" w:rsidRPr="00731644" w:rsidRDefault="007609CB" w:rsidP="00BA54A8">
      <w:pPr>
        <w:pStyle w:val="SingleTxtG"/>
        <w:rPr>
          <w:bCs/>
          <w:lang w:val="fr-CH"/>
        </w:rPr>
      </w:pPr>
      <w:r w:rsidRPr="00731644">
        <w:rPr>
          <w:lang w:val="fr-CH"/>
        </w:rPr>
        <w:t>93.</w:t>
      </w:r>
      <w:r w:rsidRPr="00731644">
        <w:rPr>
          <w:lang w:val="fr-CH"/>
        </w:rPr>
        <w:tab/>
      </w:r>
      <w:r w:rsidR="00BF4A34" w:rsidRPr="00731644">
        <w:rPr>
          <w:lang w:val="fr-CH"/>
        </w:rPr>
        <w:t>L</w:t>
      </w:r>
      <w:r w:rsidR="00425386" w:rsidRPr="00731644">
        <w:rPr>
          <w:lang w:val="fr-CH"/>
        </w:rPr>
        <w:t>’</w:t>
      </w:r>
      <w:r w:rsidR="001753EC">
        <w:rPr>
          <w:lang w:val="fr-CH"/>
        </w:rPr>
        <w:t>article </w:t>
      </w:r>
      <w:r w:rsidR="00BA54A8" w:rsidRPr="00731644">
        <w:rPr>
          <w:lang w:val="fr-CH"/>
        </w:rPr>
        <w:t>8</w:t>
      </w:r>
      <w:r w:rsidR="00BF4A34" w:rsidRPr="00731644">
        <w:rPr>
          <w:lang w:val="fr-CH"/>
        </w:rPr>
        <w:t xml:space="preserve"> du même </w:t>
      </w:r>
      <w:r w:rsidR="00BA54A8" w:rsidRPr="00731644">
        <w:rPr>
          <w:lang w:val="fr-CH"/>
        </w:rPr>
        <w:t xml:space="preserve">Code </w:t>
      </w:r>
      <w:r w:rsidR="00BF4A34" w:rsidRPr="00731644">
        <w:rPr>
          <w:lang w:val="fr-CH"/>
        </w:rPr>
        <w:t xml:space="preserve">consacre, dans son </w:t>
      </w:r>
      <w:r w:rsidR="00CB7658" w:rsidRPr="00731644">
        <w:rPr>
          <w:lang w:val="fr-CH"/>
        </w:rPr>
        <w:t>paragraphe </w:t>
      </w:r>
      <w:r w:rsidR="00BF4A34" w:rsidRPr="00731644">
        <w:rPr>
          <w:lang w:val="fr-CH"/>
        </w:rPr>
        <w:t>2, le droit des parties, des témoins et des autres particip</w:t>
      </w:r>
      <w:r w:rsidR="00F4752E" w:rsidRPr="00731644">
        <w:rPr>
          <w:lang w:val="fr-CH"/>
        </w:rPr>
        <w:t>ants</w:t>
      </w:r>
      <w:r w:rsidR="00BF4A34" w:rsidRPr="00731644">
        <w:rPr>
          <w:lang w:val="fr-CH"/>
        </w:rPr>
        <w:t xml:space="preserve"> au procès d</w:t>
      </w:r>
      <w:r w:rsidR="00425386" w:rsidRPr="00731644">
        <w:rPr>
          <w:lang w:val="fr-CH"/>
        </w:rPr>
        <w:t>’</w:t>
      </w:r>
      <w:r w:rsidR="00F4752E" w:rsidRPr="00731644">
        <w:rPr>
          <w:lang w:val="fr-CH"/>
        </w:rPr>
        <w:t>employ</w:t>
      </w:r>
      <w:r w:rsidR="00BF4A34" w:rsidRPr="00731644">
        <w:rPr>
          <w:lang w:val="fr-CH"/>
        </w:rPr>
        <w:t xml:space="preserve">er leur langue ou </w:t>
      </w:r>
      <w:r w:rsidR="00F4752E" w:rsidRPr="00731644">
        <w:rPr>
          <w:lang w:val="fr-CH"/>
        </w:rPr>
        <w:t>une</w:t>
      </w:r>
      <w:r w:rsidR="00BF4A34" w:rsidRPr="00731644">
        <w:rPr>
          <w:lang w:val="fr-CH"/>
        </w:rPr>
        <w:t xml:space="preserve"> langue qu</w:t>
      </w:r>
      <w:r w:rsidR="00425386" w:rsidRPr="00731644">
        <w:rPr>
          <w:lang w:val="fr-CH"/>
        </w:rPr>
        <w:t>’</w:t>
      </w:r>
      <w:r w:rsidR="00DA0C9C" w:rsidRPr="00731644">
        <w:rPr>
          <w:lang w:val="fr-CH"/>
        </w:rPr>
        <w:t>il</w:t>
      </w:r>
      <w:r w:rsidR="00BF4A34" w:rsidRPr="00731644">
        <w:rPr>
          <w:lang w:val="fr-CH"/>
        </w:rPr>
        <w:t>s comprennent. Si la procédure se déroule dans une langue qu</w:t>
      </w:r>
      <w:r w:rsidR="00425386" w:rsidRPr="00731644">
        <w:rPr>
          <w:lang w:val="fr-CH"/>
        </w:rPr>
        <w:t>’</w:t>
      </w:r>
      <w:r w:rsidR="0087711E" w:rsidRPr="00731644">
        <w:rPr>
          <w:lang w:val="fr-CH"/>
        </w:rPr>
        <w:t xml:space="preserve">ils ne </w:t>
      </w:r>
      <w:r w:rsidR="00BF4A34" w:rsidRPr="00731644">
        <w:rPr>
          <w:lang w:val="fr-CH"/>
        </w:rPr>
        <w:t>comprennent</w:t>
      </w:r>
      <w:r w:rsidR="0087711E" w:rsidRPr="00731644">
        <w:rPr>
          <w:lang w:val="fr-CH"/>
        </w:rPr>
        <w:t xml:space="preserve"> pas</w:t>
      </w:r>
      <w:r w:rsidR="00BF4A34" w:rsidRPr="00731644">
        <w:rPr>
          <w:lang w:val="fr-CH"/>
        </w:rPr>
        <w:t>, l</w:t>
      </w:r>
      <w:r w:rsidR="00425386" w:rsidRPr="00731644">
        <w:rPr>
          <w:lang w:val="fr-CH"/>
        </w:rPr>
        <w:t>’</w:t>
      </w:r>
      <w:r w:rsidR="00BF4A34" w:rsidRPr="00731644">
        <w:rPr>
          <w:lang w:val="fr-CH"/>
        </w:rPr>
        <w:t>interprétation des dépositions et la traduction des documents et autres pièces écrites</w:t>
      </w:r>
      <w:r w:rsidR="00F31DD5" w:rsidRPr="00731644">
        <w:rPr>
          <w:lang w:val="fr-CH"/>
        </w:rPr>
        <w:t xml:space="preserve"> </w:t>
      </w:r>
      <w:r w:rsidR="00F4752E" w:rsidRPr="00731644">
        <w:rPr>
          <w:lang w:val="fr-CH"/>
        </w:rPr>
        <w:t>est</w:t>
      </w:r>
      <w:r w:rsidR="00BF4A34" w:rsidRPr="00731644">
        <w:rPr>
          <w:lang w:val="fr-CH"/>
        </w:rPr>
        <w:t xml:space="preserve"> assurée. En vertu du </w:t>
      </w:r>
      <w:r w:rsidR="00CB7658" w:rsidRPr="00731644">
        <w:rPr>
          <w:lang w:val="fr-CH"/>
        </w:rPr>
        <w:t>paragraphe </w:t>
      </w:r>
      <w:r w:rsidR="00BF4A34" w:rsidRPr="00731644">
        <w:rPr>
          <w:lang w:val="fr-CH"/>
        </w:rPr>
        <w:t xml:space="preserve">4 de </w:t>
      </w:r>
      <w:r w:rsidR="00374D76" w:rsidRPr="00731644">
        <w:rPr>
          <w:lang w:val="fr-CH"/>
        </w:rPr>
        <w:t>l</w:t>
      </w:r>
      <w:r w:rsidR="00425386" w:rsidRPr="00731644">
        <w:rPr>
          <w:lang w:val="fr-CH"/>
        </w:rPr>
        <w:t>’</w:t>
      </w:r>
      <w:r w:rsidR="001753EC">
        <w:rPr>
          <w:lang w:val="fr-CH"/>
        </w:rPr>
        <w:t>article </w:t>
      </w:r>
      <w:r w:rsidR="00BF4A34" w:rsidRPr="00731644">
        <w:rPr>
          <w:lang w:val="fr-CH"/>
        </w:rPr>
        <w:t>9 de cette même loi, la juridiction</w:t>
      </w:r>
      <w:r w:rsidR="00F31DD5" w:rsidRPr="00731644">
        <w:rPr>
          <w:lang w:val="fr-CH"/>
        </w:rPr>
        <w:t xml:space="preserve"> </w:t>
      </w:r>
      <w:r w:rsidR="00BF4A34" w:rsidRPr="00731644">
        <w:rPr>
          <w:lang w:val="fr-CH"/>
        </w:rPr>
        <w:t>est tenue, si la langue d</w:t>
      </w:r>
      <w:r w:rsidR="00425386" w:rsidRPr="00731644">
        <w:rPr>
          <w:lang w:val="fr-CH"/>
        </w:rPr>
        <w:t>’</w:t>
      </w:r>
      <w:r w:rsidR="00BF4A34" w:rsidRPr="00731644">
        <w:rPr>
          <w:lang w:val="fr-CH"/>
        </w:rPr>
        <w:t xml:space="preserve">une minorité est </w:t>
      </w:r>
      <w:r w:rsidR="00F4752E" w:rsidRPr="00731644">
        <w:rPr>
          <w:lang w:val="fr-CH"/>
        </w:rPr>
        <w:t xml:space="preserve">elle </w:t>
      </w:r>
      <w:r w:rsidR="00BF4A34" w:rsidRPr="00731644">
        <w:rPr>
          <w:lang w:val="fr-CH"/>
        </w:rPr>
        <w:t>aussi officiellement en usage au tribunal,</w:t>
      </w:r>
      <w:r w:rsidR="00F4752E" w:rsidRPr="00731644">
        <w:rPr>
          <w:lang w:val="fr-CH"/>
        </w:rPr>
        <w:t xml:space="preserve"> de</w:t>
      </w:r>
      <w:r w:rsidR="00BF4A34" w:rsidRPr="00731644">
        <w:rPr>
          <w:lang w:val="fr-CH"/>
        </w:rPr>
        <w:t xml:space="preserve"> fournir les documents dans cette langue aux membres de cette minorité nationale s</w:t>
      </w:r>
      <w:r w:rsidR="00425386" w:rsidRPr="00731644">
        <w:rPr>
          <w:lang w:val="fr-CH"/>
        </w:rPr>
        <w:t>’</w:t>
      </w:r>
      <w:r w:rsidR="00BF4A34" w:rsidRPr="00731644">
        <w:rPr>
          <w:lang w:val="fr-CH"/>
        </w:rPr>
        <w:t xml:space="preserve">ils ont employé </w:t>
      </w:r>
      <w:r w:rsidR="00F4752E" w:rsidRPr="00731644">
        <w:rPr>
          <w:lang w:val="fr-CH"/>
        </w:rPr>
        <w:t>ladite</w:t>
      </w:r>
      <w:r w:rsidR="00BF4A34" w:rsidRPr="00731644">
        <w:rPr>
          <w:lang w:val="fr-CH"/>
        </w:rPr>
        <w:t xml:space="preserve"> langue au cours de la procédure.</w:t>
      </w:r>
      <w:r w:rsidR="00F31DD5" w:rsidRPr="00731644">
        <w:rPr>
          <w:lang w:val="fr-CH"/>
        </w:rPr>
        <w:t xml:space="preserve"> </w:t>
      </w:r>
      <w:r w:rsidR="00B569C5" w:rsidRPr="00731644">
        <w:rPr>
          <w:lang w:val="fr-CH"/>
        </w:rPr>
        <w:t>Ces personnes</w:t>
      </w:r>
      <w:r w:rsidR="00BF4A34" w:rsidRPr="00731644">
        <w:rPr>
          <w:lang w:val="fr-CH"/>
        </w:rPr>
        <w:t xml:space="preserve"> peuvent demander que les documents leur soient fournis dans la langue dans laquelle </w:t>
      </w:r>
      <w:r w:rsidR="00094571" w:rsidRPr="00731644">
        <w:rPr>
          <w:lang w:val="fr-CH"/>
        </w:rPr>
        <w:t>le procès s</w:t>
      </w:r>
      <w:r w:rsidR="00425386" w:rsidRPr="00731644">
        <w:rPr>
          <w:lang w:val="fr-CH"/>
        </w:rPr>
        <w:t>’</w:t>
      </w:r>
      <w:r w:rsidR="00094571" w:rsidRPr="00731644">
        <w:rPr>
          <w:lang w:val="fr-CH"/>
        </w:rPr>
        <w:t>est déroulé.</w:t>
      </w:r>
      <w:r w:rsidR="00F31DD5" w:rsidRPr="00731644">
        <w:rPr>
          <w:lang w:val="fr-CH"/>
        </w:rPr>
        <w:t xml:space="preserve"> </w:t>
      </w:r>
    </w:p>
    <w:p w:rsidR="00BA54A8" w:rsidRPr="00731644" w:rsidRDefault="007609CB" w:rsidP="00E63693">
      <w:pPr>
        <w:pStyle w:val="SingleTxtG"/>
        <w:rPr>
          <w:lang w:val="fr-CH"/>
        </w:rPr>
      </w:pPr>
      <w:r w:rsidRPr="00731644">
        <w:rPr>
          <w:lang w:val="fr-CH"/>
        </w:rPr>
        <w:t>94.</w:t>
      </w:r>
      <w:r w:rsidRPr="00731644">
        <w:rPr>
          <w:lang w:val="fr-CH"/>
        </w:rPr>
        <w:tab/>
      </w:r>
      <w:r w:rsidR="00094571" w:rsidRPr="00731644">
        <w:rPr>
          <w:lang w:val="fr-CH"/>
        </w:rPr>
        <w:t xml:space="preserve">En application de </w:t>
      </w:r>
      <w:r w:rsidR="00374D76" w:rsidRPr="00731644">
        <w:rPr>
          <w:lang w:val="fr-CH"/>
        </w:rPr>
        <w:t>l</w:t>
      </w:r>
      <w:r w:rsidR="00425386" w:rsidRPr="00731644">
        <w:rPr>
          <w:lang w:val="fr-CH"/>
        </w:rPr>
        <w:t>’</w:t>
      </w:r>
      <w:r w:rsidR="001753EC">
        <w:rPr>
          <w:lang w:val="fr-CH"/>
        </w:rPr>
        <w:t>article </w:t>
      </w:r>
      <w:r w:rsidR="00BA54A8" w:rsidRPr="00731644">
        <w:rPr>
          <w:lang w:val="fr-CH"/>
        </w:rPr>
        <w:t xml:space="preserve">6 </w:t>
      </w:r>
      <w:r w:rsidR="00094571" w:rsidRPr="00731644">
        <w:rPr>
          <w:lang w:val="fr-CH"/>
        </w:rPr>
        <w:t xml:space="preserve">de la </w:t>
      </w:r>
      <w:r w:rsidR="00094571" w:rsidRPr="005E7B4F">
        <w:rPr>
          <w:iCs/>
          <w:lang w:val="fr-CH"/>
        </w:rPr>
        <w:t>loi relative à la procédure civile</w:t>
      </w:r>
      <w:r w:rsidR="00094571" w:rsidRPr="00731644">
        <w:rPr>
          <w:lang w:val="fr-CH"/>
        </w:rPr>
        <w:t>, la juridiction donne à chaque partie la possibilité d</w:t>
      </w:r>
      <w:r w:rsidR="00425386" w:rsidRPr="00731644">
        <w:rPr>
          <w:lang w:val="fr-CH"/>
        </w:rPr>
        <w:t>’</w:t>
      </w:r>
      <w:r w:rsidR="00094571" w:rsidRPr="00731644">
        <w:rPr>
          <w:lang w:val="fr-CH"/>
        </w:rPr>
        <w:t>exposer ses arguments en réponse aux prétentions et aux déclarations de la partie adverse dans la langue qui est officiellement en usage au tribunal.</w:t>
      </w:r>
      <w:r w:rsidR="00F31DD5" w:rsidRPr="00731644">
        <w:rPr>
          <w:lang w:val="fr-CH"/>
        </w:rPr>
        <w:t xml:space="preserve"> </w:t>
      </w:r>
      <w:r w:rsidR="00094571" w:rsidRPr="00731644">
        <w:rPr>
          <w:lang w:val="fr-CH"/>
        </w:rPr>
        <w:t xml:space="preserve">Les parties et autres participants au procès qui ne comprennent ou ne parlent pas cette langue peuvent utiliser leur langue ou </w:t>
      </w:r>
      <w:r w:rsidR="00F4752E" w:rsidRPr="00731644">
        <w:rPr>
          <w:lang w:val="fr-CH"/>
        </w:rPr>
        <w:t>une</w:t>
      </w:r>
      <w:r w:rsidR="00094571" w:rsidRPr="00731644">
        <w:rPr>
          <w:lang w:val="fr-CH"/>
        </w:rPr>
        <w:t xml:space="preserve"> langue qu</w:t>
      </w:r>
      <w:r w:rsidR="00425386" w:rsidRPr="00731644">
        <w:rPr>
          <w:lang w:val="fr-CH"/>
        </w:rPr>
        <w:t>’</w:t>
      </w:r>
      <w:r w:rsidR="0087711E" w:rsidRPr="00731644">
        <w:rPr>
          <w:lang w:val="fr-CH"/>
        </w:rPr>
        <w:t>il</w:t>
      </w:r>
      <w:r w:rsidR="00094571" w:rsidRPr="00731644">
        <w:rPr>
          <w:lang w:val="fr-CH"/>
        </w:rPr>
        <w:t>s comprennent</w:t>
      </w:r>
      <w:r w:rsidR="00BA54A8" w:rsidRPr="00731644">
        <w:rPr>
          <w:lang w:val="fr-CH"/>
        </w:rPr>
        <w:t xml:space="preserve">. </w:t>
      </w:r>
      <w:r w:rsidR="00F828C3" w:rsidRPr="00731644">
        <w:rPr>
          <w:lang w:val="fr-CH"/>
        </w:rPr>
        <w:t>La partie qui n</w:t>
      </w:r>
      <w:r w:rsidR="00425386" w:rsidRPr="00731644">
        <w:rPr>
          <w:lang w:val="fr-CH"/>
        </w:rPr>
        <w:t>’</w:t>
      </w:r>
      <w:r w:rsidR="00F828C3" w:rsidRPr="00731644">
        <w:rPr>
          <w:lang w:val="fr-CH"/>
        </w:rPr>
        <w:t xml:space="preserve">est pas représentée par un </w:t>
      </w:r>
      <w:r w:rsidR="00F4752E" w:rsidRPr="00731644">
        <w:rPr>
          <w:lang w:val="fr-CH"/>
        </w:rPr>
        <w:t>homme de loi</w:t>
      </w:r>
      <w:r w:rsidR="00F828C3" w:rsidRPr="00731644">
        <w:rPr>
          <w:lang w:val="fr-CH"/>
        </w:rPr>
        <w:t xml:space="preserve"> </w:t>
      </w:r>
      <w:r w:rsidR="00BA54A8" w:rsidRPr="00731644">
        <w:rPr>
          <w:lang w:val="fr-CH"/>
        </w:rPr>
        <w:t>(</w:t>
      </w:r>
      <w:r w:rsidR="00F828C3" w:rsidRPr="00731644">
        <w:rPr>
          <w:lang w:val="fr-CH"/>
        </w:rPr>
        <w:t>un avocat ou une personne ayant réussi l</w:t>
      </w:r>
      <w:r w:rsidR="00425386" w:rsidRPr="00731644">
        <w:rPr>
          <w:lang w:val="fr-CH"/>
        </w:rPr>
        <w:t>’</w:t>
      </w:r>
      <w:r w:rsidR="00F828C3" w:rsidRPr="00731644">
        <w:rPr>
          <w:lang w:val="fr-CH"/>
        </w:rPr>
        <w:t>examen d</w:t>
      </w:r>
      <w:r w:rsidR="00425386" w:rsidRPr="00731644">
        <w:rPr>
          <w:lang w:val="fr-CH"/>
        </w:rPr>
        <w:t>’</w:t>
      </w:r>
      <w:r w:rsidR="00F828C3" w:rsidRPr="00731644">
        <w:rPr>
          <w:lang w:val="fr-CH"/>
        </w:rPr>
        <w:t>aptitude à l</w:t>
      </w:r>
      <w:r w:rsidR="00425386" w:rsidRPr="00731644">
        <w:rPr>
          <w:lang w:val="fr-CH"/>
        </w:rPr>
        <w:t>’</w:t>
      </w:r>
      <w:r w:rsidR="00F828C3" w:rsidRPr="00731644">
        <w:rPr>
          <w:lang w:val="fr-CH"/>
        </w:rPr>
        <w:t xml:space="preserve">exercice de </w:t>
      </w:r>
      <w:r w:rsidR="00F4752E" w:rsidRPr="00731644">
        <w:rPr>
          <w:lang w:val="fr-CH"/>
        </w:rPr>
        <w:t>la</w:t>
      </w:r>
      <w:r w:rsidR="00F828C3" w:rsidRPr="00731644">
        <w:rPr>
          <w:lang w:val="fr-CH"/>
        </w:rPr>
        <w:t xml:space="preserve"> profession</w:t>
      </w:r>
      <w:r w:rsidR="00F4752E" w:rsidRPr="00731644">
        <w:rPr>
          <w:lang w:val="fr-CH"/>
        </w:rPr>
        <w:t xml:space="preserve"> d</w:t>
      </w:r>
      <w:r w:rsidR="00425386" w:rsidRPr="00731644">
        <w:rPr>
          <w:lang w:val="fr-CH"/>
        </w:rPr>
        <w:t>’</w:t>
      </w:r>
      <w:r w:rsidR="00F4752E" w:rsidRPr="00731644">
        <w:rPr>
          <w:lang w:val="fr-CH"/>
        </w:rPr>
        <w:t>avocat</w:t>
      </w:r>
      <w:r w:rsidR="00F828C3" w:rsidRPr="00731644">
        <w:rPr>
          <w:lang w:val="fr-CH"/>
        </w:rPr>
        <w:t xml:space="preserve">) et qui, </w:t>
      </w:r>
      <w:r w:rsidR="0087711E" w:rsidRPr="00731644">
        <w:rPr>
          <w:lang w:val="fr-CH"/>
        </w:rPr>
        <w:t>de</w:t>
      </w:r>
      <w:r w:rsidR="00F828C3" w:rsidRPr="00731644">
        <w:rPr>
          <w:lang w:val="fr-CH"/>
        </w:rPr>
        <w:t xml:space="preserve"> ce </w:t>
      </w:r>
      <w:r w:rsidR="0087711E" w:rsidRPr="00731644">
        <w:rPr>
          <w:lang w:val="fr-CH"/>
        </w:rPr>
        <w:t>fait</w:t>
      </w:r>
      <w:r w:rsidR="00F828C3" w:rsidRPr="00731644">
        <w:rPr>
          <w:lang w:val="fr-CH"/>
        </w:rPr>
        <w:t>, n</w:t>
      </w:r>
      <w:r w:rsidR="00425386" w:rsidRPr="00731644">
        <w:rPr>
          <w:lang w:val="fr-CH"/>
        </w:rPr>
        <w:t>’</w:t>
      </w:r>
      <w:r w:rsidR="00F828C3" w:rsidRPr="00731644">
        <w:rPr>
          <w:lang w:val="fr-CH"/>
        </w:rPr>
        <w:t>exerce pas le droit qui lui est reconnu par la loi parce qu</w:t>
      </w:r>
      <w:r w:rsidR="00425386" w:rsidRPr="00731644">
        <w:rPr>
          <w:lang w:val="fr-CH"/>
        </w:rPr>
        <w:t>’</w:t>
      </w:r>
      <w:r w:rsidR="00F828C3" w:rsidRPr="00731644">
        <w:rPr>
          <w:lang w:val="fr-CH"/>
        </w:rPr>
        <w:t>elle n</w:t>
      </w:r>
      <w:r w:rsidR="00425386" w:rsidRPr="00731644">
        <w:rPr>
          <w:lang w:val="fr-CH"/>
        </w:rPr>
        <w:t>’</w:t>
      </w:r>
      <w:r w:rsidR="00F828C3" w:rsidRPr="00731644">
        <w:rPr>
          <w:lang w:val="fr-CH"/>
        </w:rPr>
        <w:t>en a pas eu connaissance, est informée par le tribunal des act</w:t>
      </w:r>
      <w:r w:rsidR="00F4752E" w:rsidRPr="00731644">
        <w:rPr>
          <w:lang w:val="fr-CH"/>
        </w:rPr>
        <w:t>ion</w:t>
      </w:r>
      <w:r w:rsidR="00F828C3" w:rsidRPr="00731644">
        <w:rPr>
          <w:lang w:val="fr-CH"/>
        </w:rPr>
        <w:t>s civil</w:t>
      </w:r>
      <w:r w:rsidR="00F4752E" w:rsidRPr="00731644">
        <w:rPr>
          <w:lang w:val="fr-CH"/>
        </w:rPr>
        <w:t>e</w:t>
      </w:r>
      <w:r w:rsidR="00F828C3" w:rsidRPr="00731644">
        <w:rPr>
          <w:lang w:val="fr-CH"/>
        </w:rPr>
        <w:t>s qu</w:t>
      </w:r>
      <w:r w:rsidR="00425386" w:rsidRPr="00731644">
        <w:rPr>
          <w:lang w:val="fr-CH"/>
        </w:rPr>
        <w:t>’</w:t>
      </w:r>
      <w:r w:rsidR="00F828C3" w:rsidRPr="00731644">
        <w:rPr>
          <w:lang w:val="fr-CH"/>
        </w:rPr>
        <w:t xml:space="preserve">elle peut </w:t>
      </w:r>
      <w:r w:rsidR="00F4752E" w:rsidRPr="00731644">
        <w:rPr>
          <w:lang w:val="fr-CH"/>
        </w:rPr>
        <w:t>engager</w:t>
      </w:r>
      <w:r w:rsidR="00F828C3" w:rsidRPr="00731644">
        <w:rPr>
          <w:lang w:val="fr-CH"/>
        </w:rPr>
        <w:t xml:space="preserve"> </w:t>
      </w:r>
      <w:r w:rsidR="00BA54A8" w:rsidRPr="00731644">
        <w:rPr>
          <w:lang w:val="fr-CH"/>
        </w:rPr>
        <w:t>(</w:t>
      </w:r>
      <w:r w:rsidR="00F31DD5" w:rsidRPr="00731644">
        <w:rPr>
          <w:lang w:val="fr-CH"/>
        </w:rPr>
        <w:t>art. </w:t>
      </w:r>
      <w:r w:rsidR="00BA54A8" w:rsidRPr="00731644">
        <w:rPr>
          <w:lang w:val="fr-CH"/>
        </w:rPr>
        <w:t>12).</w:t>
      </w:r>
    </w:p>
    <w:p w:rsidR="00055386" w:rsidRPr="00731644" w:rsidRDefault="007609CB" w:rsidP="00BA54A8">
      <w:pPr>
        <w:pStyle w:val="SingleTxtG"/>
        <w:rPr>
          <w:bCs/>
          <w:lang w:val="fr-CH"/>
        </w:rPr>
      </w:pPr>
      <w:r w:rsidRPr="00731644">
        <w:rPr>
          <w:lang w:val="fr-CH"/>
        </w:rPr>
        <w:t>95.</w:t>
      </w:r>
      <w:r w:rsidRPr="00731644">
        <w:rPr>
          <w:lang w:val="fr-CH"/>
        </w:rPr>
        <w:tab/>
      </w:r>
      <w:r w:rsidR="00F828C3" w:rsidRPr="00731644">
        <w:rPr>
          <w:lang w:val="fr-CH"/>
        </w:rPr>
        <w:t>Lors des audiences et à l</w:t>
      </w:r>
      <w:r w:rsidR="00425386" w:rsidRPr="00731644">
        <w:rPr>
          <w:lang w:val="fr-CH"/>
        </w:rPr>
        <w:t>’</w:t>
      </w:r>
      <w:r w:rsidR="00F828C3" w:rsidRPr="00731644">
        <w:rPr>
          <w:lang w:val="fr-CH"/>
        </w:rPr>
        <w:t>occasio</w:t>
      </w:r>
      <w:r w:rsidR="002675AE">
        <w:rPr>
          <w:lang w:val="fr-CH"/>
        </w:rPr>
        <w:t xml:space="preserve">n des autres actes de procédure </w:t>
      </w:r>
      <w:r w:rsidR="00F828C3" w:rsidRPr="00731644">
        <w:rPr>
          <w:lang w:val="fr-CH"/>
        </w:rPr>
        <w:t>devant le tribunal, les parties et aut</w:t>
      </w:r>
      <w:r w:rsidR="00055386" w:rsidRPr="00731644">
        <w:rPr>
          <w:lang w:val="fr-CH"/>
        </w:rPr>
        <w:t>r</w:t>
      </w:r>
      <w:r w:rsidR="00F828C3" w:rsidRPr="00731644">
        <w:rPr>
          <w:lang w:val="fr-CH"/>
        </w:rPr>
        <w:t>es participants au procès ont le droit d</w:t>
      </w:r>
      <w:r w:rsidR="00425386" w:rsidRPr="00731644">
        <w:rPr>
          <w:lang w:val="fr-CH"/>
        </w:rPr>
        <w:t>’</w:t>
      </w:r>
      <w:r w:rsidR="00F828C3" w:rsidRPr="00731644">
        <w:rPr>
          <w:lang w:val="fr-CH"/>
        </w:rPr>
        <w:t xml:space="preserve">utiliser leur </w:t>
      </w:r>
      <w:r w:rsidR="00A66512" w:rsidRPr="00731644">
        <w:rPr>
          <w:lang w:val="fr-CH"/>
        </w:rPr>
        <w:t>propre</w:t>
      </w:r>
      <w:r w:rsidR="00F828C3" w:rsidRPr="00731644">
        <w:rPr>
          <w:lang w:val="fr-CH"/>
        </w:rPr>
        <w:t xml:space="preserve"> langue ou </w:t>
      </w:r>
      <w:r w:rsidR="00055386" w:rsidRPr="00731644">
        <w:rPr>
          <w:lang w:val="fr-CH"/>
        </w:rPr>
        <w:t>une</w:t>
      </w:r>
      <w:r w:rsidR="00F828C3" w:rsidRPr="00731644">
        <w:rPr>
          <w:lang w:val="fr-CH"/>
        </w:rPr>
        <w:t xml:space="preserve"> langue qu</w:t>
      </w:r>
      <w:r w:rsidR="00425386" w:rsidRPr="00731644">
        <w:rPr>
          <w:lang w:val="fr-CH"/>
        </w:rPr>
        <w:t>’</w:t>
      </w:r>
      <w:r w:rsidR="00F828C3" w:rsidRPr="00731644">
        <w:rPr>
          <w:lang w:val="fr-CH"/>
        </w:rPr>
        <w:t>ils comprennent.</w:t>
      </w:r>
      <w:r w:rsidR="00BA54A8" w:rsidRPr="00731644">
        <w:rPr>
          <w:lang w:val="fr-CH"/>
        </w:rPr>
        <w:t xml:space="preserve"> </w:t>
      </w:r>
      <w:r w:rsidR="00055386" w:rsidRPr="00731644">
        <w:rPr>
          <w:bCs/>
          <w:lang w:val="fr-CH"/>
        </w:rPr>
        <w:t>Si le procès se déroule dans une langue qui n</w:t>
      </w:r>
      <w:r w:rsidR="00425386" w:rsidRPr="00731644">
        <w:rPr>
          <w:bCs/>
          <w:lang w:val="fr-CH"/>
        </w:rPr>
        <w:t>’</w:t>
      </w:r>
      <w:r w:rsidR="00055386" w:rsidRPr="00731644">
        <w:rPr>
          <w:bCs/>
          <w:lang w:val="fr-CH"/>
        </w:rPr>
        <w:t>est pas la leur, ils</w:t>
      </w:r>
      <w:r w:rsidR="00F31DD5" w:rsidRPr="00731644">
        <w:rPr>
          <w:bCs/>
          <w:lang w:val="fr-CH"/>
        </w:rPr>
        <w:t xml:space="preserve"> </w:t>
      </w:r>
      <w:r w:rsidR="00055386" w:rsidRPr="00731644">
        <w:rPr>
          <w:bCs/>
          <w:lang w:val="fr-CH"/>
        </w:rPr>
        <w:t>peuvent demander des services d</w:t>
      </w:r>
      <w:r w:rsidR="00425386" w:rsidRPr="00731644">
        <w:rPr>
          <w:bCs/>
          <w:lang w:val="fr-CH"/>
        </w:rPr>
        <w:t>’</w:t>
      </w:r>
      <w:r w:rsidR="00055386" w:rsidRPr="00731644">
        <w:rPr>
          <w:bCs/>
          <w:lang w:val="fr-CH"/>
        </w:rPr>
        <w:t>interprétation dans leur langue ou dans une langue qu</w:t>
      </w:r>
      <w:r w:rsidR="00425386" w:rsidRPr="00731644">
        <w:rPr>
          <w:bCs/>
          <w:lang w:val="fr-CH"/>
        </w:rPr>
        <w:t>’</w:t>
      </w:r>
      <w:r w:rsidR="00055386" w:rsidRPr="00731644">
        <w:rPr>
          <w:bCs/>
          <w:lang w:val="fr-CH"/>
        </w:rPr>
        <w:t>ils comprennent, la traduction de toutes les prétentions et preuves écrites, et l</w:t>
      </w:r>
      <w:r w:rsidR="00425386" w:rsidRPr="00731644">
        <w:rPr>
          <w:bCs/>
          <w:lang w:val="fr-CH"/>
        </w:rPr>
        <w:t>’</w:t>
      </w:r>
      <w:r w:rsidR="00055386" w:rsidRPr="00731644">
        <w:rPr>
          <w:bCs/>
          <w:lang w:val="fr-CH"/>
        </w:rPr>
        <w:t>interprét</w:t>
      </w:r>
      <w:r w:rsidR="0087711E" w:rsidRPr="00731644">
        <w:rPr>
          <w:bCs/>
          <w:lang w:val="fr-CH"/>
        </w:rPr>
        <w:t>ation de la totalité des débats</w:t>
      </w:r>
      <w:r w:rsidR="00055386" w:rsidRPr="00731644">
        <w:rPr>
          <w:bCs/>
          <w:lang w:val="fr-CH"/>
        </w:rPr>
        <w:t xml:space="preserve">. </w:t>
      </w:r>
    </w:p>
    <w:p w:rsidR="00AB343B" w:rsidRPr="00731644" w:rsidRDefault="007609CB" w:rsidP="00BA54A8">
      <w:pPr>
        <w:pStyle w:val="SingleTxtG"/>
        <w:rPr>
          <w:lang w:val="fr-CH"/>
        </w:rPr>
      </w:pPr>
      <w:r w:rsidRPr="00731644">
        <w:rPr>
          <w:lang w:val="fr-CH"/>
        </w:rPr>
        <w:t>96.</w:t>
      </w:r>
      <w:r w:rsidRPr="00731644">
        <w:rPr>
          <w:lang w:val="fr-CH"/>
        </w:rPr>
        <w:tab/>
      </w:r>
      <w:r w:rsidR="001B4D8B" w:rsidRPr="00731644">
        <w:rPr>
          <w:lang w:val="fr-CH"/>
        </w:rPr>
        <w:t>L</w:t>
      </w:r>
      <w:r w:rsidR="00F828C3" w:rsidRPr="00731644">
        <w:rPr>
          <w:lang w:val="fr-CH"/>
        </w:rPr>
        <w:t xml:space="preserve">es </w:t>
      </w:r>
      <w:r w:rsidR="00BA54A8" w:rsidRPr="00731644">
        <w:rPr>
          <w:lang w:val="fr-CH"/>
        </w:rPr>
        <w:t xml:space="preserve">parties </w:t>
      </w:r>
      <w:r w:rsidR="002A0165" w:rsidRPr="00731644">
        <w:rPr>
          <w:lang w:val="fr-CH"/>
        </w:rPr>
        <w:t>et autres</w:t>
      </w:r>
      <w:r w:rsidR="00BA54A8" w:rsidRPr="00731644">
        <w:rPr>
          <w:lang w:val="fr-CH"/>
        </w:rPr>
        <w:t xml:space="preserve"> participants </w:t>
      </w:r>
      <w:r w:rsidR="002A0165" w:rsidRPr="00731644">
        <w:rPr>
          <w:lang w:val="fr-CH"/>
        </w:rPr>
        <w:t xml:space="preserve">au procès sont informés de leur droit de suivre </w:t>
      </w:r>
      <w:r w:rsidR="001B4D8B" w:rsidRPr="00731644">
        <w:rPr>
          <w:lang w:val="fr-CH"/>
        </w:rPr>
        <w:t xml:space="preserve">le déroulement du procès </w:t>
      </w:r>
      <w:r w:rsidR="007171B4" w:rsidRPr="00731644">
        <w:rPr>
          <w:lang w:val="fr-CH"/>
        </w:rPr>
        <w:t>au</w:t>
      </w:r>
      <w:r w:rsidR="002A0165" w:rsidRPr="00731644">
        <w:rPr>
          <w:lang w:val="fr-CH"/>
        </w:rPr>
        <w:t xml:space="preserve"> tribunal</w:t>
      </w:r>
      <w:r w:rsidR="001B4D8B" w:rsidRPr="00731644">
        <w:rPr>
          <w:lang w:val="fr-CH"/>
        </w:rPr>
        <w:t xml:space="preserve"> </w:t>
      </w:r>
      <w:r w:rsidR="002A0165" w:rsidRPr="00731644">
        <w:rPr>
          <w:lang w:val="fr-CH"/>
        </w:rPr>
        <w:t>dans leur propre langue avec l</w:t>
      </w:r>
      <w:r w:rsidR="00425386" w:rsidRPr="00731644">
        <w:rPr>
          <w:lang w:val="fr-CH"/>
        </w:rPr>
        <w:t>’</w:t>
      </w:r>
      <w:r w:rsidR="002A0165" w:rsidRPr="00731644">
        <w:rPr>
          <w:lang w:val="fr-CH"/>
        </w:rPr>
        <w:t>aide d</w:t>
      </w:r>
      <w:r w:rsidR="00425386" w:rsidRPr="00731644">
        <w:rPr>
          <w:lang w:val="fr-CH"/>
        </w:rPr>
        <w:t>’</w:t>
      </w:r>
      <w:r w:rsidR="002A0165" w:rsidRPr="00731644">
        <w:rPr>
          <w:lang w:val="fr-CH"/>
        </w:rPr>
        <w:t xml:space="preserve">un interprète. </w:t>
      </w:r>
      <w:r w:rsidR="00AB343B" w:rsidRPr="00731644">
        <w:rPr>
          <w:lang w:val="fr-CH"/>
        </w:rPr>
        <w:t>Le fait qu</w:t>
      </w:r>
      <w:r w:rsidR="00425386" w:rsidRPr="00731644">
        <w:rPr>
          <w:lang w:val="fr-CH"/>
        </w:rPr>
        <w:t>’</w:t>
      </w:r>
      <w:r w:rsidR="00AB343B" w:rsidRPr="00731644">
        <w:rPr>
          <w:lang w:val="fr-CH"/>
        </w:rPr>
        <w:t>ils en ont été informés</w:t>
      </w:r>
      <w:r w:rsidR="001B4D8B" w:rsidRPr="00731644">
        <w:rPr>
          <w:lang w:val="fr-CH"/>
        </w:rPr>
        <w:t xml:space="preserve"> ainsi que</w:t>
      </w:r>
      <w:r w:rsidR="00AB343B" w:rsidRPr="00731644">
        <w:rPr>
          <w:lang w:val="fr-CH"/>
        </w:rPr>
        <w:t xml:space="preserve"> les déclarations des parties ou des participants sont consignés au </w:t>
      </w:r>
      <w:r w:rsidR="007370E0" w:rsidRPr="00731644">
        <w:rPr>
          <w:lang w:val="fr-CH"/>
        </w:rPr>
        <w:t>procès-verbal</w:t>
      </w:r>
      <w:r w:rsidR="00AB343B" w:rsidRPr="00731644">
        <w:rPr>
          <w:lang w:val="fr-CH"/>
        </w:rPr>
        <w:t>. L</w:t>
      </w:r>
      <w:r w:rsidR="00425386" w:rsidRPr="00731644">
        <w:rPr>
          <w:lang w:val="fr-CH"/>
        </w:rPr>
        <w:t>’</w:t>
      </w:r>
      <w:r w:rsidR="00AB343B" w:rsidRPr="00731644">
        <w:rPr>
          <w:lang w:val="fr-CH"/>
        </w:rPr>
        <w:t>interprétation est assurée par des interprètes.</w:t>
      </w:r>
      <w:r w:rsidR="00F31DD5" w:rsidRPr="00731644">
        <w:rPr>
          <w:lang w:val="fr-CH"/>
        </w:rPr>
        <w:t xml:space="preserve"> </w:t>
      </w:r>
    </w:p>
    <w:p w:rsidR="00AB343B" w:rsidRPr="00731644" w:rsidRDefault="007609CB" w:rsidP="00BA54A8">
      <w:pPr>
        <w:pStyle w:val="SingleTxtG"/>
        <w:rPr>
          <w:lang w:val="fr-CH"/>
        </w:rPr>
      </w:pPr>
      <w:r w:rsidRPr="00731644">
        <w:rPr>
          <w:lang w:val="fr-CH"/>
        </w:rPr>
        <w:t>97.</w:t>
      </w:r>
      <w:r w:rsidRPr="00731644">
        <w:rPr>
          <w:lang w:val="fr-CH"/>
        </w:rPr>
        <w:tab/>
      </w:r>
      <w:r w:rsidR="001B4D8B" w:rsidRPr="00731644">
        <w:rPr>
          <w:lang w:val="fr-CH"/>
        </w:rPr>
        <w:t>L</w:t>
      </w:r>
      <w:r w:rsidR="00425386" w:rsidRPr="00731644">
        <w:rPr>
          <w:lang w:val="fr-CH"/>
        </w:rPr>
        <w:t>’</w:t>
      </w:r>
      <w:r w:rsidR="001753EC">
        <w:rPr>
          <w:lang w:val="fr-CH"/>
        </w:rPr>
        <w:t>article </w:t>
      </w:r>
      <w:r w:rsidR="00BA54A8" w:rsidRPr="00731644">
        <w:rPr>
          <w:lang w:val="fr-CH"/>
        </w:rPr>
        <w:t xml:space="preserve">100 </w:t>
      </w:r>
      <w:r w:rsidR="00AB343B" w:rsidRPr="00731644">
        <w:rPr>
          <w:lang w:val="fr-CH"/>
        </w:rPr>
        <w:t xml:space="preserve">de la loi prescrit que </w:t>
      </w:r>
      <w:r w:rsidR="001B4D8B" w:rsidRPr="00731644">
        <w:rPr>
          <w:lang w:val="fr-CH"/>
        </w:rPr>
        <w:t xml:space="preserve">les assignations, </w:t>
      </w:r>
      <w:r w:rsidR="00AB343B" w:rsidRPr="00731644">
        <w:rPr>
          <w:lang w:val="fr-CH"/>
        </w:rPr>
        <w:t>le</w:t>
      </w:r>
      <w:r w:rsidR="00282480" w:rsidRPr="00731644">
        <w:rPr>
          <w:lang w:val="fr-CH"/>
        </w:rPr>
        <w:t>s</w:t>
      </w:r>
      <w:r w:rsidR="00AB343B" w:rsidRPr="00731644">
        <w:rPr>
          <w:lang w:val="fr-CH"/>
        </w:rPr>
        <w:t xml:space="preserve"> </w:t>
      </w:r>
      <w:r w:rsidR="001B4D8B" w:rsidRPr="00731644">
        <w:rPr>
          <w:lang w:val="fr-CH"/>
        </w:rPr>
        <w:t>citations à comparaître et</w:t>
      </w:r>
      <w:r w:rsidR="00BA54A8" w:rsidRPr="00731644">
        <w:rPr>
          <w:lang w:val="fr-CH"/>
        </w:rPr>
        <w:t xml:space="preserve"> </w:t>
      </w:r>
      <w:r w:rsidR="00AB343B" w:rsidRPr="00731644">
        <w:rPr>
          <w:lang w:val="fr-CH"/>
        </w:rPr>
        <w:t xml:space="preserve">les décisions et autres </w:t>
      </w:r>
      <w:r w:rsidR="00BA54A8" w:rsidRPr="00731644">
        <w:rPr>
          <w:lang w:val="fr-CH"/>
        </w:rPr>
        <w:t xml:space="preserve">documents </w:t>
      </w:r>
      <w:r w:rsidR="00AB343B" w:rsidRPr="00731644">
        <w:rPr>
          <w:lang w:val="fr-CH"/>
        </w:rPr>
        <w:t>judiciaires sont communiqués aux parties et autres participants au procès dans la langue officiellement en usage au tribunal. Si l</w:t>
      </w:r>
      <w:r w:rsidR="00425386" w:rsidRPr="00731644">
        <w:rPr>
          <w:lang w:val="fr-CH"/>
        </w:rPr>
        <w:t>’</w:t>
      </w:r>
      <w:r w:rsidR="00AB343B" w:rsidRPr="00731644">
        <w:rPr>
          <w:lang w:val="fr-CH"/>
        </w:rPr>
        <w:t>une quelconque des langues des minorités nationales</w:t>
      </w:r>
      <w:r w:rsidR="00BA54A8" w:rsidRPr="00731644">
        <w:rPr>
          <w:lang w:val="fr-CH"/>
        </w:rPr>
        <w:t xml:space="preserve"> </w:t>
      </w:r>
      <w:r w:rsidR="00AB343B" w:rsidRPr="00731644">
        <w:rPr>
          <w:lang w:val="fr-CH"/>
        </w:rPr>
        <w:t xml:space="preserve">est officiellement en usage au tribunal, celui-ci </w:t>
      </w:r>
      <w:r w:rsidR="005E6FDA" w:rsidRPr="00731644">
        <w:rPr>
          <w:lang w:val="fr-CH"/>
        </w:rPr>
        <w:t xml:space="preserve">rend </w:t>
      </w:r>
      <w:r w:rsidR="007171B4" w:rsidRPr="00731644">
        <w:rPr>
          <w:lang w:val="fr-CH"/>
        </w:rPr>
        <w:t>dans cette langue l</w:t>
      </w:r>
      <w:r w:rsidR="005E6FDA" w:rsidRPr="00731644">
        <w:rPr>
          <w:lang w:val="fr-CH"/>
        </w:rPr>
        <w:t xml:space="preserve">es ordonnances </w:t>
      </w:r>
      <w:r w:rsidR="007171B4" w:rsidRPr="00731644">
        <w:rPr>
          <w:lang w:val="fr-CH"/>
        </w:rPr>
        <w:t>qui s</w:t>
      </w:r>
      <w:r w:rsidR="00425386" w:rsidRPr="00731644">
        <w:rPr>
          <w:lang w:val="fr-CH"/>
        </w:rPr>
        <w:t>’</w:t>
      </w:r>
      <w:r w:rsidR="007171B4" w:rsidRPr="00731644">
        <w:rPr>
          <w:lang w:val="fr-CH"/>
        </w:rPr>
        <w:t xml:space="preserve">adressent </w:t>
      </w:r>
      <w:r w:rsidR="00AB343B" w:rsidRPr="00731644">
        <w:rPr>
          <w:lang w:val="fr-CH"/>
        </w:rPr>
        <w:t>aux parties et participants appart</w:t>
      </w:r>
      <w:r w:rsidR="007171B4" w:rsidRPr="00731644">
        <w:rPr>
          <w:lang w:val="fr-CH"/>
        </w:rPr>
        <w:t>enant</w:t>
      </w:r>
      <w:r w:rsidR="00AB343B" w:rsidRPr="00731644">
        <w:rPr>
          <w:lang w:val="fr-CH"/>
        </w:rPr>
        <w:t xml:space="preserve"> à cette minorité et emploie </w:t>
      </w:r>
      <w:r w:rsidR="007171B4" w:rsidRPr="00731644">
        <w:rPr>
          <w:lang w:val="fr-CH"/>
        </w:rPr>
        <w:t>ladite</w:t>
      </w:r>
      <w:r w:rsidR="00AB343B" w:rsidRPr="00731644">
        <w:rPr>
          <w:lang w:val="fr-CH"/>
        </w:rPr>
        <w:t xml:space="preserve"> langue au cours de la procédure. </w:t>
      </w:r>
    </w:p>
    <w:p w:rsidR="00BA54A8" w:rsidRPr="00731644" w:rsidRDefault="007609CB" w:rsidP="00BA54A8">
      <w:pPr>
        <w:pStyle w:val="SingleTxtG"/>
        <w:rPr>
          <w:lang w:val="fr-CH"/>
        </w:rPr>
      </w:pPr>
      <w:r w:rsidRPr="00731644">
        <w:rPr>
          <w:lang w:val="fr-CH"/>
        </w:rPr>
        <w:t>98.</w:t>
      </w:r>
      <w:r w:rsidRPr="00731644">
        <w:rPr>
          <w:lang w:val="fr-CH"/>
        </w:rPr>
        <w:tab/>
      </w:r>
      <w:r w:rsidR="00AB343B" w:rsidRPr="00731644">
        <w:rPr>
          <w:lang w:val="fr-CH"/>
        </w:rPr>
        <w:t>Les p</w:t>
      </w:r>
      <w:r w:rsidR="00BA54A8" w:rsidRPr="00731644">
        <w:rPr>
          <w:lang w:val="fr-CH"/>
        </w:rPr>
        <w:t xml:space="preserve">arties </w:t>
      </w:r>
      <w:r w:rsidR="00AB343B" w:rsidRPr="00731644">
        <w:rPr>
          <w:lang w:val="fr-CH"/>
        </w:rPr>
        <w:t>et autres</w:t>
      </w:r>
      <w:r w:rsidR="00BA54A8" w:rsidRPr="00731644">
        <w:rPr>
          <w:lang w:val="fr-CH"/>
        </w:rPr>
        <w:t xml:space="preserve"> participants </w:t>
      </w:r>
      <w:r w:rsidR="00AB343B" w:rsidRPr="00731644">
        <w:rPr>
          <w:lang w:val="fr-CH"/>
        </w:rPr>
        <w:t>à une procédure présentent les requêtes, appels et autres</w:t>
      </w:r>
      <w:r w:rsidR="005E6FDA" w:rsidRPr="00731644">
        <w:rPr>
          <w:lang w:val="fr-CH"/>
        </w:rPr>
        <w:t xml:space="preserve"> prétentions </w:t>
      </w:r>
      <w:r w:rsidR="00AB343B" w:rsidRPr="00731644">
        <w:rPr>
          <w:lang w:val="fr-CH"/>
        </w:rPr>
        <w:t>dans la langue officiellement en usage au tribunal.</w:t>
      </w:r>
      <w:r w:rsidR="00F31DD5" w:rsidRPr="00731644">
        <w:rPr>
          <w:lang w:val="fr-CH"/>
        </w:rPr>
        <w:t xml:space="preserve"> </w:t>
      </w:r>
      <w:r w:rsidR="00AB343B" w:rsidRPr="00731644">
        <w:rPr>
          <w:lang w:val="fr-CH"/>
        </w:rPr>
        <w:t xml:space="preserve">Ils peuvent aussi le faire dans </w:t>
      </w:r>
      <w:r w:rsidR="00CD6E8F" w:rsidRPr="00731644">
        <w:rPr>
          <w:lang w:val="fr-CH"/>
        </w:rPr>
        <w:t>la langue d</w:t>
      </w:r>
      <w:r w:rsidR="00425386" w:rsidRPr="00731644">
        <w:rPr>
          <w:lang w:val="fr-CH"/>
        </w:rPr>
        <w:t>’</w:t>
      </w:r>
      <w:r w:rsidR="00CD6E8F" w:rsidRPr="00731644">
        <w:rPr>
          <w:lang w:val="fr-CH"/>
        </w:rPr>
        <w:t>une minorité nationale qui n</w:t>
      </w:r>
      <w:r w:rsidR="00425386" w:rsidRPr="00731644">
        <w:rPr>
          <w:lang w:val="fr-CH"/>
        </w:rPr>
        <w:t>’</w:t>
      </w:r>
      <w:r w:rsidR="00CD6E8F" w:rsidRPr="00731644">
        <w:rPr>
          <w:lang w:val="fr-CH"/>
        </w:rPr>
        <w:t>est pas officiellement employée au tribunal si c</w:t>
      </w:r>
      <w:r w:rsidR="00425386" w:rsidRPr="00731644">
        <w:rPr>
          <w:lang w:val="fr-CH"/>
        </w:rPr>
        <w:t>’</w:t>
      </w:r>
      <w:r w:rsidR="00CD6E8F" w:rsidRPr="00731644">
        <w:rPr>
          <w:lang w:val="fr-CH"/>
        </w:rPr>
        <w:t>est conforme à la loi.</w:t>
      </w:r>
      <w:r w:rsidR="00F31DD5" w:rsidRPr="00731644">
        <w:rPr>
          <w:lang w:val="fr-CH"/>
        </w:rPr>
        <w:t xml:space="preserve"> </w:t>
      </w:r>
      <w:r w:rsidR="00CD6E8F" w:rsidRPr="00731644">
        <w:rPr>
          <w:lang w:val="fr-CH"/>
        </w:rPr>
        <w:t>Le</w:t>
      </w:r>
      <w:r w:rsidR="004B075D" w:rsidRPr="00731644">
        <w:rPr>
          <w:lang w:val="fr-CH"/>
        </w:rPr>
        <w:t xml:space="preserve"> coût de </w:t>
      </w:r>
      <w:r w:rsidR="00CD6E8F" w:rsidRPr="00731644">
        <w:rPr>
          <w:lang w:val="fr-CH"/>
        </w:rPr>
        <w:t xml:space="preserve">la traduction dans les langues des minorités nationales en application de la </w:t>
      </w:r>
      <w:r w:rsidR="00BA54A8" w:rsidRPr="00731644">
        <w:rPr>
          <w:lang w:val="fr-CH"/>
        </w:rPr>
        <w:t xml:space="preserve">Constitution </w:t>
      </w:r>
      <w:r w:rsidR="00CD6E8F" w:rsidRPr="00731644">
        <w:rPr>
          <w:lang w:val="fr-CH"/>
        </w:rPr>
        <w:t xml:space="preserve">et de la </w:t>
      </w:r>
      <w:r w:rsidR="00CD6E8F" w:rsidRPr="00255BEA">
        <w:rPr>
          <w:iCs/>
          <w:lang w:val="fr-CH"/>
        </w:rPr>
        <w:t>loi relative au droit des minorités nationales d</w:t>
      </w:r>
      <w:r w:rsidR="00425386" w:rsidRPr="00255BEA">
        <w:rPr>
          <w:iCs/>
          <w:lang w:val="fr-CH"/>
        </w:rPr>
        <w:t>’</w:t>
      </w:r>
      <w:r w:rsidR="00CD6E8F" w:rsidRPr="00255BEA">
        <w:rPr>
          <w:iCs/>
          <w:lang w:val="fr-CH"/>
        </w:rPr>
        <w:t xml:space="preserve">utiliser leur propre langue </w:t>
      </w:r>
      <w:r w:rsidR="004B075D" w:rsidRPr="00731644">
        <w:rPr>
          <w:lang w:val="fr-CH"/>
        </w:rPr>
        <w:t>es</w:t>
      </w:r>
      <w:r w:rsidR="00CD6E8F" w:rsidRPr="00731644">
        <w:rPr>
          <w:lang w:val="fr-CH"/>
        </w:rPr>
        <w:t>t imp</w:t>
      </w:r>
      <w:r w:rsidR="00FA18EA" w:rsidRPr="00731644">
        <w:rPr>
          <w:lang w:val="fr-CH"/>
        </w:rPr>
        <w:t>uté</w:t>
      </w:r>
      <w:r w:rsidR="00CD6E8F" w:rsidRPr="00731644">
        <w:rPr>
          <w:lang w:val="fr-CH"/>
        </w:rPr>
        <w:t xml:space="preserve"> au budget</w:t>
      </w:r>
      <w:r w:rsidR="00F31DD5" w:rsidRPr="00731644">
        <w:rPr>
          <w:lang w:val="fr-CH"/>
        </w:rPr>
        <w:t xml:space="preserve"> </w:t>
      </w:r>
      <w:r w:rsidR="00CD6E8F" w:rsidRPr="00731644">
        <w:rPr>
          <w:lang w:val="fr-CH"/>
        </w:rPr>
        <w:t xml:space="preserve">du tribunal. </w:t>
      </w:r>
    </w:p>
    <w:p w:rsidR="00BA54A8" w:rsidRPr="00731644" w:rsidRDefault="007609CB" w:rsidP="00BA54A8">
      <w:pPr>
        <w:pStyle w:val="SingleTxtG"/>
        <w:rPr>
          <w:lang w:val="fr-CH"/>
        </w:rPr>
      </w:pPr>
      <w:r w:rsidRPr="00731644">
        <w:rPr>
          <w:lang w:val="fr-CH"/>
        </w:rPr>
        <w:t>99.</w:t>
      </w:r>
      <w:r w:rsidRPr="00731644">
        <w:rPr>
          <w:lang w:val="fr-CH"/>
        </w:rPr>
        <w:tab/>
      </w:r>
      <w:r w:rsidR="003876AC" w:rsidRPr="00731644">
        <w:rPr>
          <w:lang w:val="fr-CH"/>
        </w:rPr>
        <w:t xml:space="preserve">Le Parlement du Monténégro a adopté, à sa séance du 6 avril 2011, la </w:t>
      </w:r>
      <w:r w:rsidR="003876AC" w:rsidRPr="00255BEA">
        <w:rPr>
          <w:i/>
          <w:lang w:val="fr-CH"/>
        </w:rPr>
        <w:t>loi relative à l</w:t>
      </w:r>
      <w:r w:rsidR="00425386" w:rsidRPr="00255BEA">
        <w:rPr>
          <w:i/>
          <w:lang w:val="fr-CH"/>
        </w:rPr>
        <w:t>’</w:t>
      </w:r>
      <w:r w:rsidR="003876AC" w:rsidRPr="00255BEA">
        <w:rPr>
          <w:i/>
          <w:lang w:val="fr-CH"/>
        </w:rPr>
        <w:t>aide juridictionnelle gratuite</w:t>
      </w:r>
      <w:r w:rsidR="00BA54A8" w:rsidRPr="00731644">
        <w:rPr>
          <w:lang w:val="fr-CH"/>
        </w:rPr>
        <w:t xml:space="preserve">. </w:t>
      </w:r>
      <w:r w:rsidR="003876AC" w:rsidRPr="00731644">
        <w:rPr>
          <w:lang w:val="fr-CH"/>
        </w:rPr>
        <w:t>Celle-ci comprend l</w:t>
      </w:r>
      <w:r w:rsidR="00425386" w:rsidRPr="00731644">
        <w:rPr>
          <w:lang w:val="fr-CH"/>
        </w:rPr>
        <w:t>’</w:t>
      </w:r>
      <w:r w:rsidR="003876AC" w:rsidRPr="00731644">
        <w:rPr>
          <w:lang w:val="fr-CH"/>
        </w:rPr>
        <w:t>allocation des fonds nécessaires pour financer les dépenses liées à la procédure, ainsi qu</w:t>
      </w:r>
      <w:r w:rsidR="00425386" w:rsidRPr="00731644">
        <w:rPr>
          <w:lang w:val="fr-CH"/>
        </w:rPr>
        <w:t>’</w:t>
      </w:r>
      <w:r w:rsidR="003876AC" w:rsidRPr="00731644">
        <w:rPr>
          <w:lang w:val="fr-CH"/>
        </w:rPr>
        <w:t>une exonération des frais</w:t>
      </w:r>
      <w:r w:rsidR="004B075D" w:rsidRPr="00731644">
        <w:rPr>
          <w:lang w:val="fr-CH"/>
        </w:rPr>
        <w:t xml:space="preserve"> de</w:t>
      </w:r>
      <w:r w:rsidR="003876AC" w:rsidRPr="00731644">
        <w:rPr>
          <w:lang w:val="fr-CH"/>
        </w:rPr>
        <w:t xml:space="preserve"> ju</w:t>
      </w:r>
      <w:r w:rsidR="004B075D" w:rsidRPr="00731644">
        <w:rPr>
          <w:lang w:val="fr-CH"/>
        </w:rPr>
        <w:t>stice</w:t>
      </w:r>
      <w:r w:rsidR="00BA54A8" w:rsidRPr="00731644">
        <w:rPr>
          <w:lang w:val="fr-CH"/>
        </w:rPr>
        <w:t xml:space="preserve">. </w:t>
      </w:r>
      <w:r w:rsidR="003876AC" w:rsidRPr="00731644">
        <w:rPr>
          <w:lang w:val="fr-CH"/>
        </w:rPr>
        <w:t>La loi fixe les conditions à remplir pour obtenir</w:t>
      </w:r>
      <w:r w:rsidR="00F31DD5" w:rsidRPr="00731644">
        <w:rPr>
          <w:lang w:val="fr-CH"/>
        </w:rPr>
        <w:t xml:space="preserve"> </w:t>
      </w:r>
      <w:r w:rsidR="003876AC" w:rsidRPr="00731644">
        <w:rPr>
          <w:lang w:val="fr-CH"/>
        </w:rPr>
        <w:t>l</w:t>
      </w:r>
      <w:r w:rsidR="00425386" w:rsidRPr="00731644">
        <w:rPr>
          <w:lang w:val="fr-CH"/>
        </w:rPr>
        <w:t>’</w:t>
      </w:r>
      <w:r w:rsidR="003876AC" w:rsidRPr="00731644">
        <w:rPr>
          <w:lang w:val="fr-CH"/>
        </w:rPr>
        <w:t xml:space="preserve">aide juridictionnelle gratuite, indique </w:t>
      </w:r>
      <w:r w:rsidR="00CB7658" w:rsidRPr="00731644">
        <w:rPr>
          <w:lang w:val="fr-CH"/>
        </w:rPr>
        <w:t>les personnes</w:t>
      </w:r>
      <w:r w:rsidR="003876AC" w:rsidRPr="00731644">
        <w:rPr>
          <w:lang w:val="fr-CH"/>
        </w:rPr>
        <w:t xml:space="preserve"> autorisées à </w:t>
      </w:r>
      <w:r w:rsidR="004B075D" w:rsidRPr="00731644">
        <w:rPr>
          <w:lang w:val="fr-CH"/>
        </w:rPr>
        <w:t>apporter</w:t>
      </w:r>
      <w:r w:rsidR="003876AC" w:rsidRPr="00731644">
        <w:rPr>
          <w:lang w:val="fr-CH"/>
        </w:rPr>
        <w:t xml:space="preserve"> </w:t>
      </w:r>
      <w:r w:rsidR="004B075D" w:rsidRPr="00731644">
        <w:rPr>
          <w:lang w:val="fr-CH"/>
        </w:rPr>
        <w:t>cette aide ainsi que</w:t>
      </w:r>
      <w:r w:rsidR="003876AC" w:rsidRPr="00731644">
        <w:rPr>
          <w:lang w:val="fr-CH"/>
        </w:rPr>
        <w:t xml:space="preserve"> les modalités d</w:t>
      </w:r>
      <w:r w:rsidR="004B075D" w:rsidRPr="00731644">
        <w:rPr>
          <w:lang w:val="fr-CH"/>
        </w:rPr>
        <w:t xml:space="preserve">e son </w:t>
      </w:r>
      <w:r w:rsidR="003876AC" w:rsidRPr="00731644">
        <w:rPr>
          <w:lang w:val="fr-CH"/>
        </w:rPr>
        <w:t>attribution et précise d</w:t>
      </w:r>
      <w:r w:rsidR="00425386" w:rsidRPr="00731644">
        <w:rPr>
          <w:lang w:val="fr-CH"/>
        </w:rPr>
        <w:t>’</w:t>
      </w:r>
      <w:r w:rsidR="003876AC" w:rsidRPr="00731644">
        <w:rPr>
          <w:lang w:val="fr-CH"/>
        </w:rPr>
        <w:t>autres aspects de l</w:t>
      </w:r>
      <w:r w:rsidR="00425386" w:rsidRPr="00731644">
        <w:rPr>
          <w:lang w:val="fr-CH"/>
        </w:rPr>
        <w:t>’</w:t>
      </w:r>
      <w:r w:rsidR="003876AC" w:rsidRPr="00731644">
        <w:rPr>
          <w:lang w:val="fr-CH"/>
        </w:rPr>
        <w:t>exercice de ce droit. L</w:t>
      </w:r>
      <w:r w:rsidR="00425386" w:rsidRPr="00731644">
        <w:rPr>
          <w:lang w:val="fr-CH"/>
        </w:rPr>
        <w:t>’</w:t>
      </w:r>
      <w:r w:rsidR="003876AC" w:rsidRPr="00731644">
        <w:rPr>
          <w:lang w:val="fr-CH"/>
        </w:rPr>
        <w:t>en</w:t>
      </w:r>
      <w:r w:rsidR="004B075D" w:rsidRPr="00731644">
        <w:rPr>
          <w:lang w:val="fr-CH"/>
        </w:rPr>
        <w:t>t</w:t>
      </w:r>
      <w:r w:rsidR="003876AC" w:rsidRPr="00731644">
        <w:rPr>
          <w:lang w:val="fr-CH"/>
        </w:rPr>
        <w:t xml:space="preserve">rée en vigueur des dispositions de </w:t>
      </w:r>
      <w:r w:rsidR="007171B4" w:rsidRPr="00731644">
        <w:rPr>
          <w:lang w:val="fr-CH"/>
        </w:rPr>
        <w:t xml:space="preserve">la </w:t>
      </w:r>
      <w:r w:rsidR="003876AC" w:rsidRPr="00731644">
        <w:rPr>
          <w:lang w:val="fr-CH"/>
        </w:rPr>
        <w:t>loi a été repo</w:t>
      </w:r>
      <w:r w:rsidR="004B075D" w:rsidRPr="00731644">
        <w:rPr>
          <w:lang w:val="fr-CH"/>
        </w:rPr>
        <w:t>rt</w:t>
      </w:r>
      <w:r w:rsidR="003876AC" w:rsidRPr="00731644">
        <w:rPr>
          <w:lang w:val="fr-CH"/>
        </w:rPr>
        <w:t>ée au 1</w:t>
      </w:r>
      <w:r w:rsidR="003876AC" w:rsidRPr="00731644">
        <w:rPr>
          <w:vertAlign w:val="superscript"/>
          <w:lang w:val="fr-CH"/>
        </w:rPr>
        <w:t>er</w:t>
      </w:r>
      <w:r w:rsidR="003876AC" w:rsidRPr="00731644">
        <w:rPr>
          <w:lang w:val="fr-CH"/>
        </w:rPr>
        <w:t xml:space="preserve"> janvier </w:t>
      </w:r>
      <w:r w:rsidR="00BA54A8" w:rsidRPr="00731644">
        <w:rPr>
          <w:lang w:val="fr-CH"/>
        </w:rPr>
        <w:t>2012</w:t>
      </w:r>
      <w:r w:rsidR="00F31DD5" w:rsidRPr="00731644">
        <w:rPr>
          <w:lang w:val="fr-CH"/>
        </w:rPr>
        <w:t>;</w:t>
      </w:r>
      <w:r w:rsidR="003876AC" w:rsidRPr="00731644">
        <w:rPr>
          <w:lang w:val="fr-CH"/>
        </w:rPr>
        <w:t xml:space="preserve"> </w:t>
      </w:r>
      <w:r w:rsidR="004B075D" w:rsidRPr="00731644">
        <w:rPr>
          <w:lang w:val="fr-CH"/>
        </w:rPr>
        <w:t>entretemps</w:t>
      </w:r>
      <w:r w:rsidR="003876AC" w:rsidRPr="00731644">
        <w:rPr>
          <w:lang w:val="fr-CH"/>
        </w:rPr>
        <w:t>, des textes d</w:t>
      </w:r>
      <w:r w:rsidR="00425386" w:rsidRPr="00731644">
        <w:rPr>
          <w:lang w:val="fr-CH"/>
        </w:rPr>
        <w:t>’</w:t>
      </w:r>
      <w:r w:rsidR="003876AC" w:rsidRPr="00731644">
        <w:rPr>
          <w:lang w:val="fr-CH"/>
        </w:rPr>
        <w:t>application devraient être adoptés, les moyens techniques et humains requis pour</w:t>
      </w:r>
      <w:r w:rsidR="00F31DD5" w:rsidRPr="00731644">
        <w:rPr>
          <w:lang w:val="fr-CH"/>
        </w:rPr>
        <w:t xml:space="preserve"> </w:t>
      </w:r>
      <w:r w:rsidR="003876AC" w:rsidRPr="00731644">
        <w:rPr>
          <w:lang w:val="fr-CH"/>
        </w:rPr>
        <w:t>la prestation de</w:t>
      </w:r>
      <w:r w:rsidR="00FE382C" w:rsidRPr="00731644">
        <w:rPr>
          <w:lang w:val="fr-CH"/>
        </w:rPr>
        <w:t>s</w:t>
      </w:r>
      <w:r w:rsidR="003876AC" w:rsidRPr="00731644">
        <w:rPr>
          <w:lang w:val="fr-CH"/>
        </w:rPr>
        <w:t xml:space="preserve"> services</w:t>
      </w:r>
      <w:r w:rsidR="00FE382C" w:rsidRPr="00731644">
        <w:rPr>
          <w:lang w:val="fr-CH"/>
        </w:rPr>
        <w:t xml:space="preserve"> d</w:t>
      </w:r>
      <w:r w:rsidR="00425386" w:rsidRPr="00731644">
        <w:rPr>
          <w:lang w:val="fr-CH"/>
        </w:rPr>
        <w:t>’</w:t>
      </w:r>
      <w:r w:rsidR="00FE382C" w:rsidRPr="00731644">
        <w:rPr>
          <w:lang w:val="fr-CH"/>
        </w:rPr>
        <w:t>aide juridictionnelle</w:t>
      </w:r>
      <w:r w:rsidR="003876AC" w:rsidRPr="00731644">
        <w:rPr>
          <w:lang w:val="fr-CH"/>
        </w:rPr>
        <w:t>, mis en place</w:t>
      </w:r>
      <w:r w:rsidR="007171B4" w:rsidRPr="00731644">
        <w:rPr>
          <w:lang w:val="fr-CH"/>
        </w:rPr>
        <w:t>,</w:t>
      </w:r>
      <w:r w:rsidR="003876AC" w:rsidRPr="00731644">
        <w:rPr>
          <w:lang w:val="fr-CH"/>
        </w:rPr>
        <w:t xml:space="preserve"> et</w:t>
      </w:r>
      <w:r w:rsidR="00F31DD5" w:rsidRPr="00731644">
        <w:rPr>
          <w:lang w:val="fr-CH"/>
        </w:rPr>
        <w:t xml:space="preserve"> </w:t>
      </w:r>
      <w:r w:rsidR="003876AC" w:rsidRPr="00731644">
        <w:rPr>
          <w:lang w:val="fr-CH"/>
        </w:rPr>
        <w:t xml:space="preserve">les crédits nécessaires à leur </w:t>
      </w:r>
      <w:r w:rsidR="00FE382C" w:rsidRPr="00731644">
        <w:rPr>
          <w:lang w:val="fr-CH"/>
        </w:rPr>
        <w:t>financement</w:t>
      </w:r>
      <w:r w:rsidR="003876AC" w:rsidRPr="00731644">
        <w:rPr>
          <w:lang w:val="fr-CH"/>
        </w:rPr>
        <w:t xml:space="preserve">, inscrits au budget pour </w:t>
      </w:r>
      <w:r w:rsidR="00BA54A8" w:rsidRPr="00731644">
        <w:rPr>
          <w:lang w:val="fr-CH"/>
        </w:rPr>
        <w:t>2012.</w:t>
      </w:r>
    </w:p>
    <w:p w:rsidR="001B7B88" w:rsidRPr="00731644" w:rsidRDefault="007609CB" w:rsidP="00BA54A8">
      <w:pPr>
        <w:pStyle w:val="SingleTxtG"/>
        <w:rPr>
          <w:lang w:val="fr-CH"/>
        </w:rPr>
      </w:pPr>
      <w:r w:rsidRPr="00731644">
        <w:rPr>
          <w:lang w:val="fr-CH"/>
        </w:rPr>
        <w:t>100.</w:t>
      </w:r>
      <w:r w:rsidRPr="00731644">
        <w:rPr>
          <w:lang w:val="fr-CH"/>
        </w:rPr>
        <w:tab/>
      </w:r>
      <w:r w:rsidR="004B075D" w:rsidRPr="00731644">
        <w:rPr>
          <w:lang w:val="fr-CH"/>
        </w:rPr>
        <w:t>L</w:t>
      </w:r>
      <w:r w:rsidR="00E1422D" w:rsidRPr="00731644">
        <w:rPr>
          <w:lang w:val="fr-CH"/>
        </w:rPr>
        <w:t xml:space="preserve">e modèle </w:t>
      </w:r>
      <w:r w:rsidR="00051082" w:rsidRPr="00731644">
        <w:rPr>
          <w:lang w:val="fr-CH"/>
        </w:rPr>
        <w:t xml:space="preserve">qui a été </w:t>
      </w:r>
      <w:r w:rsidR="004B075D" w:rsidRPr="00731644">
        <w:rPr>
          <w:lang w:val="fr-CH"/>
        </w:rPr>
        <w:t>adopté est celui de</w:t>
      </w:r>
      <w:r w:rsidR="00E1422D" w:rsidRPr="00731644">
        <w:rPr>
          <w:lang w:val="fr-CH"/>
        </w:rPr>
        <w:t xml:space="preserve"> l</w:t>
      </w:r>
      <w:r w:rsidR="00425386" w:rsidRPr="00731644">
        <w:rPr>
          <w:lang w:val="fr-CH"/>
        </w:rPr>
        <w:t>’</w:t>
      </w:r>
      <w:r w:rsidR="00E1422D" w:rsidRPr="00731644">
        <w:rPr>
          <w:lang w:val="fr-CH"/>
        </w:rPr>
        <w:t>aide juridictionnelle gratuite en justice.</w:t>
      </w:r>
      <w:r w:rsidR="00F31DD5" w:rsidRPr="00731644">
        <w:rPr>
          <w:lang w:val="fr-CH"/>
        </w:rPr>
        <w:t xml:space="preserve"> </w:t>
      </w:r>
      <w:r w:rsidR="00051082" w:rsidRPr="00731644">
        <w:rPr>
          <w:lang w:val="fr-CH"/>
        </w:rPr>
        <w:t>La loi</w:t>
      </w:r>
      <w:r w:rsidR="00E1422D" w:rsidRPr="00731644">
        <w:rPr>
          <w:lang w:val="fr-CH"/>
        </w:rPr>
        <w:t xml:space="preserve"> prescrit la création </w:t>
      </w:r>
      <w:r w:rsidR="001B7B88" w:rsidRPr="00731644">
        <w:rPr>
          <w:lang w:val="fr-CH"/>
        </w:rPr>
        <w:t>de</w:t>
      </w:r>
      <w:r w:rsidR="00E1422D" w:rsidRPr="00731644">
        <w:rPr>
          <w:lang w:val="fr-CH"/>
        </w:rPr>
        <w:t xml:space="preserve"> service</w:t>
      </w:r>
      <w:r w:rsidR="001B7B88" w:rsidRPr="00731644">
        <w:rPr>
          <w:lang w:val="fr-CH"/>
        </w:rPr>
        <w:t>s</w:t>
      </w:r>
      <w:r w:rsidR="00E1422D" w:rsidRPr="00731644">
        <w:rPr>
          <w:lang w:val="fr-CH"/>
        </w:rPr>
        <w:t xml:space="preserve"> d</w:t>
      </w:r>
      <w:r w:rsidR="00425386" w:rsidRPr="00731644">
        <w:rPr>
          <w:lang w:val="fr-CH"/>
        </w:rPr>
        <w:t>’</w:t>
      </w:r>
      <w:r w:rsidR="00E1422D" w:rsidRPr="00731644">
        <w:rPr>
          <w:lang w:val="fr-CH"/>
        </w:rPr>
        <w:t>aide juridicti</w:t>
      </w:r>
      <w:r w:rsidR="00051082" w:rsidRPr="00731644">
        <w:rPr>
          <w:lang w:val="fr-CH"/>
        </w:rPr>
        <w:t>o</w:t>
      </w:r>
      <w:r w:rsidR="00E1422D" w:rsidRPr="00731644">
        <w:rPr>
          <w:lang w:val="fr-CH"/>
        </w:rPr>
        <w:t>nnelle gratuite dans toutes les jur</w:t>
      </w:r>
      <w:r w:rsidR="001B7B88" w:rsidRPr="00731644">
        <w:rPr>
          <w:lang w:val="fr-CH"/>
        </w:rPr>
        <w:t>i</w:t>
      </w:r>
      <w:r w:rsidR="00E1422D" w:rsidRPr="00731644">
        <w:rPr>
          <w:lang w:val="fr-CH"/>
        </w:rPr>
        <w:t>d</w:t>
      </w:r>
      <w:r w:rsidR="00051082" w:rsidRPr="00731644">
        <w:rPr>
          <w:lang w:val="fr-CH"/>
        </w:rPr>
        <w:t>i</w:t>
      </w:r>
      <w:r w:rsidR="00E1422D" w:rsidRPr="00731644">
        <w:rPr>
          <w:lang w:val="fr-CH"/>
        </w:rPr>
        <w:t xml:space="preserve">ctions du premier degré, </w:t>
      </w:r>
      <w:r w:rsidR="00FE382C" w:rsidRPr="00731644">
        <w:rPr>
          <w:lang w:val="fr-CH"/>
        </w:rPr>
        <w:t>auxquelles il appartiendra</w:t>
      </w:r>
      <w:r w:rsidR="00051082" w:rsidRPr="00731644">
        <w:rPr>
          <w:lang w:val="fr-CH"/>
        </w:rPr>
        <w:t xml:space="preserve"> de</w:t>
      </w:r>
      <w:r w:rsidR="00E1422D" w:rsidRPr="00731644">
        <w:rPr>
          <w:lang w:val="fr-CH"/>
        </w:rPr>
        <w:t xml:space="preserve"> déterminer si</w:t>
      </w:r>
      <w:r w:rsidR="00F31DD5" w:rsidRPr="00731644">
        <w:rPr>
          <w:lang w:val="fr-CH"/>
        </w:rPr>
        <w:t xml:space="preserve"> </w:t>
      </w:r>
      <w:r w:rsidR="00E1422D" w:rsidRPr="00731644">
        <w:rPr>
          <w:lang w:val="fr-CH"/>
        </w:rPr>
        <w:t>le demandeur de l</w:t>
      </w:r>
      <w:r w:rsidR="00425386" w:rsidRPr="00731644">
        <w:rPr>
          <w:lang w:val="fr-CH"/>
        </w:rPr>
        <w:t>’</w:t>
      </w:r>
      <w:r w:rsidR="00E1422D" w:rsidRPr="00731644">
        <w:rPr>
          <w:lang w:val="fr-CH"/>
        </w:rPr>
        <w:t>aide satisfait aux critères fixés. L</w:t>
      </w:r>
      <w:r w:rsidR="00425386" w:rsidRPr="00731644">
        <w:rPr>
          <w:lang w:val="fr-CH"/>
        </w:rPr>
        <w:t>’</w:t>
      </w:r>
      <w:r w:rsidR="00E1422D" w:rsidRPr="00731644">
        <w:rPr>
          <w:lang w:val="fr-CH"/>
        </w:rPr>
        <w:t xml:space="preserve">appréciation se </w:t>
      </w:r>
      <w:r w:rsidR="00FE382C" w:rsidRPr="00731644">
        <w:rPr>
          <w:lang w:val="fr-CH"/>
        </w:rPr>
        <w:t>fera</w:t>
      </w:r>
      <w:r w:rsidR="00E1422D" w:rsidRPr="00731644">
        <w:rPr>
          <w:lang w:val="fr-CH"/>
        </w:rPr>
        <w:t xml:space="preserve"> au regard des conditions financières définies par la loi.</w:t>
      </w:r>
      <w:r w:rsidR="006443F6" w:rsidRPr="00731644">
        <w:rPr>
          <w:lang w:val="fr-CH"/>
        </w:rPr>
        <w:t xml:space="preserve"> </w:t>
      </w:r>
      <w:r w:rsidR="00E1422D" w:rsidRPr="00731644">
        <w:rPr>
          <w:lang w:val="fr-CH"/>
        </w:rPr>
        <w:t>Celle-ci prévoi</w:t>
      </w:r>
      <w:r w:rsidR="00051082" w:rsidRPr="00731644">
        <w:rPr>
          <w:lang w:val="fr-CH"/>
        </w:rPr>
        <w:t>t que l</w:t>
      </w:r>
      <w:r w:rsidR="00425386" w:rsidRPr="00731644">
        <w:rPr>
          <w:lang w:val="fr-CH"/>
        </w:rPr>
        <w:t>’</w:t>
      </w:r>
      <w:r w:rsidR="00E1422D" w:rsidRPr="00731644">
        <w:rPr>
          <w:lang w:val="fr-CH"/>
        </w:rPr>
        <w:t xml:space="preserve">aide juridictionnelle </w:t>
      </w:r>
      <w:r w:rsidR="00051082" w:rsidRPr="00731644">
        <w:rPr>
          <w:lang w:val="fr-CH"/>
        </w:rPr>
        <w:t xml:space="preserve">peut prendre la forme </w:t>
      </w:r>
      <w:r w:rsidR="00E1422D" w:rsidRPr="00731644">
        <w:rPr>
          <w:lang w:val="fr-CH"/>
        </w:rPr>
        <w:t xml:space="preserve">de conseils juridiques, </w:t>
      </w:r>
      <w:r w:rsidR="00051082" w:rsidRPr="00731644">
        <w:rPr>
          <w:lang w:val="fr-CH"/>
        </w:rPr>
        <w:t xml:space="preserve">de </w:t>
      </w:r>
      <w:r w:rsidR="00E1422D" w:rsidRPr="00731644">
        <w:rPr>
          <w:lang w:val="fr-CH"/>
        </w:rPr>
        <w:t xml:space="preserve">la rédaction de documents et </w:t>
      </w:r>
      <w:r w:rsidR="00051082" w:rsidRPr="00731644">
        <w:rPr>
          <w:lang w:val="fr-CH"/>
        </w:rPr>
        <w:t xml:space="preserve">de </w:t>
      </w:r>
      <w:r w:rsidR="00E1422D" w:rsidRPr="00731644">
        <w:rPr>
          <w:lang w:val="fr-CH"/>
        </w:rPr>
        <w:t xml:space="preserve">la représentation en justice. Les conseils </w:t>
      </w:r>
      <w:r w:rsidR="00FE382C" w:rsidRPr="00731644">
        <w:rPr>
          <w:lang w:val="fr-CH"/>
        </w:rPr>
        <w:t xml:space="preserve">juridiques </w:t>
      </w:r>
      <w:r w:rsidR="00E1422D" w:rsidRPr="00731644">
        <w:rPr>
          <w:lang w:val="fr-CH"/>
        </w:rPr>
        <w:t xml:space="preserve">peuvent </w:t>
      </w:r>
      <w:r w:rsidR="00051082" w:rsidRPr="00731644">
        <w:rPr>
          <w:lang w:val="fr-CH"/>
        </w:rPr>
        <w:t>également</w:t>
      </w:r>
      <w:r w:rsidR="00E1422D" w:rsidRPr="00731644">
        <w:rPr>
          <w:lang w:val="fr-CH"/>
        </w:rPr>
        <w:t xml:space="preserve"> être </w:t>
      </w:r>
      <w:r w:rsidR="00051082" w:rsidRPr="00731644">
        <w:rPr>
          <w:lang w:val="fr-CH"/>
        </w:rPr>
        <w:t>prodigués</w:t>
      </w:r>
      <w:r w:rsidR="00E1422D" w:rsidRPr="00731644">
        <w:rPr>
          <w:lang w:val="fr-CH"/>
        </w:rPr>
        <w:t xml:space="preserve"> par le service de l</w:t>
      </w:r>
      <w:r w:rsidR="00425386" w:rsidRPr="00731644">
        <w:rPr>
          <w:lang w:val="fr-CH"/>
        </w:rPr>
        <w:t>’</w:t>
      </w:r>
      <w:r w:rsidR="00E1422D" w:rsidRPr="00731644">
        <w:rPr>
          <w:lang w:val="fr-CH"/>
        </w:rPr>
        <w:t xml:space="preserve">aide juridictionnelle, tandis que les deux autres modalités exigent </w:t>
      </w:r>
      <w:r w:rsidR="001B7B88" w:rsidRPr="00731644">
        <w:rPr>
          <w:lang w:val="fr-CH"/>
        </w:rPr>
        <w:t>le rec</w:t>
      </w:r>
      <w:r w:rsidR="00051082" w:rsidRPr="00731644">
        <w:rPr>
          <w:lang w:val="fr-CH"/>
        </w:rPr>
        <w:t xml:space="preserve">ours à </w:t>
      </w:r>
      <w:r w:rsidR="00E1422D" w:rsidRPr="00731644">
        <w:rPr>
          <w:lang w:val="fr-CH"/>
        </w:rPr>
        <w:t>un avocat</w:t>
      </w:r>
      <w:r w:rsidR="00BA54A8" w:rsidRPr="00731644">
        <w:rPr>
          <w:lang w:val="fr-CH"/>
        </w:rPr>
        <w:t xml:space="preserve">. </w:t>
      </w:r>
      <w:r w:rsidR="00051082" w:rsidRPr="00731644">
        <w:rPr>
          <w:lang w:val="fr-CH"/>
        </w:rPr>
        <w:t xml:space="preserve">Le fait </w:t>
      </w:r>
      <w:r w:rsidR="00FE382C" w:rsidRPr="00731644">
        <w:rPr>
          <w:lang w:val="fr-CH"/>
        </w:rPr>
        <w:t>que</w:t>
      </w:r>
      <w:r w:rsidR="00051082" w:rsidRPr="00731644">
        <w:rPr>
          <w:lang w:val="fr-CH"/>
        </w:rPr>
        <w:t xml:space="preserve"> toutes les formes de l</w:t>
      </w:r>
      <w:r w:rsidR="00425386" w:rsidRPr="00731644">
        <w:rPr>
          <w:lang w:val="fr-CH"/>
        </w:rPr>
        <w:t>’</w:t>
      </w:r>
      <w:r w:rsidR="00051082" w:rsidRPr="00731644">
        <w:rPr>
          <w:lang w:val="fr-CH"/>
        </w:rPr>
        <w:t xml:space="preserve">aide juridictionnelle gratuite </w:t>
      </w:r>
      <w:r w:rsidR="00FE382C" w:rsidRPr="00731644">
        <w:rPr>
          <w:lang w:val="fr-CH"/>
        </w:rPr>
        <w:t xml:space="preserve">soient confiées </w:t>
      </w:r>
      <w:r w:rsidR="00051082" w:rsidRPr="00731644">
        <w:rPr>
          <w:lang w:val="fr-CH"/>
        </w:rPr>
        <w:t>à</w:t>
      </w:r>
      <w:r w:rsidR="00E1422D" w:rsidRPr="00731644">
        <w:rPr>
          <w:lang w:val="fr-CH"/>
        </w:rPr>
        <w:t xml:space="preserve"> des hommes de loi</w:t>
      </w:r>
      <w:r w:rsidR="001B7B88" w:rsidRPr="00731644">
        <w:rPr>
          <w:lang w:val="fr-CH"/>
        </w:rPr>
        <w:t xml:space="preserve"> est considéré comme une garantie de la qualité de </w:t>
      </w:r>
      <w:r w:rsidR="00051082" w:rsidRPr="00731644">
        <w:rPr>
          <w:lang w:val="fr-CH"/>
        </w:rPr>
        <w:t xml:space="preserve">cette </w:t>
      </w:r>
      <w:r w:rsidR="001B7B88" w:rsidRPr="00731644">
        <w:rPr>
          <w:lang w:val="fr-CH"/>
        </w:rPr>
        <w:t>aide.</w:t>
      </w:r>
      <w:r w:rsidR="00F31DD5" w:rsidRPr="00731644">
        <w:rPr>
          <w:lang w:val="fr-CH"/>
        </w:rPr>
        <w:t xml:space="preserve"> </w:t>
      </w:r>
    </w:p>
    <w:p w:rsidR="00BA54A8" w:rsidRPr="00731644" w:rsidRDefault="007609CB" w:rsidP="00BA54A8">
      <w:pPr>
        <w:pStyle w:val="SingleTxtG"/>
        <w:rPr>
          <w:lang w:val="fr-CH"/>
        </w:rPr>
      </w:pPr>
      <w:r w:rsidRPr="00731644">
        <w:rPr>
          <w:lang w:val="fr-CH"/>
        </w:rPr>
        <w:t>101.</w:t>
      </w:r>
      <w:r w:rsidRPr="00731644">
        <w:rPr>
          <w:lang w:val="fr-CH"/>
        </w:rPr>
        <w:tab/>
      </w:r>
      <w:r w:rsidR="001B7B88" w:rsidRPr="00731644">
        <w:rPr>
          <w:lang w:val="fr-CH"/>
        </w:rPr>
        <w:t>La mise en œuvre et l</w:t>
      </w:r>
      <w:r w:rsidR="00425386" w:rsidRPr="00731644">
        <w:rPr>
          <w:lang w:val="fr-CH"/>
        </w:rPr>
        <w:t>’</w:t>
      </w:r>
      <w:r w:rsidR="001B7B88" w:rsidRPr="00731644">
        <w:rPr>
          <w:lang w:val="fr-CH"/>
        </w:rPr>
        <w:t xml:space="preserve">exercice de ce droit conformément à la nouvelle loi </w:t>
      </w:r>
      <w:r w:rsidR="003F2B7C" w:rsidRPr="00731644">
        <w:rPr>
          <w:lang w:val="fr-CH"/>
        </w:rPr>
        <w:t>doi</w:t>
      </w:r>
      <w:r w:rsidR="0008328F" w:rsidRPr="00731644">
        <w:rPr>
          <w:lang w:val="fr-CH"/>
        </w:rPr>
        <w:t>vent</w:t>
      </w:r>
      <w:r w:rsidR="003F2B7C" w:rsidRPr="00731644">
        <w:rPr>
          <w:lang w:val="fr-CH"/>
        </w:rPr>
        <w:t xml:space="preserve"> être assuré</w:t>
      </w:r>
      <w:r w:rsidR="0008328F" w:rsidRPr="00731644">
        <w:rPr>
          <w:lang w:val="fr-CH"/>
        </w:rPr>
        <w:t>s</w:t>
      </w:r>
      <w:r w:rsidR="003F2B7C" w:rsidRPr="00731644">
        <w:rPr>
          <w:lang w:val="fr-CH"/>
        </w:rPr>
        <w:t xml:space="preserve"> sans discrimination </w:t>
      </w:r>
      <w:r w:rsidR="00FE382C" w:rsidRPr="00731644">
        <w:rPr>
          <w:lang w:val="fr-CH"/>
        </w:rPr>
        <w:t>liée à la</w:t>
      </w:r>
      <w:r w:rsidR="003F2B7C" w:rsidRPr="00731644">
        <w:rPr>
          <w:lang w:val="fr-CH"/>
        </w:rPr>
        <w:t xml:space="preserve"> </w:t>
      </w:r>
      <w:r w:rsidR="0008328F" w:rsidRPr="00731644">
        <w:rPr>
          <w:lang w:val="fr-CH"/>
        </w:rPr>
        <w:t>nationali</w:t>
      </w:r>
      <w:r w:rsidR="003F2B7C" w:rsidRPr="00731644">
        <w:rPr>
          <w:lang w:val="fr-CH"/>
        </w:rPr>
        <w:t xml:space="preserve">té, </w:t>
      </w:r>
      <w:r w:rsidR="00FE382C" w:rsidRPr="00731644">
        <w:rPr>
          <w:lang w:val="fr-CH"/>
        </w:rPr>
        <w:t>à l</w:t>
      </w:r>
      <w:r w:rsidR="00425386" w:rsidRPr="00731644">
        <w:rPr>
          <w:lang w:val="fr-CH"/>
        </w:rPr>
        <w:t>’</w:t>
      </w:r>
      <w:r w:rsidR="003F2B7C" w:rsidRPr="00731644">
        <w:rPr>
          <w:lang w:val="fr-CH"/>
        </w:rPr>
        <w:t>origine ethnique,</w:t>
      </w:r>
      <w:r w:rsidR="00FE382C" w:rsidRPr="00731644">
        <w:rPr>
          <w:lang w:val="fr-CH"/>
        </w:rPr>
        <w:t xml:space="preserve"> à la</w:t>
      </w:r>
      <w:r w:rsidR="003F2B7C" w:rsidRPr="00731644">
        <w:rPr>
          <w:lang w:val="fr-CH"/>
        </w:rPr>
        <w:t xml:space="preserve"> race</w:t>
      </w:r>
      <w:r w:rsidR="00051082" w:rsidRPr="00731644">
        <w:rPr>
          <w:lang w:val="fr-CH"/>
        </w:rPr>
        <w:t>,</w:t>
      </w:r>
      <w:r w:rsidR="00FE382C" w:rsidRPr="00731644">
        <w:rPr>
          <w:lang w:val="fr-CH"/>
        </w:rPr>
        <w:t xml:space="preserve"> à</w:t>
      </w:r>
      <w:r w:rsidR="003F2B7C" w:rsidRPr="00731644">
        <w:rPr>
          <w:lang w:val="fr-CH"/>
        </w:rPr>
        <w:t xml:space="preserve"> </w:t>
      </w:r>
      <w:r w:rsidR="00FE382C" w:rsidRPr="00731644">
        <w:rPr>
          <w:lang w:val="fr-CH"/>
        </w:rPr>
        <w:t>la</w:t>
      </w:r>
      <w:r w:rsidR="003F2B7C" w:rsidRPr="00731644">
        <w:rPr>
          <w:lang w:val="fr-CH"/>
        </w:rPr>
        <w:t xml:space="preserve"> couleur,</w:t>
      </w:r>
      <w:r w:rsidR="00FE382C" w:rsidRPr="00731644">
        <w:rPr>
          <w:lang w:val="fr-CH"/>
        </w:rPr>
        <w:t xml:space="preserve"> à</w:t>
      </w:r>
      <w:r w:rsidR="003F2B7C" w:rsidRPr="00731644">
        <w:rPr>
          <w:lang w:val="fr-CH"/>
        </w:rPr>
        <w:t xml:space="preserve"> </w:t>
      </w:r>
      <w:r w:rsidR="00FE382C" w:rsidRPr="00731644">
        <w:rPr>
          <w:lang w:val="fr-CH"/>
        </w:rPr>
        <w:t>la</w:t>
      </w:r>
      <w:r w:rsidR="003F2B7C" w:rsidRPr="00731644">
        <w:rPr>
          <w:lang w:val="fr-CH"/>
        </w:rPr>
        <w:t xml:space="preserve"> langue, </w:t>
      </w:r>
      <w:r w:rsidR="00FE382C" w:rsidRPr="00731644">
        <w:rPr>
          <w:lang w:val="fr-CH"/>
        </w:rPr>
        <w:t>aux</w:t>
      </w:r>
      <w:r w:rsidR="003F2B7C" w:rsidRPr="00731644">
        <w:rPr>
          <w:lang w:val="fr-CH"/>
        </w:rPr>
        <w:t xml:space="preserve"> convictions religieuses ou politiques</w:t>
      </w:r>
      <w:r w:rsidR="0008328F" w:rsidRPr="00731644">
        <w:rPr>
          <w:lang w:val="fr-CH"/>
        </w:rPr>
        <w:t xml:space="preserve">, </w:t>
      </w:r>
      <w:r w:rsidR="00FE382C" w:rsidRPr="00731644">
        <w:rPr>
          <w:lang w:val="fr-CH"/>
        </w:rPr>
        <w:t>à l</w:t>
      </w:r>
      <w:r w:rsidR="00425386" w:rsidRPr="00731644">
        <w:rPr>
          <w:lang w:val="fr-CH"/>
        </w:rPr>
        <w:t>’</w:t>
      </w:r>
      <w:r w:rsidR="0008328F" w:rsidRPr="00731644">
        <w:rPr>
          <w:lang w:val="fr-CH"/>
        </w:rPr>
        <w:t>identité sexuelle,</w:t>
      </w:r>
      <w:r w:rsidR="003F2B7C" w:rsidRPr="00731644">
        <w:rPr>
          <w:lang w:val="fr-CH"/>
        </w:rPr>
        <w:t xml:space="preserve"> </w:t>
      </w:r>
      <w:r w:rsidR="00FE382C" w:rsidRPr="00731644">
        <w:rPr>
          <w:lang w:val="fr-CH"/>
        </w:rPr>
        <w:t>à l</w:t>
      </w:r>
      <w:r w:rsidR="00425386" w:rsidRPr="00731644">
        <w:rPr>
          <w:lang w:val="fr-CH"/>
        </w:rPr>
        <w:t>’</w:t>
      </w:r>
      <w:r w:rsidR="003F2B7C" w:rsidRPr="00731644">
        <w:rPr>
          <w:lang w:val="fr-CH"/>
        </w:rPr>
        <w:t xml:space="preserve">orientation sexuelle, </w:t>
      </w:r>
      <w:r w:rsidR="00FE382C" w:rsidRPr="00731644">
        <w:rPr>
          <w:lang w:val="fr-CH"/>
        </w:rPr>
        <w:t>à l</w:t>
      </w:r>
      <w:r w:rsidR="00425386" w:rsidRPr="00731644">
        <w:rPr>
          <w:lang w:val="fr-CH"/>
        </w:rPr>
        <w:t>’</w:t>
      </w:r>
      <w:r w:rsidR="003F2B7C" w:rsidRPr="00731644">
        <w:rPr>
          <w:lang w:val="fr-CH"/>
        </w:rPr>
        <w:t xml:space="preserve">état de santé, </w:t>
      </w:r>
      <w:r w:rsidR="00FE382C" w:rsidRPr="00731644">
        <w:rPr>
          <w:lang w:val="fr-CH"/>
        </w:rPr>
        <w:t>au</w:t>
      </w:r>
      <w:r w:rsidR="003F2B7C" w:rsidRPr="00731644">
        <w:rPr>
          <w:lang w:val="fr-CH"/>
        </w:rPr>
        <w:t xml:space="preserve"> handicap ni </w:t>
      </w:r>
      <w:r w:rsidR="00FE382C" w:rsidRPr="00731644">
        <w:rPr>
          <w:lang w:val="fr-CH"/>
        </w:rPr>
        <w:t xml:space="preserve">à quelque </w:t>
      </w:r>
      <w:r w:rsidR="003F2B7C" w:rsidRPr="00731644">
        <w:rPr>
          <w:lang w:val="fr-CH"/>
        </w:rPr>
        <w:t>autre caractéristique personnelle</w:t>
      </w:r>
      <w:r w:rsidR="00BA54A8" w:rsidRPr="00731644">
        <w:rPr>
          <w:lang w:val="fr-CH"/>
        </w:rPr>
        <w:t xml:space="preserve">. </w:t>
      </w:r>
      <w:r w:rsidR="007174D9" w:rsidRPr="00731644">
        <w:rPr>
          <w:lang w:val="fr-CH"/>
        </w:rPr>
        <w:t xml:space="preserve">Peuvent prétendre </w:t>
      </w:r>
      <w:r w:rsidR="003F2B7C" w:rsidRPr="00731644">
        <w:rPr>
          <w:lang w:val="fr-CH"/>
        </w:rPr>
        <w:t>à l</w:t>
      </w:r>
      <w:r w:rsidR="00425386" w:rsidRPr="00731644">
        <w:rPr>
          <w:lang w:val="fr-CH"/>
        </w:rPr>
        <w:t>’</w:t>
      </w:r>
      <w:r w:rsidR="003F2B7C" w:rsidRPr="00731644">
        <w:rPr>
          <w:lang w:val="fr-CH"/>
        </w:rPr>
        <w:t xml:space="preserve">aide </w:t>
      </w:r>
      <w:r w:rsidR="00A66512" w:rsidRPr="00731644">
        <w:rPr>
          <w:lang w:val="fr-CH"/>
        </w:rPr>
        <w:t>juridictionnelle</w:t>
      </w:r>
      <w:r w:rsidR="003F2B7C" w:rsidRPr="00731644">
        <w:rPr>
          <w:lang w:val="fr-CH"/>
        </w:rPr>
        <w:t xml:space="preserve"> gratuite </w:t>
      </w:r>
      <w:r w:rsidR="007174D9" w:rsidRPr="00731644">
        <w:rPr>
          <w:lang w:val="fr-CH"/>
        </w:rPr>
        <w:t>dans les conditions énoncées par cette loi</w:t>
      </w:r>
      <w:r w:rsidR="00F31DD5" w:rsidRPr="00731644">
        <w:rPr>
          <w:lang w:val="fr-CH"/>
        </w:rPr>
        <w:t>:</w:t>
      </w:r>
      <w:r w:rsidR="003F2B7C" w:rsidRPr="00731644">
        <w:rPr>
          <w:lang w:val="fr-CH"/>
        </w:rPr>
        <w:t xml:space="preserve"> </w:t>
      </w:r>
      <w:r w:rsidR="007174D9" w:rsidRPr="00731644">
        <w:rPr>
          <w:lang w:val="fr-CH"/>
        </w:rPr>
        <w:t>les</w:t>
      </w:r>
      <w:r w:rsidR="003F2B7C" w:rsidRPr="00731644">
        <w:rPr>
          <w:lang w:val="fr-CH"/>
        </w:rPr>
        <w:t xml:space="preserve"> </w:t>
      </w:r>
      <w:r w:rsidR="008F1F15" w:rsidRPr="00731644">
        <w:rPr>
          <w:lang w:val="fr-CH"/>
        </w:rPr>
        <w:t xml:space="preserve">nationaux </w:t>
      </w:r>
      <w:r w:rsidR="003F2B7C" w:rsidRPr="00731644">
        <w:rPr>
          <w:lang w:val="fr-CH"/>
        </w:rPr>
        <w:t xml:space="preserve">monténégrins, </w:t>
      </w:r>
      <w:r w:rsidR="007174D9" w:rsidRPr="00731644">
        <w:rPr>
          <w:lang w:val="fr-CH"/>
        </w:rPr>
        <w:t>les</w:t>
      </w:r>
      <w:r w:rsidR="003F2B7C" w:rsidRPr="00731644">
        <w:rPr>
          <w:lang w:val="fr-CH"/>
        </w:rPr>
        <w:t xml:space="preserve"> apatrides</w:t>
      </w:r>
      <w:r w:rsidR="0008328F" w:rsidRPr="00731644">
        <w:rPr>
          <w:lang w:val="fr-CH"/>
        </w:rPr>
        <w:t xml:space="preserve"> qui</w:t>
      </w:r>
      <w:r w:rsidR="003F2B7C" w:rsidRPr="00731644">
        <w:rPr>
          <w:lang w:val="fr-CH"/>
        </w:rPr>
        <w:t xml:space="preserve"> résid</w:t>
      </w:r>
      <w:r w:rsidR="0008328F" w:rsidRPr="00731644">
        <w:rPr>
          <w:lang w:val="fr-CH"/>
        </w:rPr>
        <w:t>e</w:t>
      </w:r>
      <w:r w:rsidR="003F2B7C" w:rsidRPr="00731644">
        <w:rPr>
          <w:lang w:val="fr-CH"/>
        </w:rPr>
        <w:t xml:space="preserve">nt légalement </w:t>
      </w:r>
      <w:r w:rsidR="0008328F" w:rsidRPr="00731644">
        <w:rPr>
          <w:lang w:val="fr-CH"/>
        </w:rPr>
        <w:t>dans le pays</w:t>
      </w:r>
      <w:r w:rsidR="003F2B7C" w:rsidRPr="00731644">
        <w:rPr>
          <w:lang w:val="fr-CH"/>
        </w:rPr>
        <w:t xml:space="preserve"> et </w:t>
      </w:r>
      <w:r w:rsidR="0008328F" w:rsidRPr="00731644">
        <w:rPr>
          <w:lang w:val="fr-CH"/>
        </w:rPr>
        <w:t>les demandeurs d</w:t>
      </w:r>
      <w:r w:rsidR="00425386" w:rsidRPr="00731644">
        <w:rPr>
          <w:lang w:val="fr-CH"/>
        </w:rPr>
        <w:t>’</w:t>
      </w:r>
      <w:r w:rsidR="003F2B7C" w:rsidRPr="00731644">
        <w:rPr>
          <w:lang w:val="fr-CH"/>
        </w:rPr>
        <w:t xml:space="preserve">asile, </w:t>
      </w:r>
      <w:r w:rsidR="007174D9" w:rsidRPr="00731644">
        <w:rPr>
          <w:lang w:val="fr-CH"/>
        </w:rPr>
        <w:t>les</w:t>
      </w:r>
      <w:r w:rsidR="003F2B7C" w:rsidRPr="00731644">
        <w:rPr>
          <w:lang w:val="fr-CH"/>
        </w:rPr>
        <w:t xml:space="preserve"> étrangers qui ont leur domicile </w:t>
      </w:r>
      <w:r w:rsidR="0008328F" w:rsidRPr="00731644">
        <w:rPr>
          <w:lang w:val="fr-CH"/>
        </w:rPr>
        <w:t xml:space="preserve">au Monténégro </w:t>
      </w:r>
      <w:r w:rsidR="003F2B7C" w:rsidRPr="00731644">
        <w:rPr>
          <w:lang w:val="fr-CH"/>
        </w:rPr>
        <w:t xml:space="preserve">ou </w:t>
      </w:r>
      <w:r w:rsidR="0008328F" w:rsidRPr="00731644">
        <w:rPr>
          <w:lang w:val="fr-CH"/>
        </w:rPr>
        <w:t>qui disposent d</w:t>
      </w:r>
      <w:r w:rsidR="00425386" w:rsidRPr="00731644">
        <w:rPr>
          <w:lang w:val="fr-CH"/>
        </w:rPr>
        <w:t>’</w:t>
      </w:r>
      <w:r w:rsidR="003F2B7C" w:rsidRPr="00731644">
        <w:rPr>
          <w:lang w:val="fr-CH"/>
        </w:rPr>
        <w:t>un</w:t>
      </w:r>
      <w:r w:rsidR="007174D9" w:rsidRPr="00731644">
        <w:rPr>
          <w:lang w:val="fr-CH"/>
        </w:rPr>
        <w:t xml:space="preserve"> titre de séjour temporaire, et les </w:t>
      </w:r>
      <w:r w:rsidR="002675AE">
        <w:rPr>
          <w:lang w:val="fr-CH"/>
        </w:rPr>
        <w:t>autres personnes</w:t>
      </w:r>
      <w:r w:rsidR="007174D9" w:rsidRPr="00731644">
        <w:rPr>
          <w:lang w:val="fr-CH"/>
        </w:rPr>
        <w:t xml:space="preserve"> auxquelles s</w:t>
      </w:r>
      <w:r w:rsidR="00425386" w:rsidRPr="00731644">
        <w:rPr>
          <w:lang w:val="fr-CH"/>
        </w:rPr>
        <w:t>’</w:t>
      </w:r>
      <w:r w:rsidR="007174D9" w:rsidRPr="00731644">
        <w:rPr>
          <w:lang w:val="fr-CH"/>
        </w:rPr>
        <w:t xml:space="preserve">appliquent </w:t>
      </w:r>
      <w:r w:rsidR="00FE382C" w:rsidRPr="00731644">
        <w:rPr>
          <w:lang w:val="fr-CH"/>
        </w:rPr>
        <w:t>d</w:t>
      </w:r>
      <w:r w:rsidR="007174D9" w:rsidRPr="00731644">
        <w:rPr>
          <w:lang w:val="fr-CH"/>
        </w:rPr>
        <w:t>es règles de droit international qui s</w:t>
      </w:r>
      <w:r w:rsidR="00425386" w:rsidRPr="00731644">
        <w:rPr>
          <w:lang w:val="fr-CH"/>
        </w:rPr>
        <w:t>’</w:t>
      </w:r>
      <w:r w:rsidR="007174D9" w:rsidRPr="00731644">
        <w:rPr>
          <w:lang w:val="fr-CH"/>
        </w:rPr>
        <w:t>imposent au Monténégro.</w:t>
      </w:r>
      <w:r w:rsidR="00BA54A8" w:rsidRPr="00731644">
        <w:rPr>
          <w:lang w:val="fr-CH"/>
        </w:rPr>
        <w:t xml:space="preserve"> </w:t>
      </w:r>
      <w:r w:rsidR="007174D9" w:rsidRPr="00731644">
        <w:rPr>
          <w:lang w:val="fr-CH"/>
        </w:rPr>
        <w:t>Ont droit à l</w:t>
      </w:r>
      <w:r w:rsidR="00425386" w:rsidRPr="00731644">
        <w:rPr>
          <w:lang w:val="fr-CH"/>
        </w:rPr>
        <w:t>’</w:t>
      </w:r>
      <w:r w:rsidR="007174D9" w:rsidRPr="00731644">
        <w:rPr>
          <w:lang w:val="fr-CH"/>
        </w:rPr>
        <w:t xml:space="preserve">aide </w:t>
      </w:r>
      <w:r w:rsidR="00F26360" w:rsidRPr="00731644">
        <w:rPr>
          <w:lang w:val="fr-CH"/>
        </w:rPr>
        <w:t>juridictionnelle</w:t>
      </w:r>
      <w:r w:rsidR="007174D9" w:rsidRPr="00731644">
        <w:rPr>
          <w:lang w:val="fr-CH"/>
        </w:rPr>
        <w:t xml:space="preserve"> gratuite</w:t>
      </w:r>
      <w:r w:rsidR="00F31DD5" w:rsidRPr="00731644">
        <w:rPr>
          <w:lang w:val="fr-CH"/>
        </w:rPr>
        <w:t>:</w:t>
      </w:r>
      <w:r w:rsidR="007174D9" w:rsidRPr="00731644">
        <w:rPr>
          <w:lang w:val="fr-CH"/>
        </w:rPr>
        <w:t xml:space="preserve"> les bénéficiaires d</w:t>
      </w:r>
      <w:r w:rsidR="00425386" w:rsidRPr="00731644">
        <w:rPr>
          <w:lang w:val="fr-CH"/>
        </w:rPr>
        <w:t>’</w:t>
      </w:r>
      <w:r w:rsidR="008F1F15" w:rsidRPr="00731644">
        <w:rPr>
          <w:lang w:val="fr-CH"/>
        </w:rPr>
        <w:t xml:space="preserve">allocations </w:t>
      </w:r>
      <w:r w:rsidR="007174D9" w:rsidRPr="00731644">
        <w:rPr>
          <w:lang w:val="fr-CH"/>
        </w:rPr>
        <w:t>familiale</w:t>
      </w:r>
      <w:r w:rsidR="008F1F15" w:rsidRPr="00731644">
        <w:rPr>
          <w:lang w:val="fr-CH"/>
        </w:rPr>
        <w:t>s</w:t>
      </w:r>
      <w:r w:rsidR="007174D9" w:rsidRPr="00731644">
        <w:rPr>
          <w:lang w:val="fr-CH"/>
        </w:rPr>
        <w:t xml:space="preserve"> ou d</w:t>
      </w:r>
      <w:r w:rsidR="00425386" w:rsidRPr="00731644">
        <w:rPr>
          <w:lang w:val="fr-CH"/>
        </w:rPr>
        <w:t>’</w:t>
      </w:r>
      <w:r w:rsidR="007174D9" w:rsidRPr="00731644">
        <w:rPr>
          <w:lang w:val="fr-CH"/>
        </w:rPr>
        <w:t>autres prestations des services de protection sociale, conformément à la</w:t>
      </w:r>
      <w:r w:rsidR="008F1F15" w:rsidRPr="00731644">
        <w:rPr>
          <w:lang w:val="fr-CH"/>
        </w:rPr>
        <w:t xml:space="preserve"> </w:t>
      </w:r>
      <w:r w:rsidR="008F1F15" w:rsidRPr="00255BEA">
        <w:rPr>
          <w:iCs/>
          <w:lang w:val="fr-CH"/>
        </w:rPr>
        <w:t xml:space="preserve">loi relative à </w:t>
      </w:r>
      <w:r w:rsidR="007174D9" w:rsidRPr="00255BEA">
        <w:rPr>
          <w:iCs/>
          <w:lang w:val="fr-CH"/>
        </w:rPr>
        <w:t xml:space="preserve">la protection sociale et </w:t>
      </w:r>
      <w:r w:rsidR="008E7680" w:rsidRPr="00255BEA">
        <w:rPr>
          <w:iCs/>
          <w:lang w:val="fr-CH"/>
        </w:rPr>
        <w:t xml:space="preserve">à </w:t>
      </w:r>
      <w:r w:rsidR="007174D9" w:rsidRPr="00255BEA">
        <w:rPr>
          <w:iCs/>
          <w:lang w:val="fr-CH"/>
        </w:rPr>
        <w:t>la protection de l</w:t>
      </w:r>
      <w:r w:rsidR="00425386" w:rsidRPr="00255BEA">
        <w:rPr>
          <w:iCs/>
          <w:lang w:val="fr-CH"/>
        </w:rPr>
        <w:t>’</w:t>
      </w:r>
      <w:r w:rsidR="007174D9" w:rsidRPr="00255BEA">
        <w:rPr>
          <w:iCs/>
          <w:lang w:val="fr-CH"/>
        </w:rPr>
        <w:t>enfance</w:t>
      </w:r>
      <w:r w:rsidR="00F31DD5" w:rsidRPr="00731644">
        <w:rPr>
          <w:lang w:val="fr-CH"/>
        </w:rPr>
        <w:t>;</w:t>
      </w:r>
      <w:r w:rsidR="007174D9" w:rsidRPr="00731644">
        <w:rPr>
          <w:lang w:val="fr-CH"/>
        </w:rPr>
        <w:t xml:space="preserve"> les </w:t>
      </w:r>
      <w:r w:rsidR="008F1F15" w:rsidRPr="00731644">
        <w:rPr>
          <w:lang w:val="fr-CH"/>
        </w:rPr>
        <w:t>orphelins</w:t>
      </w:r>
      <w:r w:rsidR="00F31DD5" w:rsidRPr="00731644">
        <w:rPr>
          <w:lang w:val="fr-CH"/>
        </w:rPr>
        <w:t>;</w:t>
      </w:r>
      <w:r w:rsidR="007174D9" w:rsidRPr="00731644">
        <w:rPr>
          <w:lang w:val="fr-CH"/>
        </w:rPr>
        <w:t xml:space="preserve"> les victimes de violences familiales</w:t>
      </w:r>
      <w:r w:rsidR="00F31DD5" w:rsidRPr="00731644">
        <w:rPr>
          <w:lang w:val="fr-CH"/>
        </w:rPr>
        <w:t>;</w:t>
      </w:r>
      <w:r w:rsidR="007174D9" w:rsidRPr="00731644">
        <w:rPr>
          <w:lang w:val="fr-CH"/>
        </w:rPr>
        <w:t xml:space="preserve"> </w:t>
      </w:r>
      <w:r w:rsidR="00CB7658" w:rsidRPr="00731644">
        <w:rPr>
          <w:lang w:val="fr-CH"/>
        </w:rPr>
        <w:t>les personnes</w:t>
      </w:r>
      <w:r w:rsidR="007174D9" w:rsidRPr="00731644">
        <w:rPr>
          <w:lang w:val="fr-CH"/>
        </w:rPr>
        <w:t xml:space="preserve"> dans le dénuement.</w:t>
      </w:r>
    </w:p>
    <w:p w:rsidR="00BA54A8" w:rsidRPr="00731644" w:rsidRDefault="007174D9" w:rsidP="007A429C">
      <w:pPr>
        <w:pStyle w:val="H23G"/>
        <w:rPr>
          <w:lang w:val="fr-CH"/>
        </w:rPr>
      </w:pPr>
      <w:r w:rsidRPr="00731644">
        <w:rPr>
          <w:lang w:val="fr-CH"/>
        </w:rPr>
        <w:tab/>
      </w:r>
      <w:r w:rsidRPr="00731644">
        <w:rPr>
          <w:lang w:val="fr-CH"/>
        </w:rPr>
        <w:tab/>
        <w:t xml:space="preserve">Le droit à la </w:t>
      </w:r>
      <w:r w:rsidR="008F1F15" w:rsidRPr="00731644">
        <w:rPr>
          <w:lang w:val="fr-CH"/>
        </w:rPr>
        <w:t>sûre</w:t>
      </w:r>
      <w:r w:rsidRPr="00731644">
        <w:rPr>
          <w:lang w:val="fr-CH"/>
        </w:rPr>
        <w:t xml:space="preserve">té de la personne et </w:t>
      </w:r>
      <w:r w:rsidR="008F1F15" w:rsidRPr="00731644">
        <w:rPr>
          <w:lang w:val="fr-CH"/>
        </w:rPr>
        <w:t xml:space="preserve">à </w:t>
      </w:r>
      <w:r w:rsidR="00C53045" w:rsidRPr="00731644">
        <w:rPr>
          <w:lang w:val="fr-CH"/>
        </w:rPr>
        <w:t xml:space="preserve">la protection </w:t>
      </w:r>
      <w:r w:rsidR="008F1F15" w:rsidRPr="00731644">
        <w:rPr>
          <w:lang w:val="fr-CH"/>
        </w:rPr>
        <w:t>de</w:t>
      </w:r>
      <w:r w:rsidR="00C53045" w:rsidRPr="00731644">
        <w:rPr>
          <w:lang w:val="fr-CH"/>
        </w:rPr>
        <w:t xml:space="preserve"> l</w:t>
      </w:r>
      <w:r w:rsidR="00425386" w:rsidRPr="00731644">
        <w:rPr>
          <w:lang w:val="fr-CH"/>
        </w:rPr>
        <w:t>’</w:t>
      </w:r>
      <w:r w:rsidR="00C53045" w:rsidRPr="00731644">
        <w:rPr>
          <w:lang w:val="fr-CH"/>
        </w:rPr>
        <w:t>État cont</w:t>
      </w:r>
      <w:r w:rsidR="008F1F15" w:rsidRPr="00731644">
        <w:rPr>
          <w:lang w:val="fr-CH"/>
        </w:rPr>
        <w:t>re les mauvais traitements de la part de ses organes ou de tout individu,</w:t>
      </w:r>
      <w:r w:rsidR="00C53045" w:rsidRPr="00731644">
        <w:rPr>
          <w:lang w:val="fr-CH"/>
        </w:rPr>
        <w:t xml:space="preserve"> institution ou</w:t>
      </w:r>
      <w:r w:rsidR="00F31DD5" w:rsidRPr="00731644">
        <w:rPr>
          <w:lang w:val="fr-CH"/>
        </w:rPr>
        <w:t xml:space="preserve"> </w:t>
      </w:r>
      <w:r w:rsidR="00C53045" w:rsidRPr="00731644">
        <w:rPr>
          <w:lang w:val="fr-CH"/>
        </w:rPr>
        <w:t xml:space="preserve">groupe </w:t>
      </w:r>
    </w:p>
    <w:p w:rsidR="00BA54A8" w:rsidRPr="00731644" w:rsidRDefault="007609CB" w:rsidP="007D1E89">
      <w:pPr>
        <w:pStyle w:val="SingleTxtG"/>
        <w:rPr>
          <w:lang w:val="fr-CH"/>
        </w:rPr>
      </w:pPr>
      <w:r w:rsidRPr="00731644">
        <w:rPr>
          <w:lang w:val="fr-CH"/>
        </w:rPr>
        <w:t>102.</w:t>
      </w:r>
      <w:r w:rsidRPr="00731644">
        <w:rPr>
          <w:lang w:val="fr-CH"/>
        </w:rPr>
        <w:tab/>
      </w:r>
      <w:r w:rsidR="00C53045" w:rsidRPr="00731644">
        <w:rPr>
          <w:lang w:val="fr-CH"/>
        </w:rPr>
        <w:t>En ce qui concerne ces obligations de l</w:t>
      </w:r>
      <w:r w:rsidR="00425386" w:rsidRPr="00731644">
        <w:rPr>
          <w:lang w:val="fr-CH"/>
        </w:rPr>
        <w:t>’</w:t>
      </w:r>
      <w:r w:rsidR="00C53045" w:rsidRPr="00731644">
        <w:rPr>
          <w:lang w:val="fr-CH"/>
        </w:rPr>
        <w:t>État, il convient de se reporter aux indications</w:t>
      </w:r>
      <w:r w:rsidR="00F31DD5" w:rsidRPr="00731644">
        <w:rPr>
          <w:lang w:val="fr-CH"/>
        </w:rPr>
        <w:t xml:space="preserve"> </w:t>
      </w:r>
      <w:r w:rsidR="008E7680" w:rsidRPr="00731644">
        <w:rPr>
          <w:lang w:val="fr-CH"/>
        </w:rPr>
        <w:t>relatives</w:t>
      </w:r>
      <w:r w:rsidR="00C53045" w:rsidRPr="00731644">
        <w:rPr>
          <w:lang w:val="fr-CH"/>
        </w:rPr>
        <w:t xml:space="preserve"> au comportement de la police et aux organismes habilités à contrôler les autorités policières</w:t>
      </w:r>
      <w:r w:rsidR="008E7680" w:rsidRPr="00731644">
        <w:rPr>
          <w:lang w:val="fr-CH"/>
        </w:rPr>
        <w:t xml:space="preserve"> qui ont été données à propos de l</w:t>
      </w:r>
      <w:r w:rsidR="00425386" w:rsidRPr="00731644">
        <w:rPr>
          <w:lang w:val="fr-CH"/>
        </w:rPr>
        <w:t>’</w:t>
      </w:r>
      <w:r w:rsidR="008E7680" w:rsidRPr="00731644">
        <w:rPr>
          <w:lang w:val="fr-CH"/>
        </w:rPr>
        <w:t xml:space="preserve">application de </w:t>
      </w:r>
      <w:r w:rsidR="00374D76" w:rsidRPr="00731644">
        <w:rPr>
          <w:lang w:val="fr-CH"/>
        </w:rPr>
        <w:t>l</w:t>
      </w:r>
      <w:r w:rsidR="00425386" w:rsidRPr="00731644">
        <w:rPr>
          <w:lang w:val="fr-CH"/>
        </w:rPr>
        <w:t>’</w:t>
      </w:r>
      <w:r w:rsidR="001753EC">
        <w:rPr>
          <w:lang w:val="fr-CH"/>
        </w:rPr>
        <w:t>article </w:t>
      </w:r>
      <w:r w:rsidR="008E7680" w:rsidRPr="00731644">
        <w:rPr>
          <w:lang w:val="fr-CH"/>
        </w:rPr>
        <w:t>4 de la Convention</w:t>
      </w:r>
      <w:r w:rsidR="00BA54A8" w:rsidRPr="00731644">
        <w:rPr>
          <w:lang w:val="fr-CH"/>
        </w:rPr>
        <w:t>.</w:t>
      </w:r>
    </w:p>
    <w:p w:rsidR="00BA54A8" w:rsidRPr="00731644" w:rsidRDefault="00C53045" w:rsidP="007609CB">
      <w:pPr>
        <w:pStyle w:val="H23G"/>
        <w:rPr>
          <w:lang w:val="fr-CH"/>
        </w:rPr>
      </w:pPr>
      <w:r w:rsidRPr="00731644">
        <w:rPr>
          <w:lang w:val="fr-CH"/>
        </w:rPr>
        <w:tab/>
      </w:r>
      <w:r w:rsidRPr="00731644">
        <w:rPr>
          <w:lang w:val="fr-CH"/>
        </w:rPr>
        <w:tab/>
        <w:t>Droits p</w:t>
      </w:r>
      <w:r w:rsidR="00BA54A8" w:rsidRPr="00731644">
        <w:rPr>
          <w:lang w:val="fr-CH"/>
        </w:rPr>
        <w:t>oliti</w:t>
      </w:r>
      <w:r w:rsidRPr="00731644">
        <w:rPr>
          <w:lang w:val="fr-CH"/>
        </w:rPr>
        <w:t>ques,</w:t>
      </w:r>
      <w:r w:rsidR="00BA54A8" w:rsidRPr="00731644">
        <w:rPr>
          <w:lang w:val="fr-CH"/>
        </w:rPr>
        <w:t xml:space="preserve"> participation </w:t>
      </w:r>
      <w:r w:rsidRPr="00731644">
        <w:rPr>
          <w:lang w:val="fr-CH"/>
        </w:rPr>
        <w:t>aux é</w:t>
      </w:r>
      <w:r w:rsidR="00BA54A8" w:rsidRPr="00731644">
        <w:rPr>
          <w:lang w:val="fr-CH"/>
        </w:rPr>
        <w:t xml:space="preserve">lections, participation </w:t>
      </w:r>
      <w:r w:rsidR="007C43C9" w:rsidRPr="00731644">
        <w:rPr>
          <w:lang w:val="fr-CH"/>
        </w:rPr>
        <w:t>à la direction des affaires publiques</w:t>
      </w:r>
    </w:p>
    <w:p w:rsidR="00BA54A8" w:rsidRPr="00731644" w:rsidRDefault="007609CB" w:rsidP="00BA54A8">
      <w:pPr>
        <w:pStyle w:val="SingleTxtG"/>
        <w:rPr>
          <w:lang w:val="fr-CH"/>
        </w:rPr>
      </w:pPr>
      <w:r w:rsidRPr="00731644">
        <w:rPr>
          <w:lang w:val="fr-CH"/>
        </w:rPr>
        <w:t>103.</w:t>
      </w:r>
      <w:r w:rsidRPr="00731644">
        <w:rPr>
          <w:lang w:val="fr-CH"/>
        </w:rPr>
        <w:tab/>
      </w:r>
      <w:r w:rsidR="00C53045" w:rsidRPr="00731644">
        <w:rPr>
          <w:lang w:val="fr-CH"/>
        </w:rPr>
        <w:t xml:space="preserve">La </w:t>
      </w:r>
      <w:r w:rsidR="00290D06" w:rsidRPr="00731644">
        <w:rPr>
          <w:lang w:val="fr-CH"/>
        </w:rPr>
        <w:t xml:space="preserve">question de la </w:t>
      </w:r>
      <w:r w:rsidR="00C53045" w:rsidRPr="00731644">
        <w:rPr>
          <w:lang w:val="fr-CH"/>
        </w:rPr>
        <w:t xml:space="preserve">représentation politique des communautés minoritaires est liée à </w:t>
      </w:r>
      <w:r w:rsidR="00290D06" w:rsidRPr="00731644">
        <w:rPr>
          <w:lang w:val="fr-CH"/>
        </w:rPr>
        <w:t xml:space="preserve">celle de </w:t>
      </w:r>
      <w:r w:rsidR="00C53045" w:rsidRPr="00731644">
        <w:rPr>
          <w:lang w:val="fr-CH"/>
        </w:rPr>
        <w:t>l</w:t>
      </w:r>
      <w:r w:rsidR="00425386" w:rsidRPr="00731644">
        <w:rPr>
          <w:lang w:val="fr-CH"/>
        </w:rPr>
        <w:t>’</w:t>
      </w:r>
      <w:r w:rsidR="00290D06" w:rsidRPr="00731644">
        <w:rPr>
          <w:lang w:val="fr-CH"/>
        </w:rPr>
        <w:t>élabora</w:t>
      </w:r>
      <w:r w:rsidR="00C53045" w:rsidRPr="00731644">
        <w:rPr>
          <w:lang w:val="fr-CH"/>
        </w:rPr>
        <w:t>tion d</w:t>
      </w:r>
      <w:r w:rsidR="00425386" w:rsidRPr="00731644">
        <w:rPr>
          <w:lang w:val="fr-CH"/>
        </w:rPr>
        <w:t>’</w:t>
      </w:r>
      <w:r w:rsidR="00290D06" w:rsidRPr="00731644">
        <w:rPr>
          <w:lang w:val="fr-CH"/>
        </w:rPr>
        <w:t>une</w:t>
      </w:r>
      <w:r w:rsidR="00C53045" w:rsidRPr="00731644">
        <w:rPr>
          <w:lang w:val="fr-CH"/>
        </w:rPr>
        <w:t xml:space="preserve"> nouvelle législation électorale. Ce processus s</w:t>
      </w:r>
      <w:r w:rsidR="00425386" w:rsidRPr="00731644">
        <w:rPr>
          <w:lang w:val="fr-CH"/>
        </w:rPr>
        <w:t>’</w:t>
      </w:r>
      <w:r w:rsidR="00C53045" w:rsidRPr="00731644">
        <w:rPr>
          <w:lang w:val="fr-CH"/>
        </w:rPr>
        <w:t>accompagne depuis</w:t>
      </w:r>
      <w:r w:rsidR="00F31DD5" w:rsidRPr="00731644">
        <w:rPr>
          <w:lang w:val="fr-CH"/>
        </w:rPr>
        <w:t xml:space="preserve"> </w:t>
      </w:r>
      <w:r w:rsidR="00C53045" w:rsidRPr="00731644">
        <w:rPr>
          <w:lang w:val="fr-CH"/>
        </w:rPr>
        <w:t>longtemps d</w:t>
      </w:r>
      <w:r w:rsidR="00425386" w:rsidRPr="00731644">
        <w:rPr>
          <w:lang w:val="fr-CH"/>
        </w:rPr>
        <w:t>’</w:t>
      </w:r>
      <w:r w:rsidR="00C53045" w:rsidRPr="00731644">
        <w:rPr>
          <w:lang w:val="fr-CH"/>
        </w:rPr>
        <w:t xml:space="preserve">un certain nombre de controverses et </w:t>
      </w:r>
      <w:r w:rsidR="00314915" w:rsidRPr="00731644">
        <w:rPr>
          <w:lang w:val="fr-CH"/>
        </w:rPr>
        <w:t>d</w:t>
      </w:r>
      <w:r w:rsidR="00425386" w:rsidRPr="00731644">
        <w:rPr>
          <w:lang w:val="fr-CH"/>
        </w:rPr>
        <w:t>’</w:t>
      </w:r>
      <w:r w:rsidR="00BA54A8" w:rsidRPr="00731644">
        <w:rPr>
          <w:lang w:val="fr-CH"/>
        </w:rPr>
        <w:t xml:space="preserve">accusations </w:t>
      </w:r>
      <w:r w:rsidR="00314915" w:rsidRPr="00731644">
        <w:rPr>
          <w:lang w:val="fr-CH"/>
        </w:rPr>
        <w:t>réciproques des acteurs politiques de l</w:t>
      </w:r>
      <w:r w:rsidR="00425386" w:rsidRPr="00731644">
        <w:rPr>
          <w:lang w:val="fr-CH"/>
        </w:rPr>
        <w:t>’</w:t>
      </w:r>
      <w:r w:rsidR="00BA54A8" w:rsidRPr="00731644">
        <w:rPr>
          <w:lang w:val="fr-CH"/>
        </w:rPr>
        <w:t xml:space="preserve">opposition </w:t>
      </w:r>
      <w:r w:rsidR="00314915" w:rsidRPr="00731644">
        <w:rPr>
          <w:lang w:val="fr-CH"/>
        </w:rPr>
        <w:t>et des partis au pouvoir quant aux raisons pour lesquelles le Monténégro</w:t>
      </w:r>
      <w:r w:rsidR="00F31DD5" w:rsidRPr="00731644">
        <w:rPr>
          <w:lang w:val="fr-CH"/>
        </w:rPr>
        <w:t xml:space="preserve"> </w:t>
      </w:r>
      <w:r w:rsidR="00314915" w:rsidRPr="00731644">
        <w:rPr>
          <w:lang w:val="fr-CH"/>
        </w:rPr>
        <w:t>ne s</w:t>
      </w:r>
      <w:r w:rsidR="00425386" w:rsidRPr="00731644">
        <w:rPr>
          <w:lang w:val="fr-CH"/>
        </w:rPr>
        <w:t>’</w:t>
      </w:r>
      <w:r w:rsidR="00314915" w:rsidRPr="00731644">
        <w:rPr>
          <w:lang w:val="fr-CH"/>
        </w:rPr>
        <w:t>est pas doté d</w:t>
      </w:r>
      <w:r w:rsidR="00425386" w:rsidRPr="00731644">
        <w:rPr>
          <w:lang w:val="fr-CH"/>
        </w:rPr>
        <w:t>’</w:t>
      </w:r>
      <w:r w:rsidR="00314915" w:rsidRPr="00731644">
        <w:rPr>
          <w:lang w:val="fr-CH"/>
        </w:rPr>
        <w:t>une loi qui serait un</w:t>
      </w:r>
      <w:r w:rsidR="00723E92" w:rsidRPr="00731644">
        <w:rPr>
          <w:lang w:val="fr-CH"/>
        </w:rPr>
        <w:t>e pièce maîtresse</w:t>
      </w:r>
      <w:r w:rsidR="00314915" w:rsidRPr="00731644">
        <w:rPr>
          <w:lang w:val="fr-CH"/>
        </w:rPr>
        <w:t xml:space="preserve"> de son développement futur et de son intégration</w:t>
      </w:r>
      <w:r w:rsidR="00BA54A8" w:rsidRPr="00731644">
        <w:rPr>
          <w:lang w:val="fr-CH"/>
        </w:rPr>
        <w:t xml:space="preserve"> </w:t>
      </w:r>
      <w:r w:rsidR="00314915" w:rsidRPr="00731644">
        <w:rPr>
          <w:lang w:val="fr-CH"/>
        </w:rPr>
        <w:t>euratlantique</w:t>
      </w:r>
      <w:r w:rsidR="00BA54A8" w:rsidRPr="00731644">
        <w:rPr>
          <w:lang w:val="fr-CH"/>
        </w:rPr>
        <w:t>.</w:t>
      </w:r>
    </w:p>
    <w:p w:rsidR="00F3780F" w:rsidRPr="00731644" w:rsidRDefault="007609CB" w:rsidP="002675AE">
      <w:pPr>
        <w:pStyle w:val="SingleTxtG"/>
        <w:spacing w:after="240"/>
        <w:rPr>
          <w:lang w:val="fr-CH"/>
        </w:rPr>
      </w:pPr>
      <w:r w:rsidRPr="00731644">
        <w:rPr>
          <w:lang w:val="fr-CH"/>
        </w:rPr>
        <w:t>104.</w:t>
      </w:r>
      <w:r w:rsidRPr="00731644">
        <w:rPr>
          <w:lang w:val="fr-CH"/>
        </w:rPr>
        <w:tab/>
      </w:r>
      <w:r w:rsidR="00314915" w:rsidRPr="00731644">
        <w:rPr>
          <w:lang w:val="fr-CH"/>
        </w:rPr>
        <w:t>Aux dernières élections législatives</w:t>
      </w:r>
      <w:r w:rsidR="0003626E" w:rsidRPr="00731644">
        <w:rPr>
          <w:lang w:val="fr-CH"/>
        </w:rPr>
        <w:t>,</w:t>
      </w:r>
      <w:r w:rsidR="00314915" w:rsidRPr="00731644">
        <w:rPr>
          <w:lang w:val="fr-CH"/>
        </w:rPr>
        <w:t xml:space="preserve"> tenues </w:t>
      </w:r>
      <w:r w:rsidR="00290D06" w:rsidRPr="00731644">
        <w:rPr>
          <w:lang w:val="fr-CH"/>
        </w:rPr>
        <w:t xml:space="preserve">le </w:t>
      </w:r>
      <w:r w:rsidR="00BA54A8" w:rsidRPr="00731644">
        <w:rPr>
          <w:lang w:val="fr-CH"/>
        </w:rPr>
        <w:t xml:space="preserve">29 </w:t>
      </w:r>
      <w:r w:rsidR="00314915" w:rsidRPr="00731644">
        <w:rPr>
          <w:lang w:val="fr-CH"/>
        </w:rPr>
        <w:t>mars</w:t>
      </w:r>
      <w:r w:rsidR="00BA54A8" w:rsidRPr="00731644">
        <w:rPr>
          <w:lang w:val="fr-CH"/>
        </w:rPr>
        <w:t xml:space="preserve"> 2009, </w:t>
      </w:r>
      <w:r w:rsidR="00314915" w:rsidRPr="00731644">
        <w:rPr>
          <w:lang w:val="fr-CH"/>
        </w:rPr>
        <w:t xml:space="preserve">la liste commune du </w:t>
      </w:r>
      <w:r w:rsidR="00B27242" w:rsidRPr="00731644">
        <w:rPr>
          <w:lang w:val="fr-CH"/>
        </w:rPr>
        <w:t>P</w:t>
      </w:r>
      <w:r w:rsidR="00314915" w:rsidRPr="00731644">
        <w:rPr>
          <w:lang w:val="fr-CH"/>
        </w:rPr>
        <w:t>arti démocratique des socialistes</w:t>
      </w:r>
      <w:r w:rsidR="00B27242" w:rsidRPr="00731644">
        <w:rPr>
          <w:lang w:val="fr-CH"/>
        </w:rPr>
        <w:t xml:space="preserve">, du Parti </w:t>
      </w:r>
      <w:r w:rsidR="00282480" w:rsidRPr="00731644">
        <w:rPr>
          <w:lang w:val="fr-CH"/>
        </w:rPr>
        <w:t>social-démocrate</w:t>
      </w:r>
      <w:r w:rsidR="00B27242" w:rsidRPr="00731644">
        <w:rPr>
          <w:lang w:val="fr-CH"/>
        </w:rPr>
        <w:t>, du Parti bosniaque et de l</w:t>
      </w:r>
      <w:r w:rsidR="00425386" w:rsidRPr="00731644">
        <w:rPr>
          <w:lang w:val="fr-CH"/>
        </w:rPr>
        <w:t>’</w:t>
      </w:r>
      <w:r w:rsidR="00B27242" w:rsidRPr="00731644">
        <w:rPr>
          <w:lang w:val="fr-CH"/>
        </w:rPr>
        <w:t>Initiative civique croate a remporté 48 des</w:t>
      </w:r>
      <w:r w:rsidR="00BA54A8" w:rsidRPr="00731644">
        <w:rPr>
          <w:lang w:val="fr-CH"/>
        </w:rPr>
        <w:t xml:space="preserve"> 81</w:t>
      </w:r>
      <w:r w:rsidR="002675AE">
        <w:rPr>
          <w:lang w:val="fr-CH"/>
        </w:rPr>
        <w:t> </w:t>
      </w:r>
      <w:r w:rsidR="00B27242" w:rsidRPr="00731644">
        <w:rPr>
          <w:lang w:val="fr-CH"/>
        </w:rPr>
        <w:t>sièges à pourvoir; le Parti populaire socialiste a obtenu</w:t>
      </w:r>
      <w:r w:rsidR="00BA54A8" w:rsidRPr="00731644">
        <w:rPr>
          <w:lang w:val="fr-CH"/>
        </w:rPr>
        <w:t xml:space="preserve"> 16</w:t>
      </w:r>
      <w:r w:rsidR="002675AE">
        <w:rPr>
          <w:lang w:val="fr-CH"/>
        </w:rPr>
        <w:t> </w:t>
      </w:r>
      <w:r w:rsidR="00B27242" w:rsidRPr="00731644">
        <w:rPr>
          <w:lang w:val="fr-CH"/>
        </w:rPr>
        <w:t>sièges</w:t>
      </w:r>
      <w:r w:rsidR="00BA54A8" w:rsidRPr="00731644">
        <w:rPr>
          <w:lang w:val="fr-CH"/>
        </w:rPr>
        <w:t xml:space="preserve">, </w:t>
      </w:r>
      <w:r w:rsidR="00B27242" w:rsidRPr="00731644">
        <w:rPr>
          <w:lang w:val="fr-CH"/>
        </w:rPr>
        <w:t>la Nouvelle démocratie serbe, 8, le Mouvement pour le changement, 5, et l</w:t>
      </w:r>
      <w:r w:rsidR="00425386" w:rsidRPr="00731644">
        <w:rPr>
          <w:lang w:val="fr-CH"/>
        </w:rPr>
        <w:t>’</w:t>
      </w:r>
      <w:r w:rsidR="00B27242" w:rsidRPr="00731644">
        <w:rPr>
          <w:lang w:val="fr-CH"/>
        </w:rPr>
        <w:t>Union démocratique des Albanais, la Nouvelle force démocratique</w:t>
      </w:r>
      <w:r w:rsidR="00F31DD5" w:rsidRPr="00731644">
        <w:rPr>
          <w:lang w:val="fr-CH"/>
        </w:rPr>
        <w:t xml:space="preserve"> </w:t>
      </w:r>
      <w:r w:rsidR="002061AB">
        <w:rPr>
          <w:lang w:val="fr-CH"/>
        </w:rPr>
        <w:t>«</w:t>
      </w:r>
      <w:r w:rsidR="00BA54A8" w:rsidRPr="00731644">
        <w:rPr>
          <w:lang w:val="fr-CH"/>
        </w:rPr>
        <w:t>Forca</w:t>
      </w:r>
      <w:r w:rsidR="002061AB">
        <w:rPr>
          <w:lang w:val="fr-CH"/>
        </w:rPr>
        <w:t>»</w:t>
      </w:r>
      <w:r w:rsidR="00BA54A8" w:rsidRPr="00731644">
        <w:rPr>
          <w:lang w:val="fr-CH"/>
        </w:rPr>
        <w:t xml:space="preserve">, </w:t>
      </w:r>
      <w:r w:rsidR="00B27242" w:rsidRPr="00731644">
        <w:rPr>
          <w:lang w:val="fr-CH"/>
        </w:rPr>
        <w:t>la Liste albanaise et la Coalition albanaise</w:t>
      </w:r>
      <w:r w:rsidR="00290D06" w:rsidRPr="00731644">
        <w:rPr>
          <w:lang w:val="fr-CH"/>
        </w:rPr>
        <w:t>,</w:t>
      </w:r>
      <w:r w:rsidR="00B27242" w:rsidRPr="00731644">
        <w:rPr>
          <w:lang w:val="fr-CH"/>
        </w:rPr>
        <w:t xml:space="preserve"> un siège</w:t>
      </w:r>
      <w:r w:rsidR="00290D06" w:rsidRPr="00731644">
        <w:rPr>
          <w:lang w:val="fr-CH"/>
        </w:rPr>
        <w:t xml:space="preserve"> chacune</w:t>
      </w:r>
      <w:r w:rsidR="00BA54A8" w:rsidRPr="00731644">
        <w:rPr>
          <w:lang w:val="fr-CH"/>
        </w:rPr>
        <w:t xml:space="preserve">. </w:t>
      </w:r>
      <w:r w:rsidR="00B27242" w:rsidRPr="00731644">
        <w:rPr>
          <w:lang w:val="fr-CH"/>
        </w:rPr>
        <w:t>Les partis représentés au Parlement s</w:t>
      </w:r>
      <w:r w:rsidR="00425386" w:rsidRPr="00731644">
        <w:rPr>
          <w:lang w:val="fr-CH"/>
        </w:rPr>
        <w:t>’</w:t>
      </w:r>
      <w:r w:rsidR="00B27242" w:rsidRPr="00731644">
        <w:rPr>
          <w:lang w:val="fr-CH"/>
        </w:rPr>
        <w:t xml:space="preserve">intéressent pour la plupart </w:t>
      </w:r>
      <w:r w:rsidR="00D0488E" w:rsidRPr="00731644">
        <w:rPr>
          <w:lang w:val="fr-CH"/>
        </w:rPr>
        <w:t xml:space="preserve">aux </w:t>
      </w:r>
      <w:r w:rsidR="00723E92" w:rsidRPr="00731644">
        <w:rPr>
          <w:lang w:val="fr-CH"/>
        </w:rPr>
        <w:t>réalité</w:t>
      </w:r>
      <w:r w:rsidR="00D0488E" w:rsidRPr="00731644">
        <w:rPr>
          <w:lang w:val="fr-CH"/>
        </w:rPr>
        <w:t>s locales</w:t>
      </w:r>
      <w:r w:rsidR="00F31DD5" w:rsidRPr="00731644">
        <w:rPr>
          <w:lang w:val="fr-CH"/>
        </w:rPr>
        <w:t>;</w:t>
      </w:r>
      <w:r w:rsidR="006120E3" w:rsidRPr="00731644">
        <w:rPr>
          <w:lang w:val="fr-CH"/>
        </w:rPr>
        <w:t xml:space="preserve"> il existe aussi des partis politiques nationaux. D</w:t>
      </w:r>
      <w:r w:rsidR="00425386" w:rsidRPr="00731644">
        <w:rPr>
          <w:lang w:val="fr-CH"/>
        </w:rPr>
        <w:t>’</w:t>
      </w:r>
      <w:r w:rsidR="006120E3" w:rsidRPr="00731644">
        <w:rPr>
          <w:lang w:val="fr-CH"/>
        </w:rPr>
        <w:t>après les données du Ministère des droits de l</w:t>
      </w:r>
      <w:r w:rsidR="00425386" w:rsidRPr="00731644">
        <w:rPr>
          <w:lang w:val="fr-CH"/>
        </w:rPr>
        <w:t>’</w:t>
      </w:r>
      <w:r w:rsidR="006120E3" w:rsidRPr="00731644">
        <w:rPr>
          <w:lang w:val="fr-CH"/>
        </w:rPr>
        <w:t xml:space="preserve">homme et de minorités, </w:t>
      </w:r>
      <w:r w:rsidR="00D0488E" w:rsidRPr="00731644">
        <w:rPr>
          <w:lang w:val="fr-CH"/>
        </w:rPr>
        <w:t>qui reposent sur l</w:t>
      </w:r>
      <w:r w:rsidR="006120E3" w:rsidRPr="00731644">
        <w:rPr>
          <w:lang w:val="fr-CH"/>
        </w:rPr>
        <w:t>es déclarations faites par les parlementaires à l</w:t>
      </w:r>
      <w:r w:rsidR="00425386" w:rsidRPr="00731644">
        <w:rPr>
          <w:lang w:val="fr-CH"/>
        </w:rPr>
        <w:t>’</w:t>
      </w:r>
      <w:r w:rsidR="006120E3" w:rsidRPr="00731644">
        <w:rPr>
          <w:lang w:val="fr-CH"/>
        </w:rPr>
        <w:t xml:space="preserve">occasion de la </w:t>
      </w:r>
      <w:r w:rsidR="0003626E" w:rsidRPr="00731644">
        <w:rPr>
          <w:lang w:val="fr-CH"/>
        </w:rPr>
        <w:t>constitutio</w:t>
      </w:r>
      <w:r w:rsidR="006120E3" w:rsidRPr="00731644">
        <w:rPr>
          <w:lang w:val="fr-CH"/>
        </w:rPr>
        <w:t>n des conseils des minorités</w:t>
      </w:r>
      <w:r w:rsidR="00D0488E" w:rsidRPr="00731644">
        <w:rPr>
          <w:lang w:val="fr-CH"/>
        </w:rPr>
        <w:t>,</w:t>
      </w:r>
      <w:r w:rsidR="006120E3" w:rsidRPr="00731644">
        <w:rPr>
          <w:lang w:val="fr-CH"/>
        </w:rPr>
        <w:t xml:space="preserve"> les nations et autres groupes nationaux minoritai</w:t>
      </w:r>
      <w:r w:rsidR="002675AE">
        <w:rPr>
          <w:lang w:val="fr-CH"/>
        </w:rPr>
        <w:t xml:space="preserve">res sont représentés comme suit </w:t>
      </w:r>
      <w:r w:rsidR="00D0488E" w:rsidRPr="00731644">
        <w:rPr>
          <w:lang w:val="fr-CH"/>
        </w:rPr>
        <w:t>dans l</w:t>
      </w:r>
      <w:r w:rsidR="00425386" w:rsidRPr="00731644">
        <w:rPr>
          <w:lang w:val="fr-CH"/>
        </w:rPr>
        <w:t>’</w:t>
      </w:r>
      <w:r w:rsidR="00D0488E" w:rsidRPr="00731644">
        <w:rPr>
          <w:lang w:val="fr-CH"/>
        </w:rPr>
        <w:t>assemblée actuelle</w:t>
      </w:r>
      <w:r w:rsidR="00F31DD5" w:rsidRPr="00731644">
        <w:rPr>
          <w:lang w:val="fr-CH"/>
        </w:rPr>
        <w:t>:</w:t>
      </w:r>
    </w:p>
    <w:tbl>
      <w:tblPr>
        <w:tblW w:w="7405" w:type="dxa"/>
        <w:tblInd w:w="1134" w:type="dxa"/>
        <w:tblBorders>
          <w:top w:val="single" w:sz="4" w:space="0" w:color="auto"/>
        </w:tblBorders>
        <w:tblCellMar>
          <w:left w:w="0" w:type="dxa"/>
          <w:right w:w="0" w:type="dxa"/>
        </w:tblCellMar>
        <w:tblLook w:val="01E0" w:firstRow="1" w:lastRow="1" w:firstColumn="1" w:lastColumn="1" w:noHBand="0" w:noVBand="0"/>
      </w:tblPr>
      <w:tblGrid>
        <w:gridCol w:w="350"/>
        <w:gridCol w:w="2660"/>
        <w:gridCol w:w="1260"/>
        <w:gridCol w:w="1595"/>
        <w:gridCol w:w="1540"/>
      </w:tblGrid>
      <w:tr w:rsidR="007609CB" w:rsidRPr="00731644" w:rsidTr="002409AC">
        <w:trPr>
          <w:trHeight w:val="240"/>
          <w:tblHeader/>
        </w:trPr>
        <w:tc>
          <w:tcPr>
            <w:tcW w:w="350" w:type="dxa"/>
            <w:tcBorders>
              <w:top w:val="single" w:sz="4" w:space="0" w:color="auto"/>
              <w:bottom w:val="single" w:sz="12" w:space="0" w:color="auto"/>
            </w:tcBorders>
            <w:shd w:val="clear" w:color="auto" w:fill="auto"/>
            <w:vAlign w:val="bottom"/>
          </w:tcPr>
          <w:p w:rsidR="007609CB" w:rsidRPr="00731644" w:rsidRDefault="002675AE" w:rsidP="00FC3369">
            <w:pPr>
              <w:suppressAutoHyphens w:val="0"/>
              <w:spacing w:before="80" w:after="80" w:line="200" w:lineRule="exact"/>
              <w:rPr>
                <w:i/>
                <w:sz w:val="16"/>
                <w:szCs w:val="24"/>
                <w:lang w:val="fr-CH"/>
              </w:rPr>
            </w:pPr>
            <w:r>
              <w:rPr>
                <w:i/>
                <w:sz w:val="16"/>
                <w:szCs w:val="24"/>
                <w:lang w:val="fr-CH"/>
              </w:rPr>
              <w:t>N</w:t>
            </w:r>
            <w:r w:rsidRPr="002675AE">
              <w:rPr>
                <w:i/>
                <w:sz w:val="16"/>
                <w:szCs w:val="24"/>
                <w:vertAlign w:val="superscript"/>
                <w:lang w:val="fr-CH"/>
              </w:rPr>
              <w:t>0</w:t>
            </w:r>
          </w:p>
        </w:tc>
        <w:tc>
          <w:tcPr>
            <w:tcW w:w="2660" w:type="dxa"/>
            <w:tcBorders>
              <w:top w:val="single" w:sz="4" w:space="0" w:color="auto"/>
              <w:bottom w:val="single" w:sz="12" w:space="0" w:color="auto"/>
            </w:tcBorders>
            <w:shd w:val="clear" w:color="auto" w:fill="auto"/>
            <w:vAlign w:val="bottom"/>
          </w:tcPr>
          <w:p w:rsidR="007609CB" w:rsidRPr="00731644" w:rsidRDefault="007609CB" w:rsidP="00FC3369">
            <w:pPr>
              <w:suppressAutoHyphens w:val="0"/>
              <w:spacing w:before="80" w:after="80" w:line="200" w:lineRule="exact"/>
              <w:ind w:left="113"/>
              <w:rPr>
                <w:i/>
                <w:sz w:val="16"/>
                <w:szCs w:val="24"/>
                <w:lang w:val="fr-CH"/>
              </w:rPr>
            </w:pPr>
            <w:r w:rsidRPr="00731644">
              <w:rPr>
                <w:i/>
                <w:sz w:val="16"/>
                <w:szCs w:val="24"/>
                <w:lang w:val="fr-CH"/>
              </w:rPr>
              <w:t>Nationalit</w:t>
            </w:r>
            <w:r w:rsidR="006120E3" w:rsidRPr="00731644">
              <w:rPr>
                <w:i/>
                <w:sz w:val="16"/>
                <w:szCs w:val="24"/>
                <w:lang w:val="fr-CH"/>
              </w:rPr>
              <w:t>é des parlementaires</w:t>
            </w:r>
          </w:p>
        </w:tc>
        <w:tc>
          <w:tcPr>
            <w:tcW w:w="1260" w:type="dxa"/>
            <w:tcBorders>
              <w:top w:val="single" w:sz="4" w:space="0" w:color="auto"/>
              <w:bottom w:val="single" w:sz="12" w:space="0" w:color="auto"/>
            </w:tcBorders>
            <w:shd w:val="clear" w:color="auto" w:fill="auto"/>
            <w:vAlign w:val="bottom"/>
          </w:tcPr>
          <w:p w:rsidR="007609CB" w:rsidRPr="00731644" w:rsidRDefault="006120E3" w:rsidP="00FC3369">
            <w:pPr>
              <w:suppressAutoHyphens w:val="0"/>
              <w:spacing w:before="80" w:after="80" w:line="200" w:lineRule="exact"/>
              <w:ind w:left="113"/>
              <w:jc w:val="right"/>
              <w:rPr>
                <w:i/>
                <w:sz w:val="16"/>
                <w:szCs w:val="24"/>
                <w:lang w:val="fr-CH"/>
              </w:rPr>
            </w:pPr>
            <w:r w:rsidRPr="00731644">
              <w:rPr>
                <w:i/>
                <w:sz w:val="16"/>
                <w:szCs w:val="24"/>
                <w:lang w:val="fr-CH"/>
              </w:rPr>
              <w:t>Nombre de sièges</w:t>
            </w:r>
          </w:p>
        </w:tc>
        <w:tc>
          <w:tcPr>
            <w:tcW w:w="1595" w:type="dxa"/>
            <w:tcBorders>
              <w:top w:val="single" w:sz="4" w:space="0" w:color="auto"/>
              <w:bottom w:val="single" w:sz="12" w:space="0" w:color="auto"/>
            </w:tcBorders>
            <w:shd w:val="clear" w:color="auto" w:fill="auto"/>
            <w:vAlign w:val="bottom"/>
          </w:tcPr>
          <w:p w:rsidR="007609CB" w:rsidRPr="00731644" w:rsidRDefault="007609CB" w:rsidP="00FC3369">
            <w:pPr>
              <w:suppressAutoHyphens w:val="0"/>
              <w:spacing w:before="80" w:after="80" w:line="200" w:lineRule="exact"/>
              <w:ind w:left="113"/>
              <w:jc w:val="right"/>
              <w:rPr>
                <w:i/>
                <w:sz w:val="16"/>
                <w:szCs w:val="24"/>
                <w:lang w:val="fr-CH"/>
              </w:rPr>
            </w:pPr>
            <w:r w:rsidRPr="00731644">
              <w:rPr>
                <w:i/>
                <w:sz w:val="16"/>
                <w:szCs w:val="24"/>
                <w:lang w:val="fr-CH"/>
              </w:rPr>
              <w:t>Part</w:t>
            </w:r>
            <w:r w:rsidR="006120E3" w:rsidRPr="00731644">
              <w:rPr>
                <w:i/>
                <w:sz w:val="16"/>
                <w:szCs w:val="24"/>
                <w:lang w:val="fr-CH"/>
              </w:rPr>
              <w:t xml:space="preserve"> du</w:t>
            </w:r>
            <w:r w:rsidR="0003626E" w:rsidRPr="00731644">
              <w:rPr>
                <w:i/>
                <w:sz w:val="16"/>
                <w:szCs w:val="24"/>
                <w:lang w:val="fr-CH"/>
              </w:rPr>
              <w:t xml:space="preserve"> nombre</w:t>
            </w:r>
            <w:r w:rsidR="006120E3" w:rsidRPr="00731644">
              <w:rPr>
                <w:i/>
                <w:sz w:val="16"/>
                <w:szCs w:val="24"/>
                <w:lang w:val="fr-CH"/>
              </w:rPr>
              <w:t xml:space="preserve"> total de sièges</w:t>
            </w:r>
            <w:r w:rsidR="00F31DD5" w:rsidRPr="00731644">
              <w:rPr>
                <w:i/>
                <w:sz w:val="16"/>
                <w:szCs w:val="24"/>
                <w:lang w:val="fr-CH"/>
              </w:rPr>
              <w:t xml:space="preserve"> </w:t>
            </w:r>
            <w:r w:rsidRPr="00731644">
              <w:rPr>
                <w:i/>
                <w:sz w:val="16"/>
                <w:szCs w:val="24"/>
                <w:lang w:val="fr-CH"/>
              </w:rPr>
              <w:t>(81)</w:t>
            </w:r>
          </w:p>
        </w:tc>
        <w:tc>
          <w:tcPr>
            <w:tcW w:w="1540" w:type="dxa"/>
            <w:tcBorders>
              <w:top w:val="single" w:sz="4" w:space="0" w:color="auto"/>
              <w:bottom w:val="single" w:sz="12" w:space="0" w:color="auto"/>
            </w:tcBorders>
            <w:shd w:val="clear" w:color="auto" w:fill="auto"/>
            <w:vAlign w:val="bottom"/>
          </w:tcPr>
          <w:p w:rsidR="007609CB" w:rsidRPr="00731644" w:rsidRDefault="007609CB" w:rsidP="00FC3369">
            <w:pPr>
              <w:suppressAutoHyphens w:val="0"/>
              <w:spacing w:before="80" w:after="80" w:line="200" w:lineRule="exact"/>
              <w:ind w:left="113"/>
              <w:jc w:val="right"/>
              <w:rPr>
                <w:i/>
                <w:sz w:val="16"/>
                <w:szCs w:val="24"/>
                <w:lang w:val="fr-CH"/>
              </w:rPr>
            </w:pPr>
            <w:r w:rsidRPr="00731644">
              <w:rPr>
                <w:i/>
                <w:sz w:val="16"/>
                <w:szCs w:val="24"/>
                <w:lang w:val="fr-CH"/>
              </w:rPr>
              <w:t>Part</w:t>
            </w:r>
            <w:r w:rsidR="0003626E" w:rsidRPr="00731644">
              <w:rPr>
                <w:i/>
                <w:sz w:val="16"/>
                <w:szCs w:val="24"/>
                <w:lang w:val="fr-CH"/>
              </w:rPr>
              <w:t xml:space="preserve"> de la population</w:t>
            </w:r>
          </w:p>
        </w:tc>
      </w:tr>
      <w:tr w:rsidR="00C776A4" w:rsidRPr="00731644" w:rsidTr="002409AC">
        <w:trPr>
          <w:trHeight w:val="240"/>
        </w:trPr>
        <w:tc>
          <w:tcPr>
            <w:tcW w:w="350" w:type="dxa"/>
            <w:tcBorders>
              <w:top w:val="single" w:sz="12" w:space="0" w:color="auto"/>
            </w:tcBorders>
            <w:shd w:val="clear" w:color="auto" w:fill="auto"/>
          </w:tcPr>
          <w:p w:rsidR="007609CB" w:rsidRPr="00731644" w:rsidRDefault="007609CB" w:rsidP="00646928">
            <w:pPr>
              <w:suppressAutoHyphens w:val="0"/>
              <w:spacing w:before="40" w:after="40" w:line="220" w:lineRule="exact"/>
              <w:rPr>
                <w:sz w:val="18"/>
                <w:szCs w:val="24"/>
                <w:lang w:val="fr-CH"/>
              </w:rPr>
            </w:pPr>
            <w:r w:rsidRPr="00731644">
              <w:rPr>
                <w:sz w:val="18"/>
                <w:szCs w:val="24"/>
                <w:lang w:val="fr-CH"/>
              </w:rPr>
              <w:t>1</w:t>
            </w:r>
          </w:p>
        </w:tc>
        <w:tc>
          <w:tcPr>
            <w:tcW w:w="2660" w:type="dxa"/>
            <w:tcBorders>
              <w:top w:val="single" w:sz="12" w:space="0" w:color="auto"/>
            </w:tcBorders>
            <w:shd w:val="clear" w:color="auto" w:fill="auto"/>
            <w:vAlign w:val="bottom"/>
          </w:tcPr>
          <w:p w:rsidR="007609CB" w:rsidRPr="00731644" w:rsidRDefault="007609CB" w:rsidP="00646928">
            <w:pPr>
              <w:suppressAutoHyphens w:val="0"/>
              <w:spacing w:before="40" w:after="40" w:line="220" w:lineRule="exact"/>
              <w:ind w:left="113"/>
              <w:rPr>
                <w:sz w:val="18"/>
                <w:szCs w:val="24"/>
                <w:lang w:val="fr-CH"/>
              </w:rPr>
            </w:pPr>
            <w:r w:rsidRPr="00731644">
              <w:rPr>
                <w:sz w:val="18"/>
                <w:szCs w:val="24"/>
                <w:lang w:val="fr-CH"/>
              </w:rPr>
              <w:t>Bosnia</w:t>
            </w:r>
            <w:r w:rsidR="006120E3" w:rsidRPr="00731644">
              <w:rPr>
                <w:sz w:val="18"/>
                <w:szCs w:val="24"/>
                <w:lang w:val="fr-CH"/>
              </w:rPr>
              <w:t>que</w:t>
            </w:r>
            <w:r w:rsidRPr="00731644">
              <w:rPr>
                <w:sz w:val="18"/>
                <w:szCs w:val="24"/>
                <w:lang w:val="fr-CH"/>
              </w:rPr>
              <w:t>s</w:t>
            </w:r>
            <w:r w:rsidR="00F31DD5" w:rsidRPr="00731644">
              <w:rPr>
                <w:sz w:val="18"/>
                <w:szCs w:val="24"/>
                <w:lang w:val="fr-CH"/>
              </w:rPr>
              <w:t xml:space="preserve"> – </w:t>
            </w:r>
            <w:r w:rsidRPr="00731644">
              <w:rPr>
                <w:sz w:val="18"/>
                <w:szCs w:val="24"/>
                <w:lang w:val="fr-CH"/>
              </w:rPr>
              <w:t>total</w:t>
            </w:r>
          </w:p>
        </w:tc>
        <w:tc>
          <w:tcPr>
            <w:tcW w:w="1260" w:type="dxa"/>
            <w:tcBorders>
              <w:top w:val="single" w:sz="12" w:space="0" w:color="auto"/>
            </w:tcBorders>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11</w:t>
            </w:r>
          </w:p>
        </w:tc>
        <w:tc>
          <w:tcPr>
            <w:tcW w:w="1595" w:type="dxa"/>
            <w:tcBorders>
              <w:top w:val="single" w:sz="12" w:space="0" w:color="auto"/>
            </w:tcBorders>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13,58%</w:t>
            </w:r>
          </w:p>
        </w:tc>
        <w:tc>
          <w:tcPr>
            <w:tcW w:w="1540" w:type="dxa"/>
            <w:tcBorders>
              <w:top w:val="single" w:sz="12" w:space="0" w:color="auto"/>
            </w:tcBorders>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7,77%</w:t>
            </w:r>
          </w:p>
        </w:tc>
      </w:tr>
      <w:tr w:rsidR="00C776A4" w:rsidRPr="00731644" w:rsidTr="002409AC">
        <w:trPr>
          <w:trHeight w:val="240"/>
        </w:trPr>
        <w:tc>
          <w:tcPr>
            <w:tcW w:w="350" w:type="dxa"/>
            <w:shd w:val="clear" w:color="auto" w:fill="auto"/>
          </w:tcPr>
          <w:p w:rsidR="007609CB" w:rsidRPr="00731644" w:rsidRDefault="007609CB" w:rsidP="002675AE">
            <w:pPr>
              <w:suppressAutoHyphens w:val="0"/>
              <w:spacing w:before="40" w:after="40" w:line="220" w:lineRule="exact"/>
              <w:rPr>
                <w:sz w:val="18"/>
                <w:szCs w:val="24"/>
                <w:lang w:val="fr-CH"/>
              </w:rPr>
            </w:pPr>
          </w:p>
        </w:tc>
        <w:tc>
          <w:tcPr>
            <w:tcW w:w="2660" w:type="dxa"/>
            <w:shd w:val="clear" w:color="auto" w:fill="auto"/>
            <w:vAlign w:val="bottom"/>
          </w:tcPr>
          <w:p w:rsidR="007609CB" w:rsidRPr="00731644" w:rsidRDefault="007609CB" w:rsidP="00646928">
            <w:pPr>
              <w:suppressAutoHyphens w:val="0"/>
              <w:spacing w:before="40" w:after="40" w:line="220" w:lineRule="exact"/>
              <w:ind w:left="113"/>
              <w:rPr>
                <w:sz w:val="18"/>
                <w:szCs w:val="24"/>
                <w:lang w:val="fr-CH"/>
              </w:rPr>
            </w:pPr>
            <w:r w:rsidRPr="00731644">
              <w:rPr>
                <w:sz w:val="18"/>
                <w:szCs w:val="24"/>
                <w:lang w:val="fr-CH"/>
              </w:rPr>
              <w:t>SDP</w:t>
            </w:r>
          </w:p>
        </w:tc>
        <w:tc>
          <w:tcPr>
            <w:tcW w:w="1260" w:type="dxa"/>
            <w:shd w:val="clear" w:color="auto" w:fill="auto"/>
            <w:vAlign w:val="bottom"/>
          </w:tcPr>
          <w:p w:rsidR="007609CB" w:rsidRPr="00731644" w:rsidRDefault="007609CB" w:rsidP="002675AE">
            <w:pPr>
              <w:suppressAutoHyphens w:val="0"/>
              <w:spacing w:before="40" w:after="40" w:line="220" w:lineRule="exact"/>
              <w:ind w:left="113"/>
              <w:jc w:val="right"/>
              <w:rPr>
                <w:sz w:val="18"/>
                <w:szCs w:val="24"/>
                <w:lang w:val="fr-CH"/>
              </w:rPr>
            </w:pPr>
            <w:r w:rsidRPr="00731644">
              <w:rPr>
                <w:sz w:val="18"/>
                <w:szCs w:val="24"/>
                <w:lang w:val="fr-CH"/>
              </w:rPr>
              <w:t>5</w:t>
            </w:r>
          </w:p>
        </w:tc>
        <w:tc>
          <w:tcPr>
            <w:tcW w:w="1595" w:type="dxa"/>
            <w:shd w:val="clear" w:color="auto" w:fill="auto"/>
            <w:vAlign w:val="bottom"/>
          </w:tcPr>
          <w:p w:rsidR="007609CB" w:rsidRPr="00731644" w:rsidRDefault="007609CB" w:rsidP="002675AE">
            <w:pPr>
              <w:suppressAutoHyphens w:val="0"/>
              <w:spacing w:before="40" w:after="40" w:line="220" w:lineRule="exact"/>
              <w:ind w:left="113"/>
              <w:jc w:val="right"/>
              <w:rPr>
                <w:sz w:val="18"/>
                <w:szCs w:val="24"/>
                <w:lang w:val="fr-CH"/>
              </w:rPr>
            </w:pPr>
          </w:p>
        </w:tc>
        <w:tc>
          <w:tcPr>
            <w:tcW w:w="1540" w:type="dxa"/>
            <w:shd w:val="clear" w:color="auto" w:fill="auto"/>
            <w:vAlign w:val="bottom"/>
          </w:tcPr>
          <w:p w:rsidR="007609CB" w:rsidRPr="00731644" w:rsidRDefault="007609CB" w:rsidP="002675AE">
            <w:pPr>
              <w:suppressAutoHyphens w:val="0"/>
              <w:spacing w:before="40" w:after="40" w:line="220" w:lineRule="exact"/>
              <w:ind w:left="113"/>
              <w:jc w:val="right"/>
              <w:rPr>
                <w:sz w:val="18"/>
                <w:szCs w:val="24"/>
                <w:lang w:val="fr-CH"/>
              </w:rPr>
            </w:pPr>
          </w:p>
        </w:tc>
      </w:tr>
      <w:tr w:rsidR="00C776A4" w:rsidRPr="00731644" w:rsidTr="002409AC">
        <w:trPr>
          <w:trHeight w:val="240"/>
        </w:trPr>
        <w:tc>
          <w:tcPr>
            <w:tcW w:w="350" w:type="dxa"/>
            <w:shd w:val="clear" w:color="auto" w:fill="auto"/>
          </w:tcPr>
          <w:p w:rsidR="007609CB" w:rsidRPr="00731644" w:rsidRDefault="007609CB" w:rsidP="007609CB">
            <w:pPr>
              <w:suppressAutoHyphens w:val="0"/>
              <w:spacing w:before="40" w:after="40" w:line="220" w:lineRule="exact"/>
              <w:rPr>
                <w:sz w:val="18"/>
                <w:szCs w:val="24"/>
                <w:lang w:val="fr-CH"/>
              </w:rPr>
            </w:pPr>
          </w:p>
        </w:tc>
        <w:tc>
          <w:tcPr>
            <w:tcW w:w="2660" w:type="dxa"/>
            <w:shd w:val="clear" w:color="auto" w:fill="auto"/>
            <w:vAlign w:val="bottom"/>
          </w:tcPr>
          <w:p w:rsidR="007609CB" w:rsidRPr="00731644" w:rsidRDefault="007609CB" w:rsidP="00646928">
            <w:pPr>
              <w:suppressAutoHyphens w:val="0"/>
              <w:spacing w:before="40" w:after="40" w:line="220" w:lineRule="exact"/>
              <w:ind w:left="113"/>
              <w:rPr>
                <w:sz w:val="18"/>
                <w:szCs w:val="24"/>
                <w:lang w:val="fr-CH"/>
              </w:rPr>
            </w:pPr>
            <w:r w:rsidRPr="00731644">
              <w:rPr>
                <w:sz w:val="18"/>
                <w:szCs w:val="24"/>
                <w:lang w:val="fr-CH"/>
              </w:rPr>
              <w:t>DPS</w:t>
            </w:r>
          </w:p>
        </w:tc>
        <w:tc>
          <w:tcPr>
            <w:tcW w:w="126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3</w:t>
            </w:r>
          </w:p>
        </w:tc>
        <w:tc>
          <w:tcPr>
            <w:tcW w:w="1595"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c>
          <w:tcPr>
            <w:tcW w:w="154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r>
      <w:tr w:rsidR="00C776A4" w:rsidRPr="00731644" w:rsidTr="002409AC">
        <w:trPr>
          <w:trHeight w:val="240"/>
        </w:trPr>
        <w:tc>
          <w:tcPr>
            <w:tcW w:w="350" w:type="dxa"/>
            <w:shd w:val="clear" w:color="auto" w:fill="auto"/>
          </w:tcPr>
          <w:p w:rsidR="007609CB" w:rsidRPr="00731644" w:rsidRDefault="007609CB" w:rsidP="007609CB">
            <w:pPr>
              <w:suppressAutoHyphens w:val="0"/>
              <w:spacing w:before="40" w:after="40" w:line="220" w:lineRule="exact"/>
              <w:rPr>
                <w:sz w:val="18"/>
                <w:szCs w:val="24"/>
                <w:lang w:val="fr-CH"/>
              </w:rPr>
            </w:pPr>
          </w:p>
        </w:tc>
        <w:tc>
          <w:tcPr>
            <w:tcW w:w="2660" w:type="dxa"/>
            <w:shd w:val="clear" w:color="auto" w:fill="auto"/>
            <w:vAlign w:val="bottom"/>
          </w:tcPr>
          <w:p w:rsidR="007609CB" w:rsidRPr="00731644" w:rsidRDefault="007609CB" w:rsidP="00646928">
            <w:pPr>
              <w:suppressAutoHyphens w:val="0"/>
              <w:spacing w:before="40" w:after="40" w:line="220" w:lineRule="exact"/>
              <w:ind w:left="113"/>
              <w:rPr>
                <w:sz w:val="18"/>
                <w:szCs w:val="24"/>
                <w:lang w:val="fr-CH"/>
              </w:rPr>
            </w:pPr>
            <w:r w:rsidRPr="00731644">
              <w:rPr>
                <w:sz w:val="18"/>
                <w:szCs w:val="24"/>
                <w:lang w:val="fr-CH"/>
              </w:rPr>
              <w:t>BS</w:t>
            </w:r>
          </w:p>
        </w:tc>
        <w:tc>
          <w:tcPr>
            <w:tcW w:w="126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3</w:t>
            </w:r>
          </w:p>
        </w:tc>
        <w:tc>
          <w:tcPr>
            <w:tcW w:w="1595"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c>
          <w:tcPr>
            <w:tcW w:w="154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r>
      <w:tr w:rsidR="00C776A4" w:rsidRPr="00731644" w:rsidTr="002409AC">
        <w:trPr>
          <w:trHeight w:val="240"/>
        </w:trPr>
        <w:tc>
          <w:tcPr>
            <w:tcW w:w="350" w:type="dxa"/>
            <w:shd w:val="clear" w:color="auto" w:fill="auto"/>
          </w:tcPr>
          <w:p w:rsidR="007609CB" w:rsidRPr="00731644" w:rsidRDefault="007609CB" w:rsidP="00646928">
            <w:pPr>
              <w:suppressAutoHyphens w:val="0"/>
              <w:spacing w:before="40" w:after="40" w:line="220" w:lineRule="exact"/>
              <w:rPr>
                <w:sz w:val="18"/>
                <w:szCs w:val="24"/>
                <w:lang w:val="fr-CH"/>
              </w:rPr>
            </w:pPr>
            <w:r w:rsidRPr="00731644">
              <w:rPr>
                <w:sz w:val="18"/>
                <w:szCs w:val="24"/>
                <w:lang w:val="fr-CH"/>
              </w:rPr>
              <w:t>2</w:t>
            </w:r>
          </w:p>
        </w:tc>
        <w:tc>
          <w:tcPr>
            <w:tcW w:w="2660" w:type="dxa"/>
            <w:shd w:val="clear" w:color="auto" w:fill="auto"/>
            <w:vAlign w:val="bottom"/>
          </w:tcPr>
          <w:p w:rsidR="007609CB" w:rsidRPr="00731644" w:rsidRDefault="007609CB" w:rsidP="00646928">
            <w:pPr>
              <w:suppressAutoHyphens w:val="0"/>
              <w:spacing w:before="40" w:after="40" w:line="220" w:lineRule="exact"/>
              <w:ind w:left="113"/>
              <w:rPr>
                <w:sz w:val="18"/>
                <w:szCs w:val="24"/>
                <w:lang w:val="fr-CH"/>
              </w:rPr>
            </w:pPr>
            <w:r w:rsidRPr="00731644">
              <w:rPr>
                <w:sz w:val="18"/>
                <w:szCs w:val="24"/>
                <w:lang w:val="fr-CH"/>
              </w:rPr>
              <w:t>Alban</w:t>
            </w:r>
            <w:r w:rsidR="006120E3" w:rsidRPr="00731644">
              <w:rPr>
                <w:sz w:val="18"/>
                <w:szCs w:val="24"/>
                <w:lang w:val="fr-CH"/>
              </w:rPr>
              <w:t>ais</w:t>
            </w:r>
            <w:r w:rsidR="00F31DD5" w:rsidRPr="00731644">
              <w:rPr>
                <w:sz w:val="18"/>
                <w:szCs w:val="24"/>
                <w:lang w:val="fr-CH"/>
              </w:rPr>
              <w:t xml:space="preserve"> – </w:t>
            </w:r>
            <w:r w:rsidRPr="00731644">
              <w:rPr>
                <w:sz w:val="18"/>
                <w:szCs w:val="24"/>
                <w:lang w:val="fr-CH"/>
              </w:rPr>
              <w:t>total</w:t>
            </w:r>
          </w:p>
        </w:tc>
        <w:tc>
          <w:tcPr>
            <w:tcW w:w="126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6</w:t>
            </w:r>
          </w:p>
        </w:tc>
        <w:tc>
          <w:tcPr>
            <w:tcW w:w="1595"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7,41%</w:t>
            </w:r>
          </w:p>
        </w:tc>
        <w:tc>
          <w:tcPr>
            <w:tcW w:w="154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5,03%</w:t>
            </w:r>
          </w:p>
        </w:tc>
      </w:tr>
      <w:tr w:rsidR="00C776A4" w:rsidRPr="00731644" w:rsidTr="002409AC">
        <w:trPr>
          <w:trHeight w:val="240"/>
        </w:trPr>
        <w:tc>
          <w:tcPr>
            <w:tcW w:w="350" w:type="dxa"/>
            <w:shd w:val="clear" w:color="auto" w:fill="auto"/>
          </w:tcPr>
          <w:p w:rsidR="007609CB" w:rsidRPr="00731644" w:rsidRDefault="007609CB" w:rsidP="007609CB">
            <w:pPr>
              <w:suppressAutoHyphens w:val="0"/>
              <w:spacing w:before="40" w:after="40" w:line="220" w:lineRule="exact"/>
              <w:rPr>
                <w:sz w:val="18"/>
                <w:szCs w:val="24"/>
                <w:lang w:val="fr-CH"/>
              </w:rPr>
            </w:pPr>
          </w:p>
        </w:tc>
        <w:tc>
          <w:tcPr>
            <w:tcW w:w="2660" w:type="dxa"/>
            <w:shd w:val="clear" w:color="auto" w:fill="auto"/>
            <w:vAlign w:val="bottom"/>
          </w:tcPr>
          <w:p w:rsidR="007609CB" w:rsidRPr="00731644" w:rsidRDefault="007609CB" w:rsidP="00646928">
            <w:pPr>
              <w:suppressAutoHyphens w:val="0"/>
              <w:spacing w:before="40" w:after="40" w:line="220" w:lineRule="exact"/>
              <w:ind w:left="113"/>
              <w:rPr>
                <w:sz w:val="18"/>
                <w:szCs w:val="24"/>
                <w:lang w:val="fr-CH"/>
              </w:rPr>
            </w:pPr>
            <w:r w:rsidRPr="00731644">
              <w:rPr>
                <w:sz w:val="18"/>
                <w:szCs w:val="24"/>
                <w:lang w:val="fr-CH"/>
              </w:rPr>
              <w:t>DPS</w:t>
            </w:r>
          </w:p>
        </w:tc>
        <w:tc>
          <w:tcPr>
            <w:tcW w:w="126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2</w:t>
            </w:r>
          </w:p>
        </w:tc>
        <w:tc>
          <w:tcPr>
            <w:tcW w:w="1595"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c>
          <w:tcPr>
            <w:tcW w:w="154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r>
      <w:tr w:rsidR="00C776A4" w:rsidRPr="00731644" w:rsidTr="002409AC">
        <w:trPr>
          <w:trHeight w:val="240"/>
        </w:trPr>
        <w:tc>
          <w:tcPr>
            <w:tcW w:w="350" w:type="dxa"/>
            <w:shd w:val="clear" w:color="auto" w:fill="auto"/>
          </w:tcPr>
          <w:p w:rsidR="007609CB" w:rsidRPr="00731644" w:rsidRDefault="007609CB" w:rsidP="007609CB">
            <w:pPr>
              <w:suppressAutoHyphens w:val="0"/>
              <w:spacing w:before="40" w:after="40" w:line="220" w:lineRule="exact"/>
              <w:rPr>
                <w:sz w:val="18"/>
                <w:szCs w:val="24"/>
                <w:lang w:val="fr-CH"/>
              </w:rPr>
            </w:pPr>
          </w:p>
        </w:tc>
        <w:tc>
          <w:tcPr>
            <w:tcW w:w="2660" w:type="dxa"/>
            <w:shd w:val="clear" w:color="auto" w:fill="auto"/>
            <w:vAlign w:val="bottom"/>
          </w:tcPr>
          <w:p w:rsidR="007609CB" w:rsidRPr="00731644" w:rsidRDefault="007609CB" w:rsidP="00646928">
            <w:pPr>
              <w:suppressAutoHyphens w:val="0"/>
              <w:spacing w:before="40" w:after="40" w:line="220" w:lineRule="exact"/>
              <w:ind w:left="113"/>
              <w:rPr>
                <w:sz w:val="18"/>
                <w:szCs w:val="24"/>
                <w:lang w:val="fr-CH"/>
              </w:rPr>
            </w:pPr>
            <w:r w:rsidRPr="00731644">
              <w:rPr>
                <w:sz w:val="18"/>
                <w:szCs w:val="24"/>
                <w:lang w:val="fr-CH"/>
              </w:rPr>
              <w:t>UDSH</w:t>
            </w:r>
          </w:p>
        </w:tc>
        <w:tc>
          <w:tcPr>
            <w:tcW w:w="126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1</w:t>
            </w:r>
          </w:p>
        </w:tc>
        <w:tc>
          <w:tcPr>
            <w:tcW w:w="1595"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c>
          <w:tcPr>
            <w:tcW w:w="154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r>
      <w:tr w:rsidR="00C776A4" w:rsidRPr="00731644" w:rsidTr="002409AC">
        <w:trPr>
          <w:trHeight w:val="240"/>
        </w:trPr>
        <w:tc>
          <w:tcPr>
            <w:tcW w:w="350" w:type="dxa"/>
            <w:shd w:val="clear" w:color="auto" w:fill="auto"/>
          </w:tcPr>
          <w:p w:rsidR="007609CB" w:rsidRPr="00731644" w:rsidRDefault="007609CB" w:rsidP="007609CB">
            <w:pPr>
              <w:suppressAutoHyphens w:val="0"/>
              <w:spacing w:before="40" w:after="40" w:line="220" w:lineRule="exact"/>
              <w:rPr>
                <w:sz w:val="18"/>
                <w:szCs w:val="24"/>
                <w:lang w:val="fr-CH"/>
              </w:rPr>
            </w:pPr>
          </w:p>
        </w:tc>
        <w:tc>
          <w:tcPr>
            <w:tcW w:w="2660" w:type="dxa"/>
            <w:shd w:val="clear" w:color="auto" w:fill="auto"/>
            <w:vAlign w:val="bottom"/>
          </w:tcPr>
          <w:p w:rsidR="007609CB" w:rsidRPr="00731644" w:rsidRDefault="007609CB" w:rsidP="00646928">
            <w:pPr>
              <w:suppressAutoHyphens w:val="0"/>
              <w:spacing w:before="40" w:after="40" w:line="220" w:lineRule="exact"/>
              <w:ind w:left="113"/>
              <w:rPr>
                <w:sz w:val="18"/>
                <w:szCs w:val="24"/>
                <w:lang w:val="fr-CH"/>
              </w:rPr>
            </w:pPr>
            <w:r w:rsidRPr="00731644">
              <w:rPr>
                <w:sz w:val="18"/>
                <w:szCs w:val="24"/>
                <w:lang w:val="fr-CH"/>
              </w:rPr>
              <w:t>FORCA</w:t>
            </w:r>
          </w:p>
        </w:tc>
        <w:tc>
          <w:tcPr>
            <w:tcW w:w="126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1</w:t>
            </w:r>
          </w:p>
        </w:tc>
        <w:tc>
          <w:tcPr>
            <w:tcW w:w="1595"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c>
          <w:tcPr>
            <w:tcW w:w="154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r>
      <w:tr w:rsidR="00C776A4" w:rsidRPr="00731644" w:rsidTr="002409AC">
        <w:trPr>
          <w:trHeight w:val="240"/>
        </w:trPr>
        <w:tc>
          <w:tcPr>
            <w:tcW w:w="350" w:type="dxa"/>
            <w:shd w:val="clear" w:color="auto" w:fill="auto"/>
          </w:tcPr>
          <w:p w:rsidR="007609CB" w:rsidRPr="00731644" w:rsidRDefault="007609CB" w:rsidP="007609CB">
            <w:pPr>
              <w:suppressAutoHyphens w:val="0"/>
              <w:spacing w:before="40" w:after="40" w:line="220" w:lineRule="exact"/>
              <w:rPr>
                <w:sz w:val="18"/>
                <w:szCs w:val="24"/>
                <w:lang w:val="fr-CH"/>
              </w:rPr>
            </w:pPr>
          </w:p>
        </w:tc>
        <w:tc>
          <w:tcPr>
            <w:tcW w:w="2660" w:type="dxa"/>
            <w:shd w:val="clear" w:color="auto" w:fill="auto"/>
            <w:vAlign w:val="bottom"/>
          </w:tcPr>
          <w:p w:rsidR="007609CB" w:rsidRPr="00731644" w:rsidRDefault="007609CB" w:rsidP="00646928">
            <w:pPr>
              <w:suppressAutoHyphens w:val="0"/>
              <w:spacing w:before="40" w:after="40" w:line="220" w:lineRule="exact"/>
              <w:ind w:left="113"/>
              <w:rPr>
                <w:sz w:val="18"/>
                <w:szCs w:val="24"/>
                <w:lang w:val="fr-CH"/>
              </w:rPr>
            </w:pPr>
            <w:r w:rsidRPr="00731644">
              <w:rPr>
                <w:sz w:val="18"/>
                <w:szCs w:val="24"/>
                <w:lang w:val="fr-CH"/>
              </w:rPr>
              <w:t>Lidhja Demokratike në Mal të Zi</w:t>
            </w:r>
          </w:p>
        </w:tc>
        <w:tc>
          <w:tcPr>
            <w:tcW w:w="126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1</w:t>
            </w:r>
          </w:p>
        </w:tc>
        <w:tc>
          <w:tcPr>
            <w:tcW w:w="1595"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c>
          <w:tcPr>
            <w:tcW w:w="154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r>
      <w:tr w:rsidR="00C776A4" w:rsidRPr="00731644" w:rsidTr="002409AC">
        <w:trPr>
          <w:trHeight w:val="240"/>
        </w:trPr>
        <w:tc>
          <w:tcPr>
            <w:tcW w:w="350" w:type="dxa"/>
            <w:shd w:val="clear" w:color="auto" w:fill="auto"/>
          </w:tcPr>
          <w:p w:rsidR="007609CB" w:rsidRPr="00731644" w:rsidRDefault="007609CB" w:rsidP="007609CB">
            <w:pPr>
              <w:suppressAutoHyphens w:val="0"/>
              <w:spacing w:before="40" w:after="40" w:line="220" w:lineRule="exact"/>
              <w:rPr>
                <w:sz w:val="18"/>
                <w:szCs w:val="24"/>
                <w:lang w:val="fr-CH"/>
              </w:rPr>
            </w:pPr>
          </w:p>
        </w:tc>
        <w:tc>
          <w:tcPr>
            <w:tcW w:w="2660" w:type="dxa"/>
            <w:shd w:val="clear" w:color="auto" w:fill="auto"/>
            <w:vAlign w:val="bottom"/>
          </w:tcPr>
          <w:p w:rsidR="007609CB" w:rsidRPr="00731644" w:rsidRDefault="007609CB" w:rsidP="00646928">
            <w:pPr>
              <w:suppressAutoHyphens w:val="0"/>
              <w:spacing w:before="40" w:after="40" w:line="220" w:lineRule="exact"/>
              <w:ind w:left="113"/>
              <w:rPr>
                <w:sz w:val="18"/>
                <w:szCs w:val="24"/>
                <w:lang w:val="fr-CH"/>
              </w:rPr>
            </w:pPr>
            <w:r w:rsidRPr="00731644">
              <w:rPr>
                <w:sz w:val="18"/>
                <w:szCs w:val="24"/>
                <w:lang w:val="fr-CH"/>
              </w:rPr>
              <w:t xml:space="preserve">Coalition </w:t>
            </w:r>
            <w:r w:rsidR="0003626E" w:rsidRPr="00731644">
              <w:rPr>
                <w:sz w:val="18"/>
                <w:szCs w:val="24"/>
                <w:lang w:val="fr-CH"/>
              </w:rPr>
              <w:t xml:space="preserve">albanaise </w:t>
            </w:r>
            <w:r w:rsidRPr="00731644">
              <w:rPr>
                <w:sz w:val="18"/>
                <w:szCs w:val="24"/>
                <w:lang w:val="fr-CH"/>
              </w:rPr>
              <w:t>Perspective</w:t>
            </w:r>
          </w:p>
        </w:tc>
        <w:tc>
          <w:tcPr>
            <w:tcW w:w="126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1</w:t>
            </w:r>
          </w:p>
        </w:tc>
        <w:tc>
          <w:tcPr>
            <w:tcW w:w="1595"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c>
          <w:tcPr>
            <w:tcW w:w="154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r>
      <w:tr w:rsidR="00C776A4" w:rsidRPr="00731644" w:rsidTr="002409AC">
        <w:trPr>
          <w:trHeight w:val="240"/>
        </w:trPr>
        <w:tc>
          <w:tcPr>
            <w:tcW w:w="350" w:type="dxa"/>
            <w:shd w:val="clear" w:color="auto" w:fill="auto"/>
          </w:tcPr>
          <w:p w:rsidR="007609CB" w:rsidRPr="00731644" w:rsidRDefault="007609CB" w:rsidP="00646928">
            <w:pPr>
              <w:suppressAutoHyphens w:val="0"/>
              <w:spacing w:before="40" w:after="40" w:line="220" w:lineRule="exact"/>
              <w:rPr>
                <w:sz w:val="18"/>
                <w:szCs w:val="24"/>
                <w:lang w:val="fr-CH"/>
              </w:rPr>
            </w:pPr>
            <w:r w:rsidRPr="00731644">
              <w:rPr>
                <w:sz w:val="18"/>
                <w:szCs w:val="24"/>
                <w:lang w:val="fr-CH"/>
              </w:rPr>
              <w:t>3</w:t>
            </w:r>
          </w:p>
        </w:tc>
        <w:tc>
          <w:tcPr>
            <w:tcW w:w="2660" w:type="dxa"/>
            <w:shd w:val="clear" w:color="auto" w:fill="auto"/>
            <w:vAlign w:val="bottom"/>
          </w:tcPr>
          <w:p w:rsidR="007609CB" w:rsidRPr="00731644" w:rsidRDefault="007609CB" w:rsidP="00646928">
            <w:pPr>
              <w:suppressAutoHyphens w:val="0"/>
              <w:spacing w:before="40" w:after="40" w:line="220" w:lineRule="exact"/>
              <w:ind w:left="113"/>
              <w:rPr>
                <w:sz w:val="18"/>
                <w:szCs w:val="24"/>
                <w:lang w:val="fr-CH"/>
              </w:rPr>
            </w:pPr>
            <w:r w:rsidRPr="00731644">
              <w:rPr>
                <w:sz w:val="18"/>
                <w:szCs w:val="24"/>
                <w:lang w:val="fr-CH"/>
              </w:rPr>
              <w:t>Mus</w:t>
            </w:r>
            <w:r w:rsidR="0003626E" w:rsidRPr="00731644">
              <w:rPr>
                <w:sz w:val="18"/>
                <w:szCs w:val="24"/>
                <w:lang w:val="fr-CH"/>
              </w:rPr>
              <w:t>ulmans</w:t>
            </w:r>
            <w:r w:rsidR="00F31DD5" w:rsidRPr="00731644">
              <w:rPr>
                <w:sz w:val="18"/>
                <w:szCs w:val="24"/>
                <w:lang w:val="fr-CH"/>
              </w:rPr>
              <w:t xml:space="preserve"> – </w:t>
            </w:r>
            <w:r w:rsidRPr="00731644">
              <w:rPr>
                <w:sz w:val="18"/>
                <w:szCs w:val="24"/>
                <w:lang w:val="fr-CH"/>
              </w:rPr>
              <w:t>total</w:t>
            </w:r>
          </w:p>
        </w:tc>
        <w:tc>
          <w:tcPr>
            <w:tcW w:w="126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1</w:t>
            </w:r>
          </w:p>
        </w:tc>
        <w:tc>
          <w:tcPr>
            <w:tcW w:w="1595"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1,23%</w:t>
            </w:r>
          </w:p>
        </w:tc>
        <w:tc>
          <w:tcPr>
            <w:tcW w:w="154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3,97%</w:t>
            </w:r>
          </w:p>
        </w:tc>
      </w:tr>
      <w:tr w:rsidR="00C776A4" w:rsidRPr="00731644" w:rsidTr="002409AC">
        <w:trPr>
          <w:trHeight w:val="240"/>
        </w:trPr>
        <w:tc>
          <w:tcPr>
            <w:tcW w:w="350" w:type="dxa"/>
            <w:shd w:val="clear" w:color="auto" w:fill="auto"/>
          </w:tcPr>
          <w:p w:rsidR="007609CB" w:rsidRPr="00731644" w:rsidRDefault="007609CB" w:rsidP="007609CB">
            <w:pPr>
              <w:suppressAutoHyphens w:val="0"/>
              <w:spacing w:before="40" w:after="40" w:line="220" w:lineRule="exact"/>
              <w:rPr>
                <w:sz w:val="18"/>
                <w:szCs w:val="24"/>
                <w:lang w:val="fr-CH"/>
              </w:rPr>
            </w:pPr>
          </w:p>
        </w:tc>
        <w:tc>
          <w:tcPr>
            <w:tcW w:w="2660" w:type="dxa"/>
            <w:shd w:val="clear" w:color="auto" w:fill="auto"/>
            <w:vAlign w:val="bottom"/>
          </w:tcPr>
          <w:p w:rsidR="007609CB" w:rsidRPr="00731644" w:rsidRDefault="007609CB" w:rsidP="00646928">
            <w:pPr>
              <w:suppressAutoHyphens w:val="0"/>
              <w:spacing w:before="40" w:after="40" w:line="220" w:lineRule="exact"/>
              <w:ind w:left="113"/>
              <w:rPr>
                <w:sz w:val="18"/>
                <w:szCs w:val="24"/>
                <w:lang w:val="fr-CH"/>
              </w:rPr>
            </w:pPr>
            <w:r w:rsidRPr="00731644">
              <w:rPr>
                <w:sz w:val="18"/>
                <w:szCs w:val="24"/>
                <w:lang w:val="fr-CH"/>
              </w:rPr>
              <w:t>DPS</w:t>
            </w:r>
          </w:p>
        </w:tc>
        <w:tc>
          <w:tcPr>
            <w:tcW w:w="126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1</w:t>
            </w:r>
          </w:p>
        </w:tc>
        <w:tc>
          <w:tcPr>
            <w:tcW w:w="1595"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c>
          <w:tcPr>
            <w:tcW w:w="154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r>
      <w:tr w:rsidR="00C776A4" w:rsidRPr="00731644" w:rsidTr="002409AC">
        <w:trPr>
          <w:trHeight w:val="240"/>
        </w:trPr>
        <w:tc>
          <w:tcPr>
            <w:tcW w:w="350" w:type="dxa"/>
            <w:shd w:val="clear" w:color="auto" w:fill="auto"/>
          </w:tcPr>
          <w:p w:rsidR="007609CB" w:rsidRPr="00731644" w:rsidRDefault="007609CB" w:rsidP="00646928">
            <w:pPr>
              <w:suppressAutoHyphens w:val="0"/>
              <w:spacing w:before="40" w:after="40" w:line="220" w:lineRule="exact"/>
              <w:rPr>
                <w:sz w:val="18"/>
                <w:szCs w:val="24"/>
                <w:lang w:val="fr-CH"/>
              </w:rPr>
            </w:pPr>
            <w:r w:rsidRPr="00731644">
              <w:rPr>
                <w:sz w:val="18"/>
                <w:szCs w:val="24"/>
                <w:lang w:val="fr-CH"/>
              </w:rPr>
              <w:t>4</w:t>
            </w:r>
          </w:p>
        </w:tc>
        <w:tc>
          <w:tcPr>
            <w:tcW w:w="2660" w:type="dxa"/>
            <w:shd w:val="clear" w:color="auto" w:fill="auto"/>
            <w:vAlign w:val="bottom"/>
          </w:tcPr>
          <w:p w:rsidR="007609CB" w:rsidRPr="00731644" w:rsidRDefault="007609CB" w:rsidP="00646928">
            <w:pPr>
              <w:suppressAutoHyphens w:val="0"/>
              <w:spacing w:before="40" w:after="40" w:line="220" w:lineRule="exact"/>
              <w:ind w:left="113"/>
              <w:rPr>
                <w:sz w:val="18"/>
                <w:szCs w:val="24"/>
                <w:lang w:val="fr-CH"/>
              </w:rPr>
            </w:pPr>
            <w:r w:rsidRPr="00731644">
              <w:rPr>
                <w:sz w:val="18"/>
                <w:szCs w:val="24"/>
                <w:lang w:val="fr-CH"/>
              </w:rPr>
              <w:t>Croat</w:t>
            </w:r>
            <w:r w:rsidR="0003626E" w:rsidRPr="00731644">
              <w:rPr>
                <w:sz w:val="18"/>
                <w:szCs w:val="24"/>
                <w:lang w:val="fr-CH"/>
              </w:rPr>
              <w:t>e</w:t>
            </w:r>
            <w:r w:rsidRPr="00731644">
              <w:rPr>
                <w:sz w:val="18"/>
                <w:szCs w:val="24"/>
                <w:lang w:val="fr-CH"/>
              </w:rPr>
              <w:t>s</w:t>
            </w:r>
            <w:r w:rsidR="00F31DD5" w:rsidRPr="00731644">
              <w:rPr>
                <w:sz w:val="18"/>
                <w:szCs w:val="24"/>
                <w:lang w:val="fr-CH"/>
              </w:rPr>
              <w:t xml:space="preserve"> – </w:t>
            </w:r>
            <w:r w:rsidRPr="00731644">
              <w:rPr>
                <w:sz w:val="18"/>
                <w:szCs w:val="24"/>
                <w:lang w:val="fr-CH"/>
              </w:rPr>
              <w:t>total</w:t>
            </w:r>
          </w:p>
        </w:tc>
        <w:tc>
          <w:tcPr>
            <w:tcW w:w="126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1</w:t>
            </w:r>
          </w:p>
        </w:tc>
        <w:tc>
          <w:tcPr>
            <w:tcW w:w="1595"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1,23%</w:t>
            </w:r>
          </w:p>
        </w:tc>
        <w:tc>
          <w:tcPr>
            <w:tcW w:w="1540" w:type="dxa"/>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1,10%</w:t>
            </w:r>
          </w:p>
        </w:tc>
      </w:tr>
      <w:tr w:rsidR="00C776A4" w:rsidRPr="00731644" w:rsidTr="002409AC">
        <w:trPr>
          <w:trHeight w:val="240"/>
        </w:trPr>
        <w:tc>
          <w:tcPr>
            <w:tcW w:w="350" w:type="dxa"/>
            <w:tcBorders>
              <w:bottom w:val="single" w:sz="4" w:space="0" w:color="auto"/>
            </w:tcBorders>
            <w:shd w:val="clear" w:color="auto" w:fill="auto"/>
          </w:tcPr>
          <w:p w:rsidR="007609CB" w:rsidRPr="00731644" w:rsidRDefault="007609CB" w:rsidP="007609CB">
            <w:pPr>
              <w:suppressAutoHyphens w:val="0"/>
              <w:spacing w:before="40" w:after="40" w:line="220" w:lineRule="exact"/>
              <w:rPr>
                <w:sz w:val="18"/>
                <w:szCs w:val="24"/>
                <w:lang w:val="fr-CH"/>
              </w:rPr>
            </w:pPr>
          </w:p>
        </w:tc>
        <w:tc>
          <w:tcPr>
            <w:tcW w:w="2660" w:type="dxa"/>
            <w:tcBorders>
              <w:bottom w:val="single" w:sz="4" w:space="0" w:color="auto"/>
            </w:tcBorders>
            <w:shd w:val="clear" w:color="auto" w:fill="auto"/>
            <w:vAlign w:val="bottom"/>
          </w:tcPr>
          <w:p w:rsidR="007609CB" w:rsidRPr="00731644" w:rsidRDefault="007609CB" w:rsidP="00646928">
            <w:pPr>
              <w:suppressAutoHyphens w:val="0"/>
              <w:spacing w:before="40" w:after="40" w:line="220" w:lineRule="exact"/>
              <w:ind w:left="113"/>
              <w:rPr>
                <w:sz w:val="18"/>
                <w:szCs w:val="24"/>
                <w:lang w:val="fr-CH"/>
              </w:rPr>
            </w:pPr>
            <w:r w:rsidRPr="00731644">
              <w:rPr>
                <w:sz w:val="18"/>
                <w:szCs w:val="24"/>
                <w:lang w:val="fr-CH"/>
              </w:rPr>
              <w:t>HGI</w:t>
            </w:r>
          </w:p>
        </w:tc>
        <w:tc>
          <w:tcPr>
            <w:tcW w:w="1260" w:type="dxa"/>
            <w:tcBorders>
              <w:bottom w:val="single" w:sz="4" w:space="0" w:color="auto"/>
            </w:tcBorders>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r w:rsidRPr="00731644">
              <w:rPr>
                <w:sz w:val="18"/>
                <w:szCs w:val="24"/>
                <w:lang w:val="fr-CH"/>
              </w:rPr>
              <w:t>1</w:t>
            </w:r>
          </w:p>
        </w:tc>
        <w:tc>
          <w:tcPr>
            <w:tcW w:w="1595" w:type="dxa"/>
            <w:tcBorders>
              <w:bottom w:val="single" w:sz="4" w:space="0" w:color="auto"/>
            </w:tcBorders>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c>
          <w:tcPr>
            <w:tcW w:w="1540" w:type="dxa"/>
            <w:tcBorders>
              <w:bottom w:val="single" w:sz="4" w:space="0" w:color="auto"/>
            </w:tcBorders>
            <w:shd w:val="clear" w:color="auto" w:fill="auto"/>
            <w:vAlign w:val="bottom"/>
          </w:tcPr>
          <w:p w:rsidR="007609CB" w:rsidRPr="00731644" w:rsidRDefault="007609CB" w:rsidP="007609CB">
            <w:pPr>
              <w:suppressAutoHyphens w:val="0"/>
              <w:spacing w:before="40" w:after="40" w:line="220" w:lineRule="exact"/>
              <w:ind w:left="113"/>
              <w:jc w:val="right"/>
              <w:rPr>
                <w:sz w:val="18"/>
                <w:szCs w:val="24"/>
                <w:lang w:val="fr-CH"/>
              </w:rPr>
            </w:pPr>
          </w:p>
        </w:tc>
      </w:tr>
      <w:tr w:rsidR="007609CB" w:rsidRPr="002675AE" w:rsidTr="002409AC">
        <w:trPr>
          <w:trHeight w:val="240"/>
        </w:trPr>
        <w:tc>
          <w:tcPr>
            <w:tcW w:w="3010" w:type="dxa"/>
            <w:gridSpan w:val="2"/>
            <w:tcBorders>
              <w:top w:val="single" w:sz="4" w:space="0" w:color="auto"/>
              <w:bottom w:val="single" w:sz="12" w:space="0" w:color="auto"/>
            </w:tcBorders>
            <w:shd w:val="clear" w:color="auto" w:fill="auto"/>
          </w:tcPr>
          <w:p w:rsidR="007609CB" w:rsidRPr="002675AE" w:rsidRDefault="007609CB" w:rsidP="00255BEA">
            <w:pPr>
              <w:suppressAutoHyphens w:val="0"/>
              <w:spacing w:before="80" w:after="80" w:line="220" w:lineRule="exact"/>
              <w:ind w:left="284"/>
              <w:rPr>
                <w:b/>
                <w:sz w:val="18"/>
                <w:szCs w:val="24"/>
                <w:lang w:val="fr-CH"/>
              </w:rPr>
            </w:pPr>
            <w:r w:rsidRPr="002675AE">
              <w:rPr>
                <w:b/>
                <w:sz w:val="18"/>
                <w:szCs w:val="24"/>
                <w:lang w:val="fr-CH"/>
              </w:rPr>
              <w:t>Total</w:t>
            </w:r>
          </w:p>
        </w:tc>
        <w:tc>
          <w:tcPr>
            <w:tcW w:w="1260" w:type="dxa"/>
            <w:tcBorders>
              <w:top w:val="single" w:sz="4" w:space="0" w:color="auto"/>
              <w:bottom w:val="single" w:sz="12" w:space="0" w:color="auto"/>
            </w:tcBorders>
            <w:shd w:val="clear" w:color="auto" w:fill="auto"/>
            <w:vAlign w:val="bottom"/>
          </w:tcPr>
          <w:p w:rsidR="007609CB" w:rsidRPr="002675AE" w:rsidRDefault="007609CB" w:rsidP="002675AE">
            <w:pPr>
              <w:suppressAutoHyphens w:val="0"/>
              <w:spacing w:before="80" w:after="80" w:line="220" w:lineRule="exact"/>
              <w:ind w:left="113"/>
              <w:jc w:val="right"/>
              <w:rPr>
                <w:b/>
                <w:sz w:val="18"/>
                <w:szCs w:val="24"/>
                <w:lang w:val="fr-CH"/>
              </w:rPr>
            </w:pPr>
            <w:r w:rsidRPr="002675AE">
              <w:rPr>
                <w:b/>
                <w:sz w:val="18"/>
                <w:szCs w:val="24"/>
                <w:lang w:val="fr-CH"/>
              </w:rPr>
              <w:t>19</w:t>
            </w:r>
          </w:p>
        </w:tc>
        <w:tc>
          <w:tcPr>
            <w:tcW w:w="1595" w:type="dxa"/>
            <w:tcBorders>
              <w:top w:val="single" w:sz="4" w:space="0" w:color="auto"/>
              <w:bottom w:val="single" w:sz="12" w:space="0" w:color="auto"/>
            </w:tcBorders>
            <w:shd w:val="clear" w:color="auto" w:fill="auto"/>
            <w:vAlign w:val="bottom"/>
          </w:tcPr>
          <w:p w:rsidR="007609CB" w:rsidRPr="002675AE" w:rsidRDefault="007609CB" w:rsidP="002675AE">
            <w:pPr>
              <w:suppressAutoHyphens w:val="0"/>
              <w:spacing w:before="80" w:after="80" w:line="220" w:lineRule="exact"/>
              <w:ind w:left="113"/>
              <w:jc w:val="right"/>
              <w:rPr>
                <w:b/>
                <w:sz w:val="18"/>
                <w:szCs w:val="24"/>
                <w:lang w:val="fr-CH"/>
              </w:rPr>
            </w:pPr>
            <w:r w:rsidRPr="002675AE">
              <w:rPr>
                <w:b/>
                <w:sz w:val="18"/>
                <w:szCs w:val="24"/>
                <w:lang w:val="fr-CH"/>
              </w:rPr>
              <w:t>23,46%</w:t>
            </w:r>
          </w:p>
        </w:tc>
        <w:tc>
          <w:tcPr>
            <w:tcW w:w="1540" w:type="dxa"/>
            <w:tcBorders>
              <w:top w:val="single" w:sz="4" w:space="0" w:color="auto"/>
              <w:bottom w:val="single" w:sz="12" w:space="0" w:color="auto"/>
            </w:tcBorders>
            <w:shd w:val="clear" w:color="auto" w:fill="auto"/>
            <w:vAlign w:val="bottom"/>
          </w:tcPr>
          <w:p w:rsidR="007609CB" w:rsidRPr="002675AE" w:rsidRDefault="007609CB" w:rsidP="002675AE">
            <w:pPr>
              <w:suppressAutoHyphens w:val="0"/>
              <w:spacing w:before="80" w:after="80" w:line="220" w:lineRule="exact"/>
              <w:ind w:left="113"/>
              <w:jc w:val="right"/>
              <w:rPr>
                <w:b/>
                <w:sz w:val="18"/>
                <w:szCs w:val="24"/>
                <w:lang w:val="fr-CH"/>
              </w:rPr>
            </w:pPr>
            <w:r w:rsidRPr="002675AE">
              <w:rPr>
                <w:b/>
                <w:sz w:val="18"/>
                <w:szCs w:val="24"/>
                <w:lang w:val="fr-CH"/>
              </w:rPr>
              <w:t>17,87%</w:t>
            </w:r>
          </w:p>
        </w:tc>
      </w:tr>
    </w:tbl>
    <w:p w:rsidR="00C776A4" w:rsidRPr="00731644" w:rsidRDefault="00C776A4" w:rsidP="00C776A4">
      <w:pPr>
        <w:pStyle w:val="SingleTxtG"/>
        <w:spacing w:before="240"/>
        <w:rPr>
          <w:lang w:val="fr-CH"/>
        </w:rPr>
      </w:pPr>
      <w:r w:rsidRPr="00731644">
        <w:rPr>
          <w:lang w:val="fr-CH"/>
        </w:rPr>
        <w:t>105.</w:t>
      </w:r>
      <w:r w:rsidRPr="00731644">
        <w:rPr>
          <w:lang w:val="fr-CH"/>
        </w:rPr>
        <w:tab/>
      </w:r>
      <w:r w:rsidR="0003626E" w:rsidRPr="00731644">
        <w:rPr>
          <w:lang w:val="fr-CH"/>
        </w:rPr>
        <w:t xml:space="preserve">Le gouvernement du Monténégro élu le 10 juin </w:t>
      </w:r>
      <w:r w:rsidRPr="00731644">
        <w:rPr>
          <w:lang w:val="fr-CH"/>
        </w:rPr>
        <w:t>2009</w:t>
      </w:r>
      <w:r w:rsidR="0003626E" w:rsidRPr="00731644">
        <w:rPr>
          <w:lang w:val="fr-CH"/>
        </w:rPr>
        <w:t xml:space="preserve"> comptait </w:t>
      </w:r>
      <w:r w:rsidRPr="00731644">
        <w:rPr>
          <w:lang w:val="fr-CH"/>
        </w:rPr>
        <w:t>21 memb</w:t>
      </w:r>
      <w:r w:rsidR="0003626E" w:rsidRPr="00731644">
        <w:rPr>
          <w:lang w:val="fr-CH"/>
        </w:rPr>
        <w:t>re</w:t>
      </w:r>
      <w:r w:rsidRPr="00731644">
        <w:rPr>
          <w:lang w:val="fr-CH"/>
        </w:rPr>
        <w:t xml:space="preserve">s </w:t>
      </w:r>
      <w:r w:rsidR="0003626E" w:rsidRPr="00731644">
        <w:rPr>
          <w:lang w:val="fr-CH"/>
        </w:rPr>
        <w:t>dont trois (14,28</w:t>
      </w:r>
      <w:r w:rsidR="006443F6" w:rsidRPr="00731644">
        <w:rPr>
          <w:lang w:val="fr-CH"/>
        </w:rPr>
        <w:t>%</w:t>
      </w:r>
      <w:r w:rsidR="0003626E" w:rsidRPr="00731644">
        <w:rPr>
          <w:lang w:val="fr-CH"/>
        </w:rPr>
        <w:t>) appartenaient à des nations minoritaires</w:t>
      </w:r>
      <w:r w:rsidRPr="00731644">
        <w:rPr>
          <w:lang w:val="fr-CH"/>
        </w:rPr>
        <w:t xml:space="preserve">. </w:t>
      </w:r>
      <w:r w:rsidR="0003626E" w:rsidRPr="00731644">
        <w:rPr>
          <w:lang w:val="fr-CH"/>
        </w:rPr>
        <w:t>Le nouveau gouvernement, formé en décembre</w:t>
      </w:r>
      <w:r w:rsidR="00F31DD5" w:rsidRPr="00731644">
        <w:rPr>
          <w:lang w:val="fr-CH"/>
        </w:rPr>
        <w:t xml:space="preserve"> </w:t>
      </w:r>
      <w:r w:rsidRPr="00731644">
        <w:rPr>
          <w:lang w:val="fr-CH"/>
        </w:rPr>
        <w:t xml:space="preserve">2010, </w:t>
      </w:r>
      <w:r w:rsidR="00001B79" w:rsidRPr="00731644">
        <w:rPr>
          <w:lang w:val="fr-CH"/>
        </w:rPr>
        <w:t xml:space="preserve">comprend </w:t>
      </w:r>
      <w:r w:rsidRPr="00731644">
        <w:rPr>
          <w:lang w:val="fr-CH"/>
        </w:rPr>
        <w:t>18 memb</w:t>
      </w:r>
      <w:r w:rsidR="00001B79" w:rsidRPr="00731644">
        <w:rPr>
          <w:lang w:val="fr-CH"/>
        </w:rPr>
        <w:t>re</w:t>
      </w:r>
      <w:r w:rsidRPr="00731644">
        <w:rPr>
          <w:lang w:val="fr-CH"/>
        </w:rPr>
        <w:t xml:space="preserve">s </w:t>
      </w:r>
      <w:r w:rsidR="00001B79" w:rsidRPr="00731644">
        <w:rPr>
          <w:lang w:val="fr-CH"/>
        </w:rPr>
        <w:t xml:space="preserve">dont trois également </w:t>
      </w:r>
      <w:r w:rsidRPr="00731644">
        <w:rPr>
          <w:lang w:val="fr-CH"/>
        </w:rPr>
        <w:t>(16</w:t>
      </w:r>
      <w:r w:rsidR="00001B79" w:rsidRPr="00731644">
        <w:rPr>
          <w:lang w:val="fr-CH"/>
        </w:rPr>
        <w:t>,</w:t>
      </w:r>
      <w:r w:rsidRPr="00731644">
        <w:rPr>
          <w:lang w:val="fr-CH"/>
        </w:rPr>
        <w:t>66</w:t>
      </w:r>
      <w:r w:rsidR="006443F6" w:rsidRPr="00731644">
        <w:rPr>
          <w:lang w:val="fr-CH"/>
        </w:rPr>
        <w:t>%</w:t>
      </w:r>
      <w:r w:rsidRPr="00731644">
        <w:rPr>
          <w:lang w:val="fr-CH"/>
        </w:rPr>
        <w:t>)</w:t>
      </w:r>
      <w:r w:rsidR="00001B79" w:rsidRPr="00731644">
        <w:rPr>
          <w:lang w:val="fr-CH"/>
        </w:rPr>
        <w:t xml:space="preserve"> font partie de minorités</w:t>
      </w:r>
      <w:r w:rsidRPr="00731644">
        <w:rPr>
          <w:lang w:val="fr-CH"/>
        </w:rPr>
        <w:t xml:space="preserve">. </w:t>
      </w:r>
      <w:r w:rsidR="00001B79" w:rsidRPr="00731644">
        <w:rPr>
          <w:lang w:val="fr-CH"/>
        </w:rPr>
        <w:t>Le Ministre du travail et de la protection sociale est musulman par son appartenance nationale, le Ministre des droits de l</w:t>
      </w:r>
      <w:r w:rsidR="00425386" w:rsidRPr="00731644">
        <w:rPr>
          <w:lang w:val="fr-CH"/>
        </w:rPr>
        <w:t>’</w:t>
      </w:r>
      <w:r w:rsidR="00001B79" w:rsidRPr="00731644">
        <w:rPr>
          <w:lang w:val="fr-CH"/>
        </w:rPr>
        <w:t xml:space="preserve">homme et des minorités est albanais, et le </w:t>
      </w:r>
      <w:r w:rsidR="00D0488E" w:rsidRPr="00731644">
        <w:rPr>
          <w:lang w:val="fr-CH"/>
        </w:rPr>
        <w:t>M</w:t>
      </w:r>
      <w:r w:rsidR="00001B79" w:rsidRPr="00731644">
        <w:rPr>
          <w:lang w:val="fr-CH"/>
        </w:rPr>
        <w:t>inistre sans portefeuille e</w:t>
      </w:r>
      <w:r w:rsidR="00723E92" w:rsidRPr="00731644">
        <w:rPr>
          <w:lang w:val="fr-CH"/>
        </w:rPr>
        <w:t>s</w:t>
      </w:r>
      <w:r w:rsidR="00001B79" w:rsidRPr="00731644">
        <w:rPr>
          <w:lang w:val="fr-CH"/>
        </w:rPr>
        <w:t>t bosniaque.</w:t>
      </w:r>
      <w:r w:rsidR="00F31DD5" w:rsidRPr="00731644">
        <w:rPr>
          <w:lang w:val="fr-CH"/>
        </w:rPr>
        <w:t xml:space="preserve"> </w:t>
      </w:r>
    </w:p>
    <w:p w:rsidR="00C776A4" w:rsidRPr="00731644" w:rsidRDefault="00C776A4" w:rsidP="004E523C">
      <w:pPr>
        <w:pStyle w:val="SingleTxtG"/>
        <w:rPr>
          <w:lang w:val="fr-CH"/>
        </w:rPr>
      </w:pPr>
      <w:r w:rsidRPr="00731644">
        <w:rPr>
          <w:lang w:val="fr-CH"/>
        </w:rPr>
        <w:t>106.</w:t>
      </w:r>
      <w:r w:rsidRPr="00731644">
        <w:rPr>
          <w:lang w:val="fr-CH"/>
        </w:rPr>
        <w:tab/>
      </w:r>
      <w:r w:rsidR="00001B79" w:rsidRPr="00731644">
        <w:rPr>
          <w:lang w:val="fr-CH"/>
        </w:rPr>
        <w:t>En coopération avec l</w:t>
      </w:r>
      <w:r w:rsidR="00425386" w:rsidRPr="00731644">
        <w:rPr>
          <w:lang w:val="fr-CH"/>
        </w:rPr>
        <w:t>’</w:t>
      </w:r>
      <w:r w:rsidR="00001B79" w:rsidRPr="00731644">
        <w:rPr>
          <w:lang w:val="fr-CH"/>
        </w:rPr>
        <w:t>A</w:t>
      </w:r>
      <w:r w:rsidR="00D0488E" w:rsidRPr="00731644">
        <w:rPr>
          <w:lang w:val="fr-CH"/>
        </w:rPr>
        <w:t>gence</w:t>
      </w:r>
      <w:r w:rsidR="00001B79" w:rsidRPr="00731644">
        <w:rPr>
          <w:lang w:val="fr-CH"/>
        </w:rPr>
        <w:t xml:space="preserve"> </w:t>
      </w:r>
      <w:r w:rsidR="00A77461" w:rsidRPr="00731644">
        <w:rPr>
          <w:lang w:val="fr-CH"/>
        </w:rPr>
        <w:t xml:space="preserve">nationale </w:t>
      </w:r>
      <w:r w:rsidR="00001B79" w:rsidRPr="00731644">
        <w:rPr>
          <w:lang w:val="fr-CH"/>
        </w:rPr>
        <w:t>de gestion des ressources humaines, le Ministère des droits de l</w:t>
      </w:r>
      <w:r w:rsidR="00425386" w:rsidRPr="00731644">
        <w:rPr>
          <w:lang w:val="fr-CH"/>
        </w:rPr>
        <w:t>’</w:t>
      </w:r>
      <w:r w:rsidR="00001B79" w:rsidRPr="00731644">
        <w:rPr>
          <w:lang w:val="fr-CH"/>
        </w:rPr>
        <w:t xml:space="preserve">homme et des minorités a élaboré un </w:t>
      </w:r>
      <w:r w:rsidR="004E523C" w:rsidRPr="00731644">
        <w:rPr>
          <w:lang w:val="fr-CH"/>
        </w:rPr>
        <w:t>q</w:t>
      </w:r>
      <w:r w:rsidRPr="00731644">
        <w:rPr>
          <w:lang w:val="fr-CH"/>
        </w:rPr>
        <w:t xml:space="preserve">uestionnaire </w:t>
      </w:r>
      <w:r w:rsidR="00001B79" w:rsidRPr="00731644">
        <w:rPr>
          <w:lang w:val="fr-CH"/>
        </w:rPr>
        <w:t xml:space="preserve">afin </w:t>
      </w:r>
      <w:r w:rsidR="00BA7D24" w:rsidRPr="00731644">
        <w:rPr>
          <w:lang w:val="fr-CH"/>
        </w:rPr>
        <w:t>de d</w:t>
      </w:r>
      <w:r w:rsidR="00425386" w:rsidRPr="00731644">
        <w:rPr>
          <w:lang w:val="fr-CH"/>
        </w:rPr>
        <w:t>’</w:t>
      </w:r>
      <w:r w:rsidR="00BA7D24" w:rsidRPr="00731644">
        <w:rPr>
          <w:lang w:val="fr-CH"/>
        </w:rPr>
        <w:t xml:space="preserve">analyser </w:t>
      </w:r>
      <w:r w:rsidR="0065310E" w:rsidRPr="00731644">
        <w:rPr>
          <w:lang w:val="fr-CH"/>
        </w:rPr>
        <w:t>la composition</w:t>
      </w:r>
      <w:r w:rsidR="00001B79" w:rsidRPr="00731644">
        <w:rPr>
          <w:lang w:val="fr-CH"/>
        </w:rPr>
        <w:t xml:space="preserve"> ethnique </w:t>
      </w:r>
      <w:r w:rsidR="00A77461" w:rsidRPr="00731644">
        <w:rPr>
          <w:lang w:val="fr-CH"/>
        </w:rPr>
        <w:t>des</w:t>
      </w:r>
      <w:r w:rsidR="00001B79" w:rsidRPr="00731644">
        <w:rPr>
          <w:lang w:val="fr-CH"/>
        </w:rPr>
        <w:t xml:space="preserve"> personnel</w:t>
      </w:r>
      <w:r w:rsidR="00A77461" w:rsidRPr="00731644">
        <w:rPr>
          <w:lang w:val="fr-CH"/>
        </w:rPr>
        <w:t>s</w:t>
      </w:r>
      <w:r w:rsidR="00001B79" w:rsidRPr="00731644">
        <w:rPr>
          <w:lang w:val="fr-CH"/>
        </w:rPr>
        <w:t xml:space="preserve"> </w:t>
      </w:r>
      <w:r w:rsidR="0065310E" w:rsidRPr="00731644">
        <w:rPr>
          <w:lang w:val="fr-CH"/>
        </w:rPr>
        <w:t>des organes de l</w:t>
      </w:r>
      <w:r w:rsidR="00425386" w:rsidRPr="00731644">
        <w:rPr>
          <w:lang w:val="fr-CH"/>
        </w:rPr>
        <w:t>’</w:t>
      </w:r>
      <w:r w:rsidR="0065310E" w:rsidRPr="00731644">
        <w:rPr>
          <w:lang w:val="fr-CH"/>
        </w:rPr>
        <w:t xml:space="preserve">administration centrale et des </w:t>
      </w:r>
      <w:r w:rsidR="00A77461" w:rsidRPr="00731644">
        <w:rPr>
          <w:lang w:val="fr-CH"/>
        </w:rPr>
        <w:t>collectiv</w:t>
      </w:r>
      <w:r w:rsidR="0065310E" w:rsidRPr="00731644">
        <w:rPr>
          <w:lang w:val="fr-CH"/>
        </w:rPr>
        <w:t xml:space="preserve">ités </w:t>
      </w:r>
      <w:r w:rsidR="00A77461" w:rsidRPr="00731644">
        <w:rPr>
          <w:lang w:val="fr-CH"/>
        </w:rPr>
        <w:t xml:space="preserve">locales </w:t>
      </w:r>
      <w:r w:rsidR="0065310E" w:rsidRPr="00731644">
        <w:rPr>
          <w:lang w:val="fr-CH"/>
        </w:rPr>
        <w:t>autonomes</w:t>
      </w:r>
      <w:r w:rsidR="00A77461" w:rsidRPr="00731644">
        <w:rPr>
          <w:lang w:val="fr-CH"/>
        </w:rPr>
        <w:t>,</w:t>
      </w:r>
      <w:r w:rsidR="0065310E" w:rsidRPr="00731644">
        <w:rPr>
          <w:lang w:val="fr-CH"/>
        </w:rPr>
        <w:t xml:space="preserve"> et de donner effet aux garanties constitutionnelles d</w:t>
      </w:r>
      <w:r w:rsidR="00425386" w:rsidRPr="00731644">
        <w:rPr>
          <w:lang w:val="fr-CH"/>
        </w:rPr>
        <w:t>’</w:t>
      </w:r>
      <w:r w:rsidR="0065310E" w:rsidRPr="00731644">
        <w:rPr>
          <w:lang w:val="fr-CH"/>
        </w:rPr>
        <w:t>une représentation adéquate des minorités dans ces organes. Le questionnaire s</w:t>
      </w:r>
      <w:r w:rsidR="00425386" w:rsidRPr="00731644">
        <w:rPr>
          <w:lang w:val="fr-CH"/>
        </w:rPr>
        <w:t>’</w:t>
      </w:r>
      <w:r w:rsidR="0065310E" w:rsidRPr="00731644">
        <w:rPr>
          <w:lang w:val="fr-CH"/>
        </w:rPr>
        <w:t>accompagnait d</w:t>
      </w:r>
      <w:r w:rsidR="00425386" w:rsidRPr="00731644">
        <w:rPr>
          <w:lang w:val="fr-CH"/>
        </w:rPr>
        <w:t>’</w:t>
      </w:r>
      <w:r w:rsidR="0065310E" w:rsidRPr="00731644">
        <w:rPr>
          <w:lang w:val="fr-CH"/>
        </w:rPr>
        <w:t xml:space="preserve">un guide </w:t>
      </w:r>
      <w:r w:rsidR="00131D39" w:rsidRPr="00731644">
        <w:rPr>
          <w:lang w:val="fr-CH"/>
        </w:rPr>
        <w:t>explicatif</w:t>
      </w:r>
      <w:r w:rsidR="0065310E" w:rsidRPr="00731644">
        <w:rPr>
          <w:lang w:val="fr-CH"/>
        </w:rPr>
        <w:t xml:space="preserve">. </w:t>
      </w:r>
      <w:r w:rsidR="008348EF" w:rsidRPr="00731644">
        <w:rPr>
          <w:lang w:val="fr-CH"/>
        </w:rPr>
        <w:t>U</w:t>
      </w:r>
      <w:r w:rsidR="0065310E" w:rsidRPr="00731644">
        <w:rPr>
          <w:lang w:val="fr-CH"/>
        </w:rPr>
        <w:t>n annuaire des organes de l</w:t>
      </w:r>
      <w:r w:rsidR="00425386" w:rsidRPr="00731644">
        <w:rPr>
          <w:lang w:val="fr-CH"/>
        </w:rPr>
        <w:t>’</w:t>
      </w:r>
      <w:r w:rsidR="0065310E" w:rsidRPr="00731644">
        <w:rPr>
          <w:lang w:val="fr-CH"/>
        </w:rPr>
        <w:t xml:space="preserve">administration centrale, de ceux des </w:t>
      </w:r>
      <w:r w:rsidR="00A77461" w:rsidRPr="00731644">
        <w:rPr>
          <w:lang w:val="fr-CH"/>
        </w:rPr>
        <w:t>collectiv</w:t>
      </w:r>
      <w:r w:rsidR="0065310E" w:rsidRPr="00731644">
        <w:rPr>
          <w:lang w:val="fr-CH"/>
        </w:rPr>
        <w:t xml:space="preserve">ités </w:t>
      </w:r>
      <w:r w:rsidR="00A77461" w:rsidRPr="00731644">
        <w:rPr>
          <w:lang w:val="fr-CH"/>
        </w:rPr>
        <w:t xml:space="preserve">locales </w:t>
      </w:r>
      <w:r w:rsidR="0065310E" w:rsidRPr="00731644">
        <w:rPr>
          <w:lang w:val="fr-CH"/>
        </w:rPr>
        <w:t xml:space="preserve">autonomes et des institutions judiciaires a été </w:t>
      </w:r>
      <w:r w:rsidR="008348EF" w:rsidRPr="00731644">
        <w:rPr>
          <w:lang w:val="fr-CH"/>
        </w:rPr>
        <w:t xml:space="preserve">élaboré, et le questionnaire a été distribué à </w:t>
      </w:r>
      <w:r w:rsidRPr="00731644">
        <w:rPr>
          <w:lang w:val="fr-CH"/>
        </w:rPr>
        <w:t xml:space="preserve">143 </w:t>
      </w:r>
      <w:r w:rsidR="00131D39" w:rsidRPr="00731644">
        <w:rPr>
          <w:lang w:val="fr-CH"/>
        </w:rPr>
        <w:t>adresse</w:t>
      </w:r>
      <w:r w:rsidR="008348EF" w:rsidRPr="00731644">
        <w:rPr>
          <w:lang w:val="fr-CH"/>
        </w:rPr>
        <w:t>s</w:t>
      </w:r>
      <w:r w:rsidRPr="00731644">
        <w:rPr>
          <w:lang w:val="fr-CH"/>
        </w:rPr>
        <w:t xml:space="preserve">. </w:t>
      </w:r>
      <w:r w:rsidR="008348EF" w:rsidRPr="00731644">
        <w:rPr>
          <w:lang w:val="fr-CH"/>
        </w:rPr>
        <w:t>Un programme informatique spécial a été mis au point pour assurer la qualité et l</w:t>
      </w:r>
      <w:r w:rsidR="00425386" w:rsidRPr="00731644">
        <w:rPr>
          <w:lang w:val="fr-CH"/>
        </w:rPr>
        <w:t>’</w:t>
      </w:r>
      <w:r w:rsidR="008348EF" w:rsidRPr="00731644">
        <w:rPr>
          <w:lang w:val="fr-CH"/>
        </w:rPr>
        <w:t xml:space="preserve">exactitude du traitement </w:t>
      </w:r>
      <w:r w:rsidR="00A77461" w:rsidRPr="00731644">
        <w:rPr>
          <w:lang w:val="fr-CH"/>
        </w:rPr>
        <w:t>des informations recueillies</w:t>
      </w:r>
      <w:r w:rsidR="008348EF" w:rsidRPr="00731644">
        <w:rPr>
          <w:lang w:val="fr-CH"/>
        </w:rPr>
        <w:t xml:space="preserve">. Les données tirées de tous les questionnaires remplis </w:t>
      </w:r>
      <w:r w:rsidRPr="00731644">
        <w:rPr>
          <w:lang w:val="fr-CH"/>
        </w:rPr>
        <w:t>(13</w:t>
      </w:r>
      <w:r w:rsidR="002675AE">
        <w:rPr>
          <w:lang w:val="fr-CH"/>
        </w:rPr>
        <w:t> </w:t>
      </w:r>
      <w:r w:rsidRPr="00731644">
        <w:rPr>
          <w:lang w:val="fr-CH"/>
        </w:rPr>
        <w:t xml:space="preserve">900) </w:t>
      </w:r>
      <w:r w:rsidR="008348EF" w:rsidRPr="00731644">
        <w:rPr>
          <w:lang w:val="fr-CH"/>
        </w:rPr>
        <w:t xml:space="preserve">ont été </w:t>
      </w:r>
      <w:r w:rsidR="00131D39" w:rsidRPr="00731644">
        <w:rPr>
          <w:lang w:val="fr-CH"/>
        </w:rPr>
        <w:t>trait</w:t>
      </w:r>
      <w:r w:rsidR="00DB58BD" w:rsidRPr="00731644">
        <w:rPr>
          <w:lang w:val="fr-CH"/>
        </w:rPr>
        <w:t xml:space="preserve">ées </w:t>
      </w:r>
      <w:r w:rsidR="00131D39" w:rsidRPr="00731644">
        <w:rPr>
          <w:lang w:val="fr-CH"/>
        </w:rPr>
        <w:t>à l</w:t>
      </w:r>
      <w:r w:rsidR="00425386" w:rsidRPr="00731644">
        <w:rPr>
          <w:lang w:val="fr-CH"/>
        </w:rPr>
        <w:t>’</w:t>
      </w:r>
      <w:r w:rsidR="00131D39" w:rsidRPr="00731644">
        <w:rPr>
          <w:lang w:val="fr-CH"/>
        </w:rPr>
        <w:t>aide de ce</w:t>
      </w:r>
      <w:r w:rsidRPr="00731644">
        <w:rPr>
          <w:lang w:val="fr-CH"/>
        </w:rPr>
        <w:t xml:space="preserve"> </w:t>
      </w:r>
      <w:r w:rsidR="00286F92" w:rsidRPr="00731644">
        <w:rPr>
          <w:lang w:val="fr-CH"/>
        </w:rPr>
        <w:t>programme</w:t>
      </w:r>
      <w:r w:rsidR="008348EF" w:rsidRPr="00731644">
        <w:rPr>
          <w:lang w:val="fr-CH"/>
        </w:rPr>
        <w:t xml:space="preserve">, et les résultats </w:t>
      </w:r>
      <w:r w:rsidR="00131D39" w:rsidRPr="00731644">
        <w:rPr>
          <w:lang w:val="fr-CH"/>
        </w:rPr>
        <w:t xml:space="preserve">obtenus </w:t>
      </w:r>
      <w:r w:rsidR="008348EF" w:rsidRPr="00731644">
        <w:rPr>
          <w:lang w:val="fr-CH"/>
        </w:rPr>
        <w:t xml:space="preserve">seront </w:t>
      </w:r>
      <w:r w:rsidR="00DB58BD" w:rsidRPr="00731644">
        <w:rPr>
          <w:lang w:val="fr-CH"/>
        </w:rPr>
        <w:t>rendus publics prochainement</w:t>
      </w:r>
      <w:r w:rsidR="008348EF" w:rsidRPr="00731644">
        <w:rPr>
          <w:lang w:val="fr-CH"/>
        </w:rPr>
        <w:t>.</w:t>
      </w:r>
      <w:r w:rsidR="00F31DD5" w:rsidRPr="00731644">
        <w:rPr>
          <w:lang w:val="fr-CH"/>
        </w:rPr>
        <w:t xml:space="preserve"> </w:t>
      </w:r>
    </w:p>
    <w:p w:rsidR="00C776A4" w:rsidRPr="00731644" w:rsidRDefault="00C776A4" w:rsidP="00C36846">
      <w:pPr>
        <w:pStyle w:val="SingleTxtG"/>
        <w:rPr>
          <w:lang w:val="fr-CH"/>
        </w:rPr>
      </w:pPr>
      <w:r w:rsidRPr="00731644">
        <w:rPr>
          <w:lang w:val="fr-CH"/>
        </w:rPr>
        <w:t>107.</w:t>
      </w:r>
      <w:r w:rsidRPr="00731644">
        <w:rPr>
          <w:lang w:val="fr-CH"/>
        </w:rPr>
        <w:tab/>
      </w:r>
      <w:r w:rsidR="00DB58BD" w:rsidRPr="00731644">
        <w:rPr>
          <w:lang w:val="fr-CH"/>
        </w:rPr>
        <w:t xml:space="preserve">Conformément à une recommandation du Conseil </w:t>
      </w:r>
      <w:r w:rsidR="00530C4F" w:rsidRPr="00731644">
        <w:rPr>
          <w:lang w:val="fr-CH"/>
        </w:rPr>
        <w:t>d</w:t>
      </w:r>
      <w:r w:rsidR="00425386" w:rsidRPr="00731644">
        <w:rPr>
          <w:lang w:val="fr-CH"/>
        </w:rPr>
        <w:t>’</w:t>
      </w:r>
      <w:r w:rsidR="00DB58BD" w:rsidRPr="00731644">
        <w:rPr>
          <w:lang w:val="fr-CH"/>
        </w:rPr>
        <w:t>administrati</w:t>
      </w:r>
      <w:r w:rsidR="00530C4F" w:rsidRPr="00731644">
        <w:rPr>
          <w:lang w:val="fr-CH"/>
        </w:rPr>
        <w:t>on</w:t>
      </w:r>
      <w:r w:rsidR="00DB58BD" w:rsidRPr="00731644">
        <w:rPr>
          <w:lang w:val="fr-CH"/>
        </w:rPr>
        <w:t>, l</w:t>
      </w:r>
      <w:r w:rsidR="00425386" w:rsidRPr="00731644">
        <w:rPr>
          <w:lang w:val="fr-CH"/>
        </w:rPr>
        <w:t>’</w:t>
      </w:r>
      <w:r w:rsidR="00DB58BD" w:rsidRPr="00731644">
        <w:rPr>
          <w:lang w:val="fr-CH"/>
        </w:rPr>
        <w:t xml:space="preserve">École de police de </w:t>
      </w:r>
      <w:r w:rsidRPr="00731644">
        <w:rPr>
          <w:lang w:val="fr-CH"/>
        </w:rPr>
        <w:t xml:space="preserve">Danilovgrad </w:t>
      </w:r>
      <w:r w:rsidR="00DB58BD" w:rsidRPr="00731644">
        <w:rPr>
          <w:lang w:val="fr-CH"/>
        </w:rPr>
        <w:t xml:space="preserve">a mené une campagne supplémentaire dans les zones habitées par des groupes minoritaires avant </w:t>
      </w:r>
      <w:r w:rsidR="004A0BD1" w:rsidRPr="00731644">
        <w:rPr>
          <w:lang w:val="fr-CH"/>
        </w:rPr>
        <w:t xml:space="preserve">de recruter les deux dernières cohortes </w:t>
      </w:r>
      <w:r w:rsidR="00131D39" w:rsidRPr="00731644">
        <w:rPr>
          <w:lang w:val="fr-CH"/>
        </w:rPr>
        <w:t>d</w:t>
      </w:r>
      <w:r w:rsidR="00425386" w:rsidRPr="00731644">
        <w:rPr>
          <w:lang w:val="fr-CH"/>
        </w:rPr>
        <w:t>’</w:t>
      </w:r>
      <w:r w:rsidR="00131D39" w:rsidRPr="00731644">
        <w:rPr>
          <w:lang w:val="fr-CH"/>
        </w:rPr>
        <w:t xml:space="preserve">élèves </w:t>
      </w:r>
      <w:r w:rsidR="00A66512" w:rsidRPr="00731644">
        <w:rPr>
          <w:lang w:val="fr-CH"/>
        </w:rPr>
        <w:t>(l</w:t>
      </w:r>
      <w:r w:rsidR="00530C4F" w:rsidRPr="00731644">
        <w:rPr>
          <w:lang w:val="fr-CH"/>
        </w:rPr>
        <w:t xml:space="preserve">a </w:t>
      </w:r>
      <w:r w:rsidR="004A0BD1" w:rsidRPr="00731644">
        <w:rPr>
          <w:lang w:val="fr-CH"/>
        </w:rPr>
        <w:t xml:space="preserve">troisième et </w:t>
      </w:r>
      <w:r w:rsidR="00530C4F" w:rsidRPr="00731644">
        <w:rPr>
          <w:lang w:val="fr-CH"/>
        </w:rPr>
        <w:t xml:space="preserve">la </w:t>
      </w:r>
      <w:r w:rsidR="004A0BD1" w:rsidRPr="00731644">
        <w:rPr>
          <w:lang w:val="fr-CH"/>
        </w:rPr>
        <w:t>quatrième</w:t>
      </w:r>
      <w:r w:rsidRPr="00731644">
        <w:rPr>
          <w:lang w:val="fr-CH"/>
        </w:rPr>
        <w:t>)</w:t>
      </w:r>
      <w:r w:rsidR="004A0BD1" w:rsidRPr="00731644">
        <w:rPr>
          <w:lang w:val="fr-CH"/>
        </w:rPr>
        <w:t xml:space="preserve">. Le but était </w:t>
      </w:r>
      <w:r w:rsidR="00131D39" w:rsidRPr="00731644">
        <w:rPr>
          <w:lang w:val="fr-CH"/>
        </w:rPr>
        <w:t>d</w:t>
      </w:r>
      <w:r w:rsidR="00425386" w:rsidRPr="00731644">
        <w:rPr>
          <w:lang w:val="fr-CH"/>
        </w:rPr>
        <w:t>’</w:t>
      </w:r>
      <w:r w:rsidR="004A0BD1" w:rsidRPr="00731644">
        <w:rPr>
          <w:lang w:val="fr-CH"/>
        </w:rPr>
        <w:t>accroître le nombre des inscriptions à l</w:t>
      </w:r>
      <w:r w:rsidR="00425386" w:rsidRPr="00731644">
        <w:rPr>
          <w:lang w:val="fr-CH"/>
        </w:rPr>
        <w:t>’</w:t>
      </w:r>
      <w:r w:rsidR="004A0BD1" w:rsidRPr="00731644">
        <w:rPr>
          <w:lang w:val="fr-CH"/>
        </w:rPr>
        <w:t>École de candidats issus de populations minoritaires, d</w:t>
      </w:r>
      <w:r w:rsidR="00425386" w:rsidRPr="00731644">
        <w:rPr>
          <w:lang w:val="fr-CH"/>
        </w:rPr>
        <w:t>’</w:t>
      </w:r>
      <w:r w:rsidR="004A0BD1" w:rsidRPr="00731644">
        <w:rPr>
          <w:lang w:val="fr-CH"/>
        </w:rPr>
        <w:t>assurer l</w:t>
      </w:r>
      <w:r w:rsidR="00425386" w:rsidRPr="00731644">
        <w:rPr>
          <w:lang w:val="fr-CH"/>
        </w:rPr>
        <w:t>’</w:t>
      </w:r>
      <w:r w:rsidR="004A0BD1" w:rsidRPr="00731644">
        <w:rPr>
          <w:lang w:val="fr-CH"/>
        </w:rPr>
        <w:t xml:space="preserve">intégration de ces derniers aux forces de sécurité nationales et de </w:t>
      </w:r>
      <w:r w:rsidR="00131D39" w:rsidRPr="00731644">
        <w:rPr>
          <w:lang w:val="fr-CH"/>
        </w:rPr>
        <w:t>réaliser le</w:t>
      </w:r>
      <w:r w:rsidR="00282480" w:rsidRPr="00731644">
        <w:rPr>
          <w:lang w:val="fr-CH"/>
        </w:rPr>
        <w:t xml:space="preserve"> principe d</w:t>
      </w:r>
      <w:r w:rsidR="00425386" w:rsidRPr="00731644">
        <w:rPr>
          <w:lang w:val="fr-CH"/>
        </w:rPr>
        <w:t>’</w:t>
      </w:r>
      <w:r w:rsidR="00282480" w:rsidRPr="00731644">
        <w:rPr>
          <w:lang w:val="fr-CH"/>
        </w:rPr>
        <w:t xml:space="preserve">une représentations adéquate des </w:t>
      </w:r>
      <w:r w:rsidR="00A66512" w:rsidRPr="00731644">
        <w:rPr>
          <w:lang w:val="fr-CH"/>
        </w:rPr>
        <w:t>minorités</w:t>
      </w:r>
      <w:r w:rsidR="00282480" w:rsidRPr="00731644">
        <w:rPr>
          <w:lang w:val="fr-CH"/>
        </w:rPr>
        <w:t xml:space="preserve"> dans les corps de police.</w:t>
      </w:r>
      <w:r w:rsidR="006443F6" w:rsidRPr="00731644">
        <w:rPr>
          <w:lang w:val="fr-CH"/>
        </w:rPr>
        <w:t xml:space="preserve"> </w:t>
      </w:r>
    </w:p>
    <w:p w:rsidR="00C776A4" w:rsidRPr="00731644" w:rsidRDefault="00C776A4" w:rsidP="00AB278A">
      <w:pPr>
        <w:pStyle w:val="SingleTxtG"/>
        <w:rPr>
          <w:lang w:val="fr-CH"/>
        </w:rPr>
      </w:pPr>
      <w:r w:rsidRPr="00731644">
        <w:rPr>
          <w:lang w:val="fr-CH"/>
        </w:rPr>
        <w:t>108.</w:t>
      </w:r>
      <w:r w:rsidRPr="00731644">
        <w:rPr>
          <w:lang w:val="fr-CH"/>
        </w:rPr>
        <w:tab/>
      </w:r>
      <w:r w:rsidR="00131D39" w:rsidRPr="00731644">
        <w:rPr>
          <w:lang w:val="fr-CH"/>
        </w:rPr>
        <w:t>L</w:t>
      </w:r>
      <w:r w:rsidR="00282480" w:rsidRPr="00731644">
        <w:rPr>
          <w:lang w:val="fr-CH"/>
        </w:rPr>
        <w:t xml:space="preserve">es exemples qui précèdent </w:t>
      </w:r>
      <w:r w:rsidR="00700D2B" w:rsidRPr="00731644">
        <w:rPr>
          <w:lang w:val="fr-CH"/>
        </w:rPr>
        <w:t>se rapportent à</w:t>
      </w:r>
      <w:r w:rsidR="00282480" w:rsidRPr="00731644">
        <w:rPr>
          <w:lang w:val="fr-CH"/>
        </w:rPr>
        <w:t xml:space="preserve"> la </w:t>
      </w:r>
      <w:r w:rsidR="00D123BB" w:rsidRPr="00731644">
        <w:rPr>
          <w:lang w:val="fr-CH"/>
        </w:rPr>
        <w:t>recomm</w:t>
      </w:r>
      <w:r w:rsidR="00282480" w:rsidRPr="00731644">
        <w:rPr>
          <w:lang w:val="fr-CH"/>
        </w:rPr>
        <w:t>a</w:t>
      </w:r>
      <w:r w:rsidR="00D123BB" w:rsidRPr="00731644">
        <w:rPr>
          <w:lang w:val="fr-CH"/>
        </w:rPr>
        <w:t>ndation cont</w:t>
      </w:r>
      <w:r w:rsidR="00282480" w:rsidRPr="00731644">
        <w:rPr>
          <w:lang w:val="fr-CH"/>
        </w:rPr>
        <w:t xml:space="preserve">enue au </w:t>
      </w:r>
      <w:r w:rsidR="00CB7658" w:rsidRPr="00731644">
        <w:rPr>
          <w:lang w:val="fr-CH"/>
        </w:rPr>
        <w:t>paragraphe </w:t>
      </w:r>
      <w:r w:rsidR="00D123BB" w:rsidRPr="00731644">
        <w:rPr>
          <w:lang w:val="fr-CH"/>
        </w:rPr>
        <w:t xml:space="preserve">14 </w:t>
      </w:r>
      <w:r w:rsidR="00282480" w:rsidRPr="00731644">
        <w:rPr>
          <w:lang w:val="fr-CH"/>
        </w:rPr>
        <w:t xml:space="preserve">des observations finales du Comité. </w:t>
      </w:r>
    </w:p>
    <w:p w:rsidR="00C776A4" w:rsidRPr="00731644" w:rsidRDefault="00282480" w:rsidP="00C776A4">
      <w:pPr>
        <w:pStyle w:val="H23G"/>
        <w:rPr>
          <w:lang w:val="fr-CH"/>
        </w:rPr>
      </w:pPr>
      <w:r w:rsidRPr="00731644">
        <w:rPr>
          <w:lang w:val="fr-CH"/>
        </w:rPr>
        <w:tab/>
      </w:r>
      <w:r w:rsidRPr="00731644">
        <w:rPr>
          <w:lang w:val="fr-CH"/>
        </w:rPr>
        <w:tab/>
        <w:t xml:space="preserve">Droit de circuler librement, de choisir sa résidence, de quitter </w:t>
      </w:r>
      <w:r w:rsidR="00700D2B" w:rsidRPr="00731644">
        <w:rPr>
          <w:lang w:val="fr-CH"/>
        </w:rPr>
        <w:t>le</w:t>
      </w:r>
      <w:r w:rsidRPr="00731644">
        <w:rPr>
          <w:lang w:val="fr-CH"/>
        </w:rPr>
        <w:t xml:space="preserve"> pays et d</w:t>
      </w:r>
      <w:r w:rsidR="00425386" w:rsidRPr="00731644">
        <w:rPr>
          <w:lang w:val="fr-CH"/>
        </w:rPr>
        <w:t>’</w:t>
      </w:r>
      <w:r w:rsidRPr="00731644">
        <w:rPr>
          <w:lang w:val="fr-CH"/>
        </w:rPr>
        <w:t xml:space="preserve">y revenir </w:t>
      </w:r>
    </w:p>
    <w:p w:rsidR="00C776A4" w:rsidRPr="00731644" w:rsidRDefault="00C776A4" w:rsidP="00C776A4">
      <w:pPr>
        <w:pStyle w:val="SingleTxtG"/>
        <w:rPr>
          <w:lang w:val="fr-CH"/>
        </w:rPr>
      </w:pPr>
      <w:r w:rsidRPr="00731644">
        <w:rPr>
          <w:lang w:val="fr-CH"/>
        </w:rPr>
        <w:t>109.</w:t>
      </w:r>
      <w:r w:rsidRPr="00731644">
        <w:rPr>
          <w:lang w:val="fr-CH"/>
        </w:rPr>
        <w:tab/>
      </w:r>
      <w:r w:rsidR="00282480" w:rsidRPr="00731644">
        <w:rPr>
          <w:lang w:val="fr-CH"/>
        </w:rPr>
        <w:t xml:space="preserve">La </w:t>
      </w:r>
      <w:r w:rsidR="00282480" w:rsidRPr="00255BEA">
        <w:rPr>
          <w:i/>
          <w:lang w:val="fr-CH"/>
        </w:rPr>
        <w:t>loi relative aux étrangers</w:t>
      </w:r>
      <w:r w:rsidRPr="00731644">
        <w:rPr>
          <w:lang w:val="fr-CH"/>
        </w:rPr>
        <w:t xml:space="preserve"> (</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5072A0">
        <w:rPr>
          <w:lang w:val="fr-CH"/>
        </w:rPr>
        <w:t>n</w:t>
      </w:r>
      <w:r w:rsidR="005072A0" w:rsidRPr="005072A0">
        <w:rPr>
          <w:vertAlign w:val="superscript"/>
          <w:lang w:val="fr-CH"/>
        </w:rPr>
        <w:t>o</w:t>
      </w:r>
      <w:r w:rsidR="00532E18">
        <w:rPr>
          <w:vertAlign w:val="superscript"/>
          <w:lang w:val="fr-CH"/>
        </w:rPr>
        <w:t>s</w:t>
      </w:r>
      <w:r w:rsidR="005072A0">
        <w:rPr>
          <w:lang w:val="fr-CH"/>
        </w:rPr>
        <w:t> </w:t>
      </w:r>
      <w:r w:rsidRPr="00731644">
        <w:rPr>
          <w:lang w:val="fr-CH"/>
        </w:rPr>
        <w:t>82/08</w:t>
      </w:r>
      <w:r w:rsidR="00532E18">
        <w:rPr>
          <w:lang w:val="fr-CH"/>
        </w:rPr>
        <w:t xml:space="preserve"> et </w:t>
      </w:r>
      <w:r w:rsidRPr="00731644">
        <w:rPr>
          <w:lang w:val="fr-CH"/>
        </w:rPr>
        <w:t xml:space="preserve">72/09) </w:t>
      </w:r>
      <w:r w:rsidR="00282480" w:rsidRPr="00731644">
        <w:rPr>
          <w:lang w:val="fr-CH"/>
        </w:rPr>
        <w:t>réglemente les conditions d</w:t>
      </w:r>
      <w:r w:rsidR="00425386" w:rsidRPr="00731644">
        <w:rPr>
          <w:lang w:val="fr-CH"/>
        </w:rPr>
        <w:t>’</w:t>
      </w:r>
      <w:r w:rsidR="00282480" w:rsidRPr="00731644">
        <w:rPr>
          <w:lang w:val="fr-CH"/>
        </w:rPr>
        <w:t xml:space="preserve">entrée des étrangers sur le territoire monténégrin, </w:t>
      </w:r>
      <w:r w:rsidR="00825B7E" w:rsidRPr="00731644">
        <w:rPr>
          <w:lang w:val="fr-CH"/>
        </w:rPr>
        <w:t>c</w:t>
      </w:r>
      <w:r w:rsidR="00425386" w:rsidRPr="00731644">
        <w:rPr>
          <w:lang w:val="fr-CH"/>
        </w:rPr>
        <w:t>’</w:t>
      </w:r>
      <w:r w:rsidR="00825B7E" w:rsidRPr="00731644">
        <w:rPr>
          <w:lang w:val="fr-CH"/>
        </w:rPr>
        <w:t xml:space="preserve">est-à-dire la circulation et le séjour des étrangers </w:t>
      </w:r>
      <w:r w:rsidR="00AE31C1" w:rsidRPr="00731644">
        <w:rPr>
          <w:lang w:val="fr-CH"/>
        </w:rPr>
        <w:t>dans le pays</w:t>
      </w:r>
      <w:r w:rsidR="00825B7E" w:rsidRPr="00731644">
        <w:rPr>
          <w:lang w:val="fr-CH"/>
        </w:rPr>
        <w:t>. Elle ne s</w:t>
      </w:r>
      <w:r w:rsidR="00425386" w:rsidRPr="00731644">
        <w:rPr>
          <w:lang w:val="fr-CH"/>
        </w:rPr>
        <w:t>’</w:t>
      </w:r>
      <w:r w:rsidR="00825B7E" w:rsidRPr="00731644">
        <w:rPr>
          <w:lang w:val="fr-CH"/>
        </w:rPr>
        <w:t>applique pas</w:t>
      </w:r>
      <w:r w:rsidR="00F31DD5" w:rsidRPr="00731644">
        <w:rPr>
          <w:lang w:val="fr-CH"/>
        </w:rPr>
        <w:t>:</w:t>
      </w:r>
      <w:r w:rsidR="00825B7E" w:rsidRPr="00731644">
        <w:rPr>
          <w:lang w:val="fr-CH"/>
        </w:rPr>
        <w:t xml:space="preserve"> </w:t>
      </w:r>
    </w:p>
    <w:p w:rsidR="00C776A4" w:rsidRPr="00731644" w:rsidRDefault="00C776A4" w:rsidP="00476C94">
      <w:pPr>
        <w:pStyle w:val="SingleTxtG"/>
        <w:ind w:firstLine="567"/>
        <w:rPr>
          <w:lang w:val="fr-CH"/>
        </w:rPr>
      </w:pPr>
      <w:r w:rsidRPr="00731644">
        <w:rPr>
          <w:lang w:val="fr-CH"/>
        </w:rPr>
        <w:t>1)</w:t>
      </w:r>
      <w:r w:rsidR="00476C94" w:rsidRPr="00731644">
        <w:rPr>
          <w:lang w:val="fr-CH"/>
        </w:rPr>
        <w:tab/>
      </w:r>
      <w:r w:rsidR="00825B7E" w:rsidRPr="00731644">
        <w:rPr>
          <w:lang w:val="fr-CH"/>
        </w:rPr>
        <w:t xml:space="preserve">Aux </w:t>
      </w:r>
      <w:r w:rsidR="00AE31C1" w:rsidRPr="00731644">
        <w:rPr>
          <w:lang w:val="fr-CH"/>
        </w:rPr>
        <w:t>demandeurs d</w:t>
      </w:r>
      <w:r w:rsidR="00425386" w:rsidRPr="00731644">
        <w:rPr>
          <w:lang w:val="fr-CH"/>
        </w:rPr>
        <w:t>’</w:t>
      </w:r>
      <w:r w:rsidR="00825B7E" w:rsidRPr="00731644">
        <w:rPr>
          <w:lang w:val="fr-CH"/>
        </w:rPr>
        <w:t>asile</w:t>
      </w:r>
      <w:r w:rsidR="00F31DD5" w:rsidRPr="00731644">
        <w:rPr>
          <w:lang w:val="fr-CH"/>
        </w:rPr>
        <w:t>;</w:t>
      </w:r>
    </w:p>
    <w:p w:rsidR="00825B7E" w:rsidRPr="00731644" w:rsidRDefault="00C776A4" w:rsidP="00476C94">
      <w:pPr>
        <w:pStyle w:val="SingleTxtG"/>
        <w:ind w:firstLine="567"/>
        <w:rPr>
          <w:lang w:val="fr-CH"/>
        </w:rPr>
      </w:pPr>
      <w:r w:rsidRPr="00731644">
        <w:rPr>
          <w:lang w:val="fr-CH"/>
        </w:rPr>
        <w:t>2)</w:t>
      </w:r>
      <w:r w:rsidR="00476C94" w:rsidRPr="00731644">
        <w:rPr>
          <w:lang w:val="fr-CH"/>
        </w:rPr>
        <w:tab/>
      </w:r>
      <w:r w:rsidR="00825B7E" w:rsidRPr="00731644">
        <w:rPr>
          <w:lang w:val="fr-CH"/>
        </w:rPr>
        <w:t>Aux</w:t>
      </w:r>
      <w:r w:rsidR="002675AE">
        <w:rPr>
          <w:lang w:val="fr-CH"/>
        </w:rPr>
        <w:t xml:space="preserve"> </w:t>
      </w:r>
      <w:r w:rsidR="00CB7658" w:rsidRPr="00731644">
        <w:rPr>
          <w:lang w:val="fr-CH"/>
        </w:rPr>
        <w:t>personnes</w:t>
      </w:r>
      <w:r w:rsidR="00825B7E" w:rsidRPr="00731644">
        <w:rPr>
          <w:lang w:val="fr-CH"/>
        </w:rPr>
        <w:t xml:space="preserve"> à qui le Monténégro a </w:t>
      </w:r>
      <w:r w:rsidR="00A66512" w:rsidRPr="00731644">
        <w:rPr>
          <w:lang w:val="fr-CH"/>
        </w:rPr>
        <w:t>reconnu</w:t>
      </w:r>
      <w:r w:rsidR="00825B7E" w:rsidRPr="00731644">
        <w:rPr>
          <w:lang w:val="fr-CH"/>
        </w:rPr>
        <w:t xml:space="preserve"> le statut de réfugié, sauf disposition contraire de la loi elle-même</w:t>
      </w:r>
      <w:r w:rsidR="00F31DD5" w:rsidRPr="00731644">
        <w:rPr>
          <w:lang w:val="fr-CH"/>
        </w:rPr>
        <w:t xml:space="preserve">; </w:t>
      </w:r>
    </w:p>
    <w:p w:rsidR="00C776A4" w:rsidRPr="00731644" w:rsidRDefault="00C776A4" w:rsidP="00476C94">
      <w:pPr>
        <w:pStyle w:val="SingleTxtG"/>
        <w:ind w:firstLine="567"/>
        <w:rPr>
          <w:lang w:val="fr-CH"/>
        </w:rPr>
      </w:pPr>
      <w:r w:rsidRPr="00731644">
        <w:rPr>
          <w:lang w:val="fr-CH"/>
        </w:rPr>
        <w:t>3)</w:t>
      </w:r>
      <w:r w:rsidR="00476C94" w:rsidRPr="00731644">
        <w:rPr>
          <w:lang w:val="fr-CH"/>
        </w:rPr>
        <w:tab/>
      </w:r>
      <w:r w:rsidR="00825B7E" w:rsidRPr="00731644">
        <w:rPr>
          <w:lang w:val="fr-CH"/>
        </w:rPr>
        <w:t>Aux</w:t>
      </w:r>
      <w:r w:rsidR="002675AE">
        <w:rPr>
          <w:lang w:val="fr-CH"/>
        </w:rPr>
        <w:t xml:space="preserve"> </w:t>
      </w:r>
      <w:r w:rsidR="00CB7658" w:rsidRPr="00731644">
        <w:rPr>
          <w:lang w:val="fr-CH"/>
        </w:rPr>
        <w:t>personnes</w:t>
      </w:r>
      <w:r w:rsidR="00825B7E" w:rsidRPr="00731644">
        <w:rPr>
          <w:lang w:val="fr-CH"/>
        </w:rPr>
        <w:t xml:space="preserve"> qui jouissent des privilèges et immunités consacrés par le droit international.</w:t>
      </w:r>
    </w:p>
    <w:p w:rsidR="00372CBD" w:rsidRPr="00731644" w:rsidRDefault="00476C94" w:rsidP="00C776A4">
      <w:pPr>
        <w:pStyle w:val="SingleTxtG"/>
        <w:rPr>
          <w:lang w:val="fr-CH"/>
        </w:rPr>
      </w:pPr>
      <w:r w:rsidRPr="00731644">
        <w:rPr>
          <w:lang w:val="fr-CH"/>
        </w:rPr>
        <w:t>110.</w:t>
      </w:r>
      <w:r w:rsidRPr="00731644">
        <w:rPr>
          <w:lang w:val="fr-CH"/>
        </w:rPr>
        <w:tab/>
      </w:r>
      <w:r w:rsidR="00AE31C1" w:rsidRPr="00731644">
        <w:rPr>
          <w:lang w:val="fr-CH"/>
        </w:rPr>
        <w:t>La situation d</w:t>
      </w:r>
      <w:r w:rsidR="0096364C" w:rsidRPr="00731644">
        <w:rPr>
          <w:lang w:val="fr-CH"/>
        </w:rPr>
        <w:t>es</w:t>
      </w:r>
      <w:r w:rsidR="00825B7E" w:rsidRPr="00731644">
        <w:rPr>
          <w:lang w:val="fr-CH"/>
        </w:rPr>
        <w:t xml:space="preserve"> apatrides</w:t>
      </w:r>
      <w:r w:rsidR="00AE31C1" w:rsidRPr="00731644">
        <w:rPr>
          <w:lang w:val="fr-CH"/>
        </w:rPr>
        <w:t xml:space="preserve"> est régie par </w:t>
      </w:r>
      <w:r w:rsidR="00825B7E" w:rsidRPr="00731644">
        <w:rPr>
          <w:lang w:val="fr-CH"/>
        </w:rPr>
        <w:t xml:space="preserve">les dispositions des accords internationaux ratifiés et publiés, et </w:t>
      </w:r>
      <w:r w:rsidR="00AE31C1" w:rsidRPr="00731644">
        <w:rPr>
          <w:lang w:val="fr-CH"/>
        </w:rPr>
        <w:t xml:space="preserve">par </w:t>
      </w:r>
      <w:r w:rsidR="00825B7E" w:rsidRPr="00731644">
        <w:rPr>
          <w:lang w:val="fr-CH"/>
        </w:rPr>
        <w:t>les règles généralement admises du droit international quand elles leur sont plus favorables.</w:t>
      </w:r>
      <w:r w:rsidR="00C776A4" w:rsidRPr="00731644">
        <w:rPr>
          <w:lang w:val="fr-CH"/>
        </w:rPr>
        <w:t xml:space="preserve"> </w:t>
      </w:r>
      <w:r w:rsidR="00372CBD" w:rsidRPr="00731644">
        <w:rPr>
          <w:lang w:val="fr-CH"/>
        </w:rPr>
        <w:t>Les</w:t>
      </w:r>
      <w:r w:rsidR="00F31DD5" w:rsidRPr="00731644">
        <w:rPr>
          <w:lang w:val="fr-CH"/>
        </w:rPr>
        <w:t xml:space="preserve"> </w:t>
      </w:r>
      <w:r w:rsidR="0096364C" w:rsidRPr="00731644">
        <w:rPr>
          <w:lang w:val="fr-CH"/>
        </w:rPr>
        <w:t>étrang</w:t>
      </w:r>
      <w:r w:rsidR="00372CBD" w:rsidRPr="00731644">
        <w:rPr>
          <w:lang w:val="fr-CH"/>
        </w:rPr>
        <w:t>ers</w:t>
      </w:r>
      <w:r w:rsidR="0096364C" w:rsidRPr="00731644">
        <w:rPr>
          <w:lang w:val="fr-CH"/>
        </w:rPr>
        <w:t xml:space="preserve"> peu</w:t>
      </w:r>
      <w:r w:rsidR="00372CBD" w:rsidRPr="00731644">
        <w:rPr>
          <w:lang w:val="fr-CH"/>
        </w:rPr>
        <w:t>ven</w:t>
      </w:r>
      <w:r w:rsidR="0096364C" w:rsidRPr="00731644">
        <w:rPr>
          <w:lang w:val="fr-CH"/>
        </w:rPr>
        <w:t>t entrer au Monténégro et y séjourner s</w:t>
      </w:r>
      <w:r w:rsidR="00425386" w:rsidRPr="00731644">
        <w:rPr>
          <w:lang w:val="fr-CH"/>
        </w:rPr>
        <w:t>’</w:t>
      </w:r>
      <w:r w:rsidR="00372CBD" w:rsidRPr="00731644">
        <w:rPr>
          <w:lang w:val="fr-CH"/>
        </w:rPr>
        <w:t>ils</w:t>
      </w:r>
      <w:r w:rsidR="0096364C" w:rsidRPr="00731644">
        <w:rPr>
          <w:lang w:val="fr-CH"/>
        </w:rPr>
        <w:t xml:space="preserve"> dispose</w:t>
      </w:r>
      <w:r w:rsidR="00372CBD" w:rsidRPr="00731644">
        <w:rPr>
          <w:lang w:val="fr-CH"/>
        </w:rPr>
        <w:t>nt</w:t>
      </w:r>
      <w:r w:rsidR="0096364C" w:rsidRPr="00731644">
        <w:rPr>
          <w:lang w:val="fr-CH"/>
        </w:rPr>
        <w:t xml:space="preserve"> </w:t>
      </w:r>
      <w:r w:rsidR="00AE31C1" w:rsidRPr="00731644">
        <w:rPr>
          <w:lang w:val="fr-CH"/>
        </w:rPr>
        <w:t>d</w:t>
      </w:r>
      <w:r w:rsidR="00425386" w:rsidRPr="00731644">
        <w:rPr>
          <w:lang w:val="fr-CH"/>
        </w:rPr>
        <w:t>’</w:t>
      </w:r>
      <w:r w:rsidR="00AE31C1" w:rsidRPr="00731644">
        <w:rPr>
          <w:lang w:val="fr-CH"/>
        </w:rPr>
        <w:t xml:space="preserve">un permis de séjour ou </w:t>
      </w:r>
      <w:r w:rsidR="0096364C" w:rsidRPr="00731644">
        <w:rPr>
          <w:lang w:val="fr-CH"/>
        </w:rPr>
        <w:t>d</w:t>
      </w:r>
      <w:r w:rsidR="00425386" w:rsidRPr="00731644">
        <w:rPr>
          <w:lang w:val="fr-CH"/>
        </w:rPr>
        <w:t>’</w:t>
      </w:r>
      <w:r w:rsidR="0096364C" w:rsidRPr="00731644">
        <w:rPr>
          <w:lang w:val="fr-CH"/>
        </w:rPr>
        <w:t>un document de voyage valide muni d</w:t>
      </w:r>
      <w:r w:rsidR="00425386" w:rsidRPr="00731644">
        <w:rPr>
          <w:lang w:val="fr-CH"/>
        </w:rPr>
        <w:t>’</w:t>
      </w:r>
      <w:r w:rsidR="0096364C" w:rsidRPr="00731644">
        <w:rPr>
          <w:lang w:val="fr-CH"/>
        </w:rPr>
        <w:t xml:space="preserve">un visa, </w:t>
      </w:r>
      <w:r w:rsidR="00372CBD" w:rsidRPr="00731644">
        <w:rPr>
          <w:lang w:val="fr-CH"/>
        </w:rPr>
        <w:t xml:space="preserve">et </w:t>
      </w:r>
      <w:r w:rsidR="0096364C" w:rsidRPr="00731644">
        <w:rPr>
          <w:lang w:val="fr-CH"/>
        </w:rPr>
        <w:t xml:space="preserve">sauf disposition contraire de la </w:t>
      </w:r>
      <w:r w:rsidR="0096364C" w:rsidRPr="00255BEA">
        <w:rPr>
          <w:iCs/>
          <w:lang w:val="fr-CH"/>
        </w:rPr>
        <w:t>loi relative aux étrangers</w:t>
      </w:r>
      <w:r w:rsidR="0096364C" w:rsidRPr="00731644">
        <w:rPr>
          <w:lang w:val="fr-CH"/>
        </w:rPr>
        <w:t xml:space="preserve">. Quant </w:t>
      </w:r>
      <w:r w:rsidR="00372CBD" w:rsidRPr="00731644">
        <w:rPr>
          <w:lang w:val="fr-CH"/>
        </w:rPr>
        <w:t xml:space="preserve">à ceux </w:t>
      </w:r>
      <w:r w:rsidR="0096364C" w:rsidRPr="00731644">
        <w:rPr>
          <w:lang w:val="fr-CH"/>
        </w:rPr>
        <w:t>qui n</w:t>
      </w:r>
      <w:r w:rsidR="00425386" w:rsidRPr="00731644">
        <w:rPr>
          <w:lang w:val="fr-CH"/>
        </w:rPr>
        <w:t>’</w:t>
      </w:r>
      <w:r w:rsidR="0096364C" w:rsidRPr="00731644">
        <w:rPr>
          <w:lang w:val="fr-CH"/>
        </w:rPr>
        <w:t>ont pas de document de voyage valide, le Monténégro est tenu d</w:t>
      </w:r>
      <w:r w:rsidR="00425386" w:rsidRPr="00731644">
        <w:rPr>
          <w:lang w:val="fr-CH"/>
        </w:rPr>
        <w:t>’</w:t>
      </w:r>
      <w:r w:rsidR="0096364C" w:rsidRPr="00731644">
        <w:rPr>
          <w:lang w:val="fr-CH"/>
        </w:rPr>
        <w:t xml:space="preserve">autoriser leur entrée </w:t>
      </w:r>
      <w:r w:rsidR="00AE31C1" w:rsidRPr="00731644">
        <w:rPr>
          <w:lang w:val="fr-CH"/>
        </w:rPr>
        <w:t>conformément aux</w:t>
      </w:r>
      <w:r w:rsidR="0096364C" w:rsidRPr="00731644">
        <w:rPr>
          <w:lang w:val="fr-CH"/>
        </w:rPr>
        <w:t xml:space="preserve"> accords internationaux, pour des raisons humanitaires ou autres. La circulation d</w:t>
      </w:r>
      <w:r w:rsidR="00425386" w:rsidRPr="00731644">
        <w:rPr>
          <w:lang w:val="fr-CH"/>
        </w:rPr>
        <w:t>’</w:t>
      </w:r>
      <w:r w:rsidR="0096364C" w:rsidRPr="00731644">
        <w:rPr>
          <w:lang w:val="fr-CH"/>
        </w:rPr>
        <w:t xml:space="preserve">un étranger </w:t>
      </w:r>
      <w:r w:rsidR="00372CBD" w:rsidRPr="00731644">
        <w:rPr>
          <w:lang w:val="fr-CH"/>
        </w:rPr>
        <w:t xml:space="preserve">peut être restreinte ou interdite </w:t>
      </w:r>
      <w:r w:rsidR="0096364C" w:rsidRPr="00731644">
        <w:rPr>
          <w:lang w:val="fr-CH"/>
        </w:rPr>
        <w:t xml:space="preserve">dans certaines zones du </w:t>
      </w:r>
      <w:r w:rsidR="00372CBD" w:rsidRPr="00731644">
        <w:rPr>
          <w:lang w:val="fr-CH"/>
        </w:rPr>
        <w:t>pays</w:t>
      </w:r>
      <w:r w:rsidR="0096364C" w:rsidRPr="00731644">
        <w:rPr>
          <w:lang w:val="fr-CH"/>
        </w:rPr>
        <w:t xml:space="preserve"> si l</w:t>
      </w:r>
      <w:r w:rsidR="00425386" w:rsidRPr="00731644">
        <w:rPr>
          <w:lang w:val="fr-CH"/>
        </w:rPr>
        <w:t>’</w:t>
      </w:r>
      <w:r w:rsidR="0096364C" w:rsidRPr="00731644">
        <w:rPr>
          <w:lang w:val="fr-CH"/>
        </w:rPr>
        <w:t>ordre public ou la sécurité nationale l</w:t>
      </w:r>
      <w:r w:rsidR="00425386" w:rsidRPr="00731644">
        <w:rPr>
          <w:lang w:val="fr-CH"/>
        </w:rPr>
        <w:t>’</w:t>
      </w:r>
      <w:r w:rsidR="0096364C" w:rsidRPr="00731644">
        <w:rPr>
          <w:lang w:val="fr-CH"/>
        </w:rPr>
        <w:t>exigent.</w:t>
      </w:r>
      <w:r w:rsidR="00C776A4" w:rsidRPr="00731644">
        <w:rPr>
          <w:lang w:val="fr-CH"/>
        </w:rPr>
        <w:t xml:space="preserve"> </w:t>
      </w:r>
    </w:p>
    <w:p w:rsidR="00C776A4" w:rsidRPr="00731644" w:rsidRDefault="007328F5" w:rsidP="002675AE">
      <w:pPr>
        <w:pStyle w:val="SingleTxtG"/>
        <w:keepNext/>
        <w:rPr>
          <w:lang w:val="fr-CH"/>
        </w:rPr>
      </w:pPr>
      <w:r w:rsidRPr="00731644">
        <w:rPr>
          <w:lang w:val="fr-CH"/>
        </w:rPr>
        <w:t>1</w:t>
      </w:r>
      <w:r w:rsidR="00476C94" w:rsidRPr="00731644">
        <w:rPr>
          <w:lang w:val="fr-CH"/>
        </w:rPr>
        <w:t>11.</w:t>
      </w:r>
      <w:r w:rsidR="00476C94" w:rsidRPr="00731644">
        <w:rPr>
          <w:lang w:val="fr-CH"/>
        </w:rPr>
        <w:tab/>
      </w:r>
      <w:r w:rsidR="00372CBD" w:rsidRPr="00731644">
        <w:rPr>
          <w:lang w:val="fr-CH"/>
        </w:rPr>
        <w:t>Un étranger n</w:t>
      </w:r>
      <w:r w:rsidR="00425386" w:rsidRPr="00731644">
        <w:rPr>
          <w:lang w:val="fr-CH"/>
        </w:rPr>
        <w:t>’</w:t>
      </w:r>
      <w:r w:rsidR="009C668B" w:rsidRPr="00731644">
        <w:rPr>
          <w:lang w:val="fr-CH"/>
        </w:rPr>
        <w:t>est</w:t>
      </w:r>
      <w:r w:rsidR="00372CBD" w:rsidRPr="00731644">
        <w:rPr>
          <w:lang w:val="fr-CH"/>
        </w:rPr>
        <w:t xml:space="preserve"> pas autorisé à entrer au Monténégro</w:t>
      </w:r>
      <w:r w:rsidR="00F31DD5" w:rsidRPr="00731644">
        <w:rPr>
          <w:lang w:val="fr-CH"/>
        </w:rPr>
        <w:t>:</w:t>
      </w:r>
      <w:r w:rsidR="00372CBD" w:rsidRPr="00731644">
        <w:rPr>
          <w:lang w:val="fr-CH"/>
        </w:rPr>
        <w:t xml:space="preserve"> </w:t>
      </w:r>
    </w:p>
    <w:p w:rsidR="00C776A4" w:rsidRPr="00731644" w:rsidRDefault="00476C94" w:rsidP="00476C94">
      <w:pPr>
        <w:pStyle w:val="SingleTxtG"/>
        <w:ind w:firstLine="567"/>
        <w:rPr>
          <w:lang w:val="fr-CH"/>
        </w:rPr>
      </w:pPr>
      <w:r w:rsidRPr="00731644">
        <w:rPr>
          <w:lang w:val="fr-CH"/>
        </w:rPr>
        <w:t>1)</w:t>
      </w:r>
      <w:r w:rsidRPr="00731644">
        <w:rPr>
          <w:lang w:val="fr-CH"/>
        </w:rPr>
        <w:tab/>
      </w:r>
      <w:r w:rsidR="00372CBD" w:rsidRPr="00731644">
        <w:rPr>
          <w:lang w:val="fr-CH"/>
        </w:rPr>
        <w:t>S</w:t>
      </w:r>
      <w:r w:rsidR="00425386" w:rsidRPr="00731644">
        <w:rPr>
          <w:lang w:val="fr-CH"/>
        </w:rPr>
        <w:t>’</w:t>
      </w:r>
      <w:r w:rsidR="00372CBD" w:rsidRPr="00731644">
        <w:rPr>
          <w:lang w:val="fr-CH"/>
        </w:rPr>
        <w:t xml:space="preserve">il ne possède pas de document de voyage, de visa ou de permis de séjour; </w:t>
      </w:r>
    </w:p>
    <w:p w:rsidR="00372CBD" w:rsidRPr="00731644" w:rsidRDefault="00476C94" w:rsidP="00476C94">
      <w:pPr>
        <w:pStyle w:val="SingleTxtG"/>
        <w:ind w:firstLine="567"/>
        <w:rPr>
          <w:lang w:val="fr-CH"/>
        </w:rPr>
      </w:pPr>
      <w:r w:rsidRPr="00731644">
        <w:rPr>
          <w:lang w:val="fr-CH"/>
        </w:rPr>
        <w:t>2)</w:t>
      </w:r>
      <w:r w:rsidRPr="00731644">
        <w:rPr>
          <w:lang w:val="fr-CH"/>
        </w:rPr>
        <w:tab/>
      </w:r>
      <w:r w:rsidR="00372CBD" w:rsidRPr="00731644">
        <w:rPr>
          <w:lang w:val="fr-CH"/>
        </w:rPr>
        <w:t>S</w:t>
      </w:r>
      <w:r w:rsidR="00425386" w:rsidRPr="00731644">
        <w:rPr>
          <w:lang w:val="fr-CH"/>
        </w:rPr>
        <w:t>’</w:t>
      </w:r>
      <w:r w:rsidR="00372CBD" w:rsidRPr="00731644">
        <w:rPr>
          <w:lang w:val="fr-CH"/>
        </w:rPr>
        <w:t xml:space="preserve">il ne possède pas de ressources suffisantes pour subvenir à ses besoins pendant la durée de son séjour au Monténégro et pour retourner dans le pays dont il </w:t>
      </w:r>
      <w:r w:rsidR="00AE31C1" w:rsidRPr="00731644">
        <w:rPr>
          <w:lang w:val="fr-CH"/>
        </w:rPr>
        <w:t>vient</w:t>
      </w:r>
      <w:r w:rsidR="00372CBD" w:rsidRPr="00731644">
        <w:rPr>
          <w:lang w:val="fr-CH"/>
        </w:rPr>
        <w:t xml:space="preserve"> ou se rendre dans un pays tiers</w:t>
      </w:r>
      <w:r w:rsidR="00F31DD5" w:rsidRPr="00731644">
        <w:rPr>
          <w:lang w:val="fr-CH"/>
        </w:rPr>
        <w:t>;</w:t>
      </w:r>
      <w:r w:rsidR="00372CBD" w:rsidRPr="00731644">
        <w:rPr>
          <w:lang w:val="fr-CH"/>
        </w:rPr>
        <w:t xml:space="preserve"> </w:t>
      </w:r>
    </w:p>
    <w:p w:rsidR="00C776A4" w:rsidRPr="00731644" w:rsidRDefault="00476C94" w:rsidP="00476C94">
      <w:pPr>
        <w:pStyle w:val="SingleTxtG"/>
        <w:ind w:firstLine="567"/>
        <w:rPr>
          <w:lang w:val="fr-CH"/>
        </w:rPr>
      </w:pPr>
      <w:r w:rsidRPr="00731644">
        <w:rPr>
          <w:lang w:val="fr-CH"/>
        </w:rPr>
        <w:t>3)</w:t>
      </w:r>
      <w:r w:rsidRPr="00731644">
        <w:rPr>
          <w:lang w:val="fr-CH"/>
        </w:rPr>
        <w:tab/>
      </w:r>
      <w:r w:rsidR="00372CBD" w:rsidRPr="00731644">
        <w:rPr>
          <w:lang w:val="fr-CH"/>
        </w:rPr>
        <w:t>S</w:t>
      </w:r>
      <w:r w:rsidR="00425386" w:rsidRPr="00731644">
        <w:rPr>
          <w:lang w:val="fr-CH"/>
        </w:rPr>
        <w:t>’</w:t>
      </w:r>
      <w:r w:rsidR="00372CBD" w:rsidRPr="00731644">
        <w:rPr>
          <w:lang w:val="fr-CH"/>
        </w:rPr>
        <w:t>il est en transit et ne remplit pas les conditions requises pour pouvoir entrer dans un pays tiers</w:t>
      </w:r>
      <w:r w:rsidR="00F31DD5" w:rsidRPr="00731644">
        <w:rPr>
          <w:lang w:val="fr-CH"/>
        </w:rPr>
        <w:t>;</w:t>
      </w:r>
    </w:p>
    <w:p w:rsidR="00FA4DA1" w:rsidRPr="00731644" w:rsidRDefault="00476C94" w:rsidP="00476C94">
      <w:pPr>
        <w:pStyle w:val="SingleTxtG"/>
        <w:ind w:firstLine="567"/>
        <w:rPr>
          <w:lang w:val="fr-CH"/>
        </w:rPr>
      </w:pPr>
      <w:r w:rsidRPr="00731644">
        <w:rPr>
          <w:lang w:val="fr-CH"/>
        </w:rPr>
        <w:t>4)</w:t>
      </w:r>
      <w:r w:rsidRPr="00731644">
        <w:rPr>
          <w:lang w:val="fr-CH"/>
        </w:rPr>
        <w:tab/>
      </w:r>
      <w:r w:rsidR="00372CBD" w:rsidRPr="00731644">
        <w:rPr>
          <w:lang w:val="fr-CH"/>
        </w:rPr>
        <w:t>S</w:t>
      </w:r>
      <w:r w:rsidR="00425386" w:rsidRPr="00731644">
        <w:rPr>
          <w:lang w:val="fr-CH"/>
        </w:rPr>
        <w:t>’</w:t>
      </w:r>
      <w:r w:rsidR="00372CBD" w:rsidRPr="00731644">
        <w:rPr>
          <w:lang w:val="fr-CH"/>
        </w:rPr>
        <w:t>i</w:t>
      </w:r>
      <w:r w:rsidR="00FA4DA1" w:rsidRPr="00731644">
        <w:rPr>
          <w:lang w:val="fr-CH"/>
        </w:rPr>
        <w:t>l est l</w:t>
      </w:r>
      <w:r w:rsidR="00425386" w:rsidRPr="00731644">
        <w:rPr>
          <w:lang w:val="fr-CH"/>
        </w:rPr>
        <w:t>’</w:t>
      </w:r>
      <w:r w:rsidR="00FA4DA1" w:rsidRPr="00731644">
        <w:rPr>
          <w:lang w:val="fr-CH"/>
        </w:rPr>
        <w:t>objet d</w:t>
      </w:r>
      <w:r w:rsidR="00425386" w:rsidRPr="00731644">
        <w:rPr>
          <w:lang w:val="fr-CH"/>
        </w:rPr>
        <w:t>’</w:t>
      </w:r>
      <w:r w:rsidR="00372CBD" w:rsidRPr="00731644">
        <w:rPr>
          <w:lang w:val="fr-CH"/>
        </w:rPr>
        <w:t>une mesure d</w:t>
      </w:r>
      <w:r w:rsidR="00425386" w:rsidRPr="00731644">
        <w:rPr>
          <w:lang w:val="fr-CH"/>
        </w:rPr>
        <w:t>’</w:t>
      </w:r>
      <w:r w:rsidR="00FA4DA1" w:rsidRPr="00731644">
        <w:rPr>
          <w:lang w:val="fr-CH"/>
        </w:rPr>
        <w:t>expulsion ou d</w:t>
      </w:r>
      <w:r w:rsidR="00425386" w:rsidRPr="00731644">
        <w:rPr>
          <w:lang w:val="fr-CH"/>
        </w:rPr>
        <w:t>’</w:t>
      </w:r>
      <w:r w:rsidR="00FA4DA1" w:rsidRPr="00731644">
        <w:rPr>
          <w:lang w:val="fr-CH"/>
        </w:rPr>
        <w:t>éloignement prise à titre de</w:t>
      </w:r>
      <w:r w:rsidR="00F31DD5" w:rsidRPr="00731644">
        <w:rPr>
          <w:lang w:val="fr-CH"/>
        </w:rPr>
        <w:t xml:space="preserve"> </w:t>
      </w:r>
      <w:r w:rsidR="00FA4DA1" w:rsidRPr="00731644">
        <w:rPr>
          <w:lang w:val="fr-CH"/>
        </w:rPr>
        <w:t xml:space="preserve">protection ou </w:t>
      </w:r>
      <w:r w:rsidR="00AE31C1" w:rsidRPr="00731644">
        <w:rPr>
          <w:lang w:val="fr-CH"/>
        </w:rPr>
        <w:t>pour assurer la</w:t>
      </w:r>
      <w:r w:rsidR="00FA4DA1" w:rsidRPr="00731644">
        <w:rPr>
          <w:lang w:val="fr-CH"/>
        </w:rPr>
        <w:t xml:space="preserve"> sécurité</w:t>
      </w:r>
      <w:r w:rsidR="00F31DD5" w:rsidRPr="00731644">
        <w:rPr>
          <w:lang w:val="fr-CH"/>
        </w:rPr>
        <w:t>;</w:t>
      </w:r>
      <w:r w:rsidR="00FA4DA1" w:rsidRPr="00731644">
        <w:rPr>
          <w:lang w:val="fr-CH"/>
        </w:rPr>
        <w:t xml:space="preserve"> </w:t>
      </w:r>
    </w:p>
    <w:p w:rsidR="00C776A4" w:rsidRPr="00731644" w:rsidRDefault="00476C94" w:rsidP="00476C94">
      <w:pPr>
        <w:pStyle w:val="SingleTxtG"/>
        <w:ind w:firstLine="567"/>
        <w:rPr>
          <w:lang w:val="fr-CH"/>
        </w:rPr>
      </w:pPr>
      <w:r w:rsidRPr="00731644">
        <w:rPr>
          <w:lang w:val="fr-CH"/>
        </w:rPr>
        <w:t>5)</w:t>
      </w:r>
      <w:r w:rsidRPr="00731644">
        <w:rPr>
          <w:lang w:val="fr-CH"/>
        </w:rPr>
        <w:tab/>
      </w:r>
      <w:r w:rsidR="00FA4DA1" w:rsidRPr="00731644">
        <w:rPr>
          <w:lang w:val="fr-CH"/>
        </w:rPr>
        <w:t>S</w:t>
      </w:r>
      <w:r w:rsidR="00425386" w:rsidRPr="00731644">
        <w:rPr>
          <w:lang w:val="fr-CH"/>
        </w:rPr>
        <w:t>’</w:t>
      </w:r>
      <w:r w:rsidR="00FA4DA1" w:rsidRPr="00731644">
        <w:rPr>
          <w:lang w:val="fr-CH"/>
        </w:rPr>
        <w:t>il ne possède pas de certificat de vaccination et qu</w:t>
      </w:r>
      <w:r w:rsidR="00425386" w:rsidRPr="00731644">
        <w:rPr>
          <w:lang w:val="fr-CH"/>
        </w:rPr>
        <w:t>’</w:t>
      </w:r>
      <w:r w:rsidR="00FA4DA1" w:rsidRPr="00731644">
        <w:rPr>
          <w:lang w:val="fr-CH"/>
        </w:rPr>
        <w:t>il vient d</w:t>
      </w:r>
      <w:r w:rsidR="00425386" w:rsidRPr="00731644">
        <w:rPr>
          <w:lang w:val="fr-CH"/>
        </w:rPr>
        <w:t>’</w:t>
      </w:r>
      <w:r w:rsidR="00FA4DA1" w:rsidRPr="00731644">
        <w:rPr>
          <w:lang w:val="fr-CH"/>
        </w:rPr>
        <w:t xml:space="preserve">une </w:t>
      </w:r>
      <w:r w:rsidR="00AE31C1" w:rsidRPr="00731644">
        <w:rPr>
          <w:lang w:val="fr-CH"/>
        </w:rPr>
        <w:t>zone</w:t>
      </w:r>
      <w:r w:rsidR="00FA4DA1" w:rsidRPr="00731644">
        <w:rPr>
          <w:lang w:val="fr-CH"/>
        </w:rPr>
        <w:t xml:space="preserve"> où sévit une épidémie</w:t>
      </w:r>
      <w:r w:rsidR="00F31DD5" w:rsidRPr="00731644">
        <w:rPr>
          <w:lang w:val="fr-CH"/>
        </w:rPr>
        <w:t>;</w:t>
      </w:r>
    </w:p>
    <w:p w:rsidR="00C776A4" w:rsidRPr="00731644" w:rsidRDefault="00476C94" w:rsidP="00476C94">
      <w:pPr>
        <w:pStyle w:val="SingleTxtG"/>
        <w:ind w:firstLine="567"/>
        <w:rPr>
          <w:lang w:val="fr-CH"/>
        </w:rPr>
      </w:pPr>
      <w:r w:rsidRPr="00731644">
        <w:rPr>
          <w:lang w:val="fr-CH"/>
        </w:rPr>
        <w:t>6)</w:t>
      </w:r>
      <w:r w:rsidRPr="00731644">
        <w:rPr>
          <w:lang w:val="fr-CH"/>
        </w:rPr>
        <w:tab/>
      </w:r>
      <w:r w:rsidR="00FA4DA1" w:rsidRPr="00731644">
        <w:rPr>
          <w:lang w:val="fr-CH"/>
        </w:rPr>
        <w:t>Si des considérations de sécurité nationale ou d</w:t>
      </w:r>
      <w:r w:rsidR="00425386" w:rsidRPr="00731644">
        <w:rPr>
          <w:lang w:val="fr-CH"/>
        </w:rPr>
        <w:t>’</w:t>
      </w:r>
      <w:r w:rsidR="00FA4DA1" w:rsidRPr="00731644">
        <w:rPr>
          <w:lang w:val="fr-CH"/>
        </w:rPr>
        <w:t>ordre public l</w:t>
      </w:r>
      <w:r w:rsidR="00425386" w:rsidRPr="00731644">
        <w:rPr>
          <w:lang w:val="fr-CH"/>
        </w:rPr>
        <w:t>’</w:t>
      </w:r>
      <w:r w:rsidR="00FA4DA1" w:rsidRPr="00731644">
        <w:rPr>
          <w:lang w:val="fr-CH"/>
        </w:rPr>
        <w:t>exigent</w:t>
      </w:r>
      <w:r w:rsidR="00F31DD5" w:rsidRPr="00731644">
        <w:rPr>
          <w:lang w:val="fr-CH"/>
        </w:rPr>
        <w:t>;</w:t>
      </w:r>
    </w:p>
    <w:p w:rsidR="00C776A4" w:rsidRPr="00731644" w:rsidRDefault="00476C94" w:rsidP="00476C94">
      <w:pPr>
        <w:pStyle w:val="SingleTxtG"/>
        <w:ind w:firstLine="567"/>
        <w:rPr>
          <w:lang w:val="fr-CH"/>
        </w:rPr>
      </w:pPr>
      <w:r w:rsidRPr="00731644">
        <w:rPr>
          <w:lang w:val="fr-CH"/>
        </w:rPr>
        <w:t>7)</w:t>
      </w:r>
      <w:r w:rsidRPr="00731644">
        <w:rPr>
          <w:lang w:val="fr-CH"/>
        </w:rPr>
        <w:tab/>
      </w:r>
      <w:r w:rsidR="00FA4DA1" w:rsidRPr="00731644">
        <w:rPr>
          <w:lang w:val="fr-CH"/>
        </w:rPr>
        <w:t>S</w:t>
      </w:r>
      <w:r w:rsidR="00425386" w:rsidRPr="00731644">
        <w:rPr>
          <w:lang w:val="fr-CH"/>
        </w:rPr>
        <w:t>’</w:t>
      </w:r>
      <w:r w:rsidR="00FA4DA1" w:rsidRPr="00731644">
        <w:rPr>
          <w:lang w:val="fr-CH"/>
        </w:rPr>
        <w:t>il existe des motifs raisonnables de craindre qu</w:t>
      </w:r>
      <w:r w:rsidR="00425386" w:rsidRPr="00731644">
        <w:rPr>
          <w:lang w:val="fr-CH"/>
        </w:rPr>
        <w:t>’</w:t>
      </w:r>
      <w:r w:rsidR="00FA4DA1" w:rsidRPr="00731644">
        <w:rPr>
          <w:lang w:val="fr-CH"/>
        </w:rPr>
        <w:t>il commett</w:t>
      </w:r>
      <w:r w:rsidR="00FC1854" w:rsidRPr="00731644">
        <w:rPr>
          <w:lang w:val="fr-CH"/>
        </w:rPr>
        <w:t>e</w:t>
      </w:r>
      <w:r w:rsidR="00FA4DA1" w:rsidRPr="00731644">
        <w:rPr>
          <w:lang w:val="fr-CH"/>
        </w:rPr>
        <w:t xml:space="preserve"> pendant son séjour une infraction </w:t>
      </w:r>
      <w:r w:rsidR="00FC1854" w:rsidRPr="00731644">
        <w:rPr>
          <w:lang w:val="fr-CH"/>
        </w:rPr>
        <w:t>entraînant</w:t>
      </w:r>
      <w:r w:rsidR="00FA4DA1" w:rsidRPr="00731644">
        <w:rPr>
          <w:lang w:val="fr-CH"/>
        </w:rPr>
        <w:t xml:space="preserve"> l</w:t>
      </w:r>
      <w:r w:rsidR="00425386" w:rsidRPr="00731644">
        <w:rPr>
          <w:lang w:val="fr-CH"/>
        </w:rPr>
        <w:t>’</w:t>
      </w:r>
      <w:r w:rsidR="00FA4DA1" w:rsidRPr="00731644">
        <w:rPr>
          <w:lang w:val="fr-CH"/>
        </w:rPr>
        <w:t>ouverture de poursuites</w:t>
      </w:r>
      <w:r w:rsidR="00F31DD5" w:rsidRPr="00731644">
        <w:rPr>
          <w:lang w:val="fr-CH"/>
        </w:rPr>
        <w:t>;</w:t>
      </w:r>
    </w:p>
    <w:p w:rsidR="00C776A4" w:rsidRPr="00731644" w:rsidRDefault="00476C94" w:rsidP="00476C94">
      <w:pPr>
        <w:pStyle w:val="SingleTxtG"/>
        <w:ind w:firstLine="567"/>
        <w:rPr>
          <w:lang w:val="fr-CH"/>
        </w:rPr>
      </w:pPr>
      <w:r w:rsidRPr="00731644">
        <w:rPr>
          <w:lang w:val="fr-CH"/>
        </w:rPr>
        <w:t>8)</w:t>
      </w:r>
      <w:r w:rsidRPr="00731644">
        <w:rPr>
          <w:lang w:val="fr-CH"/>
        </w:rPr>
        <w:tab/>
      </w:r>
      <w:r w:rsidR="00E37729" w:rsidRPr="00731644">
        <w:rPr>
          <w:lang w:val="fr-CH"/>
        </w:rPr>
        <w:t>S</w:t>
      </w:r>
      <w:r w:rsidR="00425386" w:rsidRPr="00731644">
        <w:rPr>
          <w:lang w:val="fr-CH"/>
        </w:rPr>
        <w:t>’</w:t>
      </w:r>
      <w:r w:rsidR="00E37729" w:rsidRPr="00731644">
        <w:rPr>
          <w:lang w:val="fr-CH"/>
        </w:rPr>
        <w:t xml:space="preserve">il est fiché comme délinquant </w:t>
      </w:r>
      <w:r w:rsidR="00C776A4" w:rsidRPr="00731644">
        <w:rPr>
          <w:lang w:val="fr-CH"/>
        </w:rPr>
        <w:t>international</w:t>
      </w:r>
      <w:r w:rsidR="00F31DD5" w:rsidRPr="00731644">
        <w:rPr>
          <w:lang w:val="fr-CH"/>
        </w:rPr>
        <w:t>;</w:t>
      </w:r>
    </w:p>
    <w:p w:rsidR="00C776A4" w:rsidRPr="00731644" w:rsidRDefault="00476C94" w:rsidP="00476C94">
      <w:pPr>
        <w:pStyle w:val="SingleTxtG"/>
        <w:ind w:firstLine="567"/>
        <w:rPr>
          <w:lang w:val="fr-CH"/>
        </w:rPr>
      </w:pPr>
      <w:r w:rsidRPr="00731644">
        <w:rPr>
          <w:lang w:val="fr-CH"/>
        </w:rPr>
        <w:t>9)</w:t>
      </w:r>
      <w:r w:rsidRPr="00731644">
        <w:rPr>
          <w:lang w:val="fr-CH"/>
        </w:rPr>
        <w:tab/>
      </w:r>
      <w:r w:rsidR="00E37729" w:rsidRPr="00731644">
        <w:rPr>
          <w:lang w:val="fr-CH"/>
        </w:rPr>
        <w:t>S</w:t>
      </w:r>
      <w:r w:rsidR="00425386" w:rsidRPr="00731644">
        <w:rPr>
          <w:lang w:val="fr-CH"/>
        </w:rPr>
        <w:t>’</w:t>
      </w:r>
      <w:r w:rsidR="00E37729" w:rsidRPr="00731644">
        <w:rPr>
          <w:lang w:val="fr-CH"/>
        </w:rPr>
        <w:t xml:space="preserve">il existe des raisons de penser que le but </w:t>
      </w:r>
      <w:r w:rsidR="00FC1854" w:rsidRPr="00731644">
        <w:rPr>
          <w:lang w:val="fr-CH"/>
        </w:rPr>
        <w:t>véritable</w:t>
      </w:r>
      <w:r w:rsidR="00E37729" w:rsidRPr="00731644">
        <w:rPr>
          <w:lang w:val="fr-CH"/>
        </w:rPr>
        <w:t xml:space="preserve"> de son séjour n</w:t>
      </w:r>
      <w:r w:rsidR="00425386" w:rsidRPr="00731644">
        <w:rPr>
          <w:lang w:val="fr-CH"/>
        </w:rPr>
        <w:t>’</w:t>
      </w:r>
      <w:r w:rsidR="00E37729" w:rsidRPr="00731644">
        <w:rPr>
          <w:lang w:val="fr-CH"/>
        </w:rPr>
        <w:t xml:space="preserve">est pas </w:t>
      </w:r>
      <w:r w:rsidR="00FC1854" w:rsidRPr="00731644">
        <w:rPr>
          <w:lang w:val="fr-CH"/>
        </w:rPr>
        <w:t>celui qu</w:t>
      </w:r>
      <w:r w:rsidR="00425386" w:rsidRPr="00731644">
        <w:rPr>
          <w:lang w:val="fr-CH"/>
        </w:rPr>
        <w:t>’</w:t>
      </w:r>
      <w:r w:rsidR="00FC1854" w:rsidRPr="00731644">
        <w:rPr>
          <w:lang w:val="fr-CH"/>
        </w:rPr>
        <w:t>il indique</w:t>
      </w:r>
      <w:r w:rsidR="00B53198" w:rsidRPr="00731644">
        <w:rPr>
          <w:lang w:val="fr-CH"/>
        </w:rPr>
        <w:t>.</w:t>
      </w:r>
    </w:p>
    <w:p w:rsidR="00C776A4" w:rsidRPr="00731644" w:rsidRDefault="001D4D14" w:rsidP="001D4D14">
      <w:pPr>
        <w:pStyle w:val="SingleTxtG"/>
        <w:rPr>
          <w:lang w:val="fr-CH"/>
        </w:rPr>
      </w:pPr>
      <w:r w:rsidRPr="00731644">
        <w:rPr>
          <w:lang w:val="fr-CH"/>
        </w:rPr>
        <w:t>112.</w:t>
      </w:r>
      <w:r w:rsidRPr="00731644">
        <w:rPr>
          <w:lang w:val="fr-CH"/>
        </w:rPr>
        <w:tab/>
      </w:r>
      <w:r w:rsidR="00B53198" w:rsidRPr="00731644">
        <w:rPr>
          <w:lang w:val="fr-CH"/>
        </w:rPr>
        <w:t>Lorsque l</w:t>
      </w:r>
      <w:r w:rsidR="00425386" w:rsidRPr="00731644">
        <w:rPr>
          <w:lang w:val="fr-CH"/>
        </w:rPr>
        <w:t>’</w:t>
      </w:r>
      <w:r w:rsidR="00B53198" w:rsidRPr="00731644">
        <w:rPr>
          <w:lang w:val="fr-CH"/>
        </w:rPr>
        <w:t>autorisation d</w:t>
      </w:r>
      <w:r w:rsidR="00425386" w:rsidRPr="00731644">
        <w:rPr>
          <w:lang w:val="fr-CH"/>
        </w:rPr>
        <w:t>’</w:t>
      </w:r>
      <w:r w:rsidR="00B53198" w:rsidRPr="00731644">
        <w:rPr>
          <w:lang w:val="fr-CH"/>
        </w:rPr>
        <w:t xml:space="preserve">entrer au Monténégro est refusée à un étranger, mention en est faite sur son passeport. </w:t>
      </w:r>
    </w:p>
    <w:p w:rsidR="00C776A4" w:rsidRPr="00731644" w:rsidRDefault="001D4D14" w:rsidP="00C776A4">
      <w:pPr>
        <w:pStyle w:val="SingleTxtG"/>
        <w:rPr>
          <w:lang w:val="fr-CH"/>
        </w:rPr>
      </w:pPr>
      <w:r w:rsidRPr="00731644">
        <w:rPr>
          <w:lang w:val="fr-CH"/>
        </w:rPr>
        <w:t>113.</w:t>
      </w:r>
      <w:r w:rsidRPr="00731644">
        <w:rPr>
          <w:lang w:val="fr-CH"/>
        </w:rPr>
        <w:tab/>
      </w:r>
      <w:r w:rsidR="009C668B" w:rsidRPr="00731644">
        <w:rPr>
          <w:lang w:val="fr-CH"/>
        </w:rPr>
        <w:t>En vertu de la loi précitée, les étrangers peuvent</w:t>
      </w:r>
      <w:r w:rsidR="00F31DD5" w:rsidRPr="00731644">
        <w:rPr>
          <w:lang w:val="fr-CH"/>
        </w:rPr>
        <w:t>:</w:t>
      </w:r>
      <w:r w:rsidR="00A66512" w:rsidRPr="00731644">
        <w:rPr>
          <w:lang w:val="fr-CH"/>
        </w:rPr>
        <w:t xml:space="preserve"> 1</w:t>
      </w:r>
      <w:r w:rsidR="00C776A4" w:rsidRPr="00731644">
        <w:rPr>
          <w:lang w:val="fr-CH"/>
        </w:rPr>
        <w:t xml:space="preserve">) </w:t>
      </w:r>
      <w:r w:rsidR="009C668B" w:rsidRPr="00731644">
        <w:rPr>
          <w:lang w:val="fr-CH"/>
        </w:rPr>
        <w:t>séjourner au Monténégro jusqu</w:t>
      </w:r>
      <w:r w:rsidR="00425386" w:rsidRPr="00731644">
        <w:rPr>
          <w:lang w:val="fr-CH"/>
        </w:rPr>
        <w:t>’</w:t>
      </w:r>
      <w:r w:rsidR="009C668B" w:rsidRPr="00731644">
        <w:rPr>
          <w:lang w:val="fr-CH"/>
        </w:rPr>
        <w:t>à</w:t>
      </w:r>
      <w:r w:rsidR="00C776A4" w:rsidRPr="00731644">
        <w:rPr>
          <w:lang w:val="fr-CH"/>
        </w:rPr>
        <w:t xml:space="preserve"> 90</w:t>
      </w:r>
      <w:r w:rsidR="00731644" w:rsidRPr="00731644">
        <w:rPr>
          <w:lang w:val="fr-CH"/>
        </w:rPr>
        <w:t> jours</w:t>
      </w:r>
      <w:r w:rsidR="00C776A4" w:rsidRPr="00731644">
        <w:rPr>
          <w:lang w:val="fr-CH"/>
        </w:rPr>
        <w:t xml:space="preserve">, 2) </w:t>
      </w:r>
      <w:r w:rsidR="009C668B" w:rsidRPr="00731644">
        <w:rPr>
          <w:lang w:val="fr-CH"/>
        </w:rPr>
        <w:t>y séjourner temporairement</w:t>
      </w:r>
      <w:r w:rsidR="00C776A4" w:rsidRPr="00731644">
        <w:rPr>
          <w:lang w:val="fr-CH"/>
        </w:rPr>
        <w:t xml:space="preserve">, </w:t>
      </w:r>
      <w:r w:rsidR="009C668B" w:rsidRPr="00731644">
        <w:rPr>
          <w:lang w:val="fr-CH"/>
        </w:rPr>
        <w:t>et</w:t>
      </w:r>
      <w:r w:rsidR="00C776A4" w:rsidRPr="00731644">
        <w:rPr>
          <w:lang w:val="fr-CH"/>
        </w:rPr>
        <w:t xml:space="preserve"> 3) </w:t>
      </w:r>
      <w:r w:rsidR="009C668B" w:rsidRPr="00731644">
        <w:rPr>
          <w:lang w:val="fr-CH"/>
        </w:rPr>
        <w:t xml:space="preserve">y être résidents </w:t>
      </w:r>
      <w:r w:rsidR="00A66512" w:rsidRPr="00731644">
        <w:rPr>
          <w:lang w:val="fr-CH"/>
        </w:rPr>
        <w:t>permanents</w:t>
      </w:r>
      <w:r w:rsidR="00C776A4" w:rsidRPr="00731644">
        <w:rPr>
          <w:lang w:val="fr-CH"/>
        </w:rPr>
        <w:t xml:space="preserve">. </w:t>
      </w:r>
      <w:r w:rsidR="00834BEC" w:rsidRPr="00731644">
        <w:rPr>
          <w:lang w:val="fr-CH"/>
        </w:rPr>
        <w:t xml:space="preserve">Sont admis à </w:t>
      </w:r>
      <w:r w:rsidR="00431904" w:rsidRPr="00731644">
        <w:rPr>
          <w:lang w:val="fr-CH"/>
        </w:rPr>
        <w:t>séjourner jusqu</w:t>
      </w:r>
      <w:r w:rsidR="00425386" w:rsidRPr="00731644">
        <w:rPr>
          <w:lang w:val="fr-CH"/>
        </w:rPr>
        <w:t>’</w:t>
      </w:r>
      <w:r w:rsidR="00431904" w:rsidRPr="00731644">
        <w:rPr>
          <w:lang w:val="fr-CH"/>
        </w:rPr>
        <w:t xml:space="preserve">à </w:t>
      </w:r>
      <w:r w:rsidR="00FC1854" w:rsidRPr="00731644">
        <w:rPr>
          <w:lang w:val="fr-CH"/>
        </w:rPr>
        <w:t>90</w:t>
      </w:r>
      <w:r w:rsidR="00731644" w:rsidRPr="00731644">
        <w:rPr>
          <w:lang w:val="fr-CH"/>
        </w:rPr>
        <w:t> jours</w:t>
      </w:r>
      <w:r w:rsidR="00FC1854" w:rsidRPr="00731644">
        <w:rPr>
          <w:lang w:val="fr-CH"/>
        </w:rPr>
        <w:t xml:space="preserve"> </w:t>
      </w:r>
      <w:r w:rsidR="005A2582" w:rsidRPr="00731644">
        <w:rPr>
          <w:lang w:val="fr-CH"/>
        </w:rPr>
        <w:t>les</w:t>
      </w:r>
      <w:r w:rsidR="009C668B" w:rsidRPr="00731644">
        <w:rPr>
          <w:lang w:val="fr-CH"/>
        </w:rPr>
        <w:t xml:space="preserve"> étrangers qui n</w:t>
      </w:r>
      <w:r w:rsidR="00425386" w:rsidRPr="00731644">
        <w:rPr>
          <w:lang w:val="fr-CH"/>
        </w:rPr>
        <w:t>’</w:t>
      </w:r>
      <w:r w:rsidR="009C668B" w:rsidRPr="00731644">
        <w:rPr>
          <w:lang w:val="fr-CH"/>
        </w:rPr>
        <w:t xml:space="preserve">ont pas de visa, </w:t>
      </w:r>
      <w:r w:rsidR="00FC1854" w:rsidRPr="00731644">
        <w:rPr>
          <w:lang w:val="fr-CH"/>
        </w:rPr>
        <w:t xml:space="preserve">ou </w:t>
      </w:r>
      <w:r w:rsidR="009C668B" w:rsidRPr="00731644">
        <w:rPr>
          <w:lang w:val="fr-CH"/>
        </w:rPr>
        <w:t>qui on</w:t>
      </w:r>
      <w:r w:rsidR="00431904" w:rsidRPr="00731644">
        <w:rPr>
          <w:lang w:val="fr-CH"/>
        </w:rPr>
        <w:t>t</w:t>
      </w:r>
      <w:r w:rsidR="009C668B" w:rsidRPr="00731644">
        <w:rPr>
          <w:lang w:val="fr-CH"/>
        </w:rPr>
        <w:t xml:space="preserve"> un visa ou un laissez-passer, sauf </w:t>
      </w:r>
      <w:r w:rsidR="00A66512" w:rsidRPr="00731644">
        <w:rPr>
          <w:lang w:val="fr-CH"/>
        </w:rPr>
        <w:t>disposition</w:t>
      </w:r>
      <w:r w:rsidR="009C668B" w:rsidRPr="00731644">
        <w:rPr>
          <w:lang w:val="fr-CH"/>
        </w:rPr>
        <w:t xml:space="preserve"> contraire de la loi ou d</w:t>
      </w:r>
      <w:r w:rsidR="00425386" w:rsidRPr="00731644">
        <w:rPr>
          <w:lang w:val="fr-CH"/>
        </w:rPr>
        <w:t>’</w:t>
      </w:r>
      <w:r w:rsidR="009C668B" w:rsidRPr="00731644">
        <w:rPr>
          <w:lang w:val="fr-CH"/>
        </w:rPr>
        <w:t>un accord international</w:t>
      </w:r>
      <w:r w:rsidR="00C776A4" w:rsidRPr="00731644">
        <w:rPr>
          <w:lang w:val="fr-CH"/>
        </w:rPr>
        <w:t>.</w:t>
      </w:r>
    </w:p>
    <w:p w:rsidR="009554B0" w:rsidRPr="00731644" w:rsidRDefault="001D4D14" w:rsidP="00C776A4">
      <w:pPr>
        <w:pStyle w:val="SingleTxtG"/>
        <w:rPr>
          <w:lang w:val="fr-CH"/>
        </w:rPr>
      </w:pPr>
      <w:r w:rsidRPr="00731644">
        <w:rPr>
          <w:lang w:val="fr-CH"/>
        </w:rPr>
        <w:t>114.</w:t>
      </w:r>
      <w:r w:rsidRPr="00731644">
        <w:rPr>
          <w:lang w:val="fr-CH"/>
        </w:rPr>
        <w:tab/>
      </w:r>
      <w:r w:rsidR="005A2582" w:rsidRPr="00731644">
        <w:rPr>
          <w:lang w:val="fr-CH"/>
        </w:rPr>
        <w:t>Un permis</w:t>
      </w:r>
      <w:r w:rsidR="009C668B" w:rsidRPr="00731644">
        <w:rPr>
          <w:lang w:val="fr-CH"/>
        </w:rPr>
        <w:t xml:space="preserve"> de séjour temporaire est délivré </w:t>
      </w:r>
      <w:r w:rsidR="00516407">
        <w:rPr>
          <w:lang w:val="fr-CH"/>
        </w:rPr>
        <w:t>aux personnes</w:t>
      </w:r>
      <w:r w:rsidR="009C668B" w:rsidRPr="00731644">
        <w:rPr>
          <w:lang w:val="fr-CH"/>
        </w:rPr>
        <w:t xml:space="preserve"> qui souhaitent faire des études, recevoir</w:t>
      </w:r>
      <w:r w:rsidR="00F31DD5" w:rsidRPr="00731644">
        <w:rPr>
          <w:lang w:val="fr-CH"/>
        </w:rPr>
        <w:t xml:space="preserve"> </w:t>
      </w:r>
      <w:r w:rsidR="009C668B" w:rsidRPr="00731644">
        <w:rPr>
          <w:lang w:val="fr-CH"/>
        </w:rPr>
        <w:t>une formation</w:t>
      </w:r>
      <w:r w:rsidR="009554B0" w:rsidRPr="00731644">
        <w:rPr>
          <w:lang w:val="fr-CH"/>
        </w:rPr>
        <w:t xml:space="preserve">, </w:t>
      </w:r>
      <w:r w:rsidR="00EC5EDC" w:rsidRPr="00731644">
        <w:rPr>
          <w:lang w:val="fr-CH"/>
        </w:rPr>
        <w:t xml:space="preserve">occuper un emploi </w:t>
      </w:r>
      <w:r w:rsidR="009554B0" w:rsidRPr="00731644">
        <w:rPr>
          <w:lang w:val="fr-CH"/>
        </w:rPr>
        <w:t>ou</w:t>
      </w:r>
      <w:r w:rsidR="009C668B" w:rsidRPr="00731644">
        <w:rPr>
          <w:lang w:val="fr-CH"/>
        </w:rPr>
        <w:t xml:space="preserve"> travailler dans les condition</w:t>
      </w:r>
      <w:r w:rsidR="009554B0" w:rsidRPr="00731644">
        <w:rPr>
          <w:lang w:val="fr-CH"/>
        </w:rPr>
        <w:t>s</w:t>
      </w:r>
      <w:r w:rsidR="009C668B" w:rsidRPr="00731644">
        <w:rPr>
          <w:lang w:val="fr-CH"/>
        </w:rPr>
        <w:t xml:space="preserve"> prescrites par la loi, ou </w:t>
      </w:r>
      <w:r w:rsidR="009554B0" w:rsidRPr="00731644">
        <w:rPr>
          <w:lang w:val="fr-CH"/>
        </w:rPr>
        <w:t xml:space="preserve">encore au titre </w:t>
      </w:r>
      <w:r w:rsidR="00D0178A" w:rsidRPr="00731644">
        <w:rPr>
          <w:lang w:val="fr-CH"/>
        </w:rPr>
        <w:t>du regroupement</w:t>
      </w:r>
      <w:r w:rsidR="009554B0" w:rsidRPr="00731644">
        <w:rPr>
          <w:lang w:val="fr-CH"/>
        </w:rPr>
        <w:t xml:space="preserve"> familial. L</w:t>
      </w:r>
      <w:r w:rsidR="00425386" w:rsidRPr="00731644">
        <w:rPr>
          <w:lang w:val="fr-CH"/>
        </w:rPr>
        <w:t>’</w:t>
      </w:r>
      <w:r w:rsidR="009554B0" w:rsidRPr="00731644">
        <w:rPr>
          <w:lang w:val="fr-CH"/>
        </w:rPr>
        <w:t>autorité compétente annule le permis de séjour de 90</w:t>
      </w:r>
      <w:r w:rsidR="00731644" w:rsidRPr="00731644">
        <w:rPr>
          <w:lang w:val="fr-CH"/>
        </w:rPr>
        <w:t> jours</w:t>
      </w:r>
      <w:r w:rsidR="009554B0" w:rsidRPr="00731644">
        <w:rPr>
          <w:lang w:val="fr-CH"/>
        </w:rPr>
        <w:t xml:space="preserve"> ou de séjour temporaire</w:t>
      </w:r>
      <w:r w:rsidR="00F31DD5" w:rsidRPr="00731644">
        <w:rPr>
          <w:lang w:val="fr-CH"/>
        </w:rPr>
        <w:t>:</w:t>
      </w:r>
      <w:r w:rsidR="00C776A4" w:rsidRPr="00731644">
        <w:rPr>
          <w:lang w:val="fr-CH"/>
        </w:rPr>
        <w:t xml:space="preserve"> 1) </w:t>
      </w:r>
      <w:r w:rsidR="009554B0" w:rsidRPr="00731644">
        <w:rPr>
          <w:lang w:val="fr-CH"/>
        </w:rPr>
        <w:t>s</w:t>
      </w:r>
      <w:r w:rsidR="00425386" w:rsidRPr="00731644">
        <w:rPr>
          <w:lang w:val="fr-CH"/>
        </w:rPr>
        <w:t>’</w:t>
      </w:r>
      <w:r w:rsidR="009554B0" w:rsidRPr="00731644">
        <w:rPr>
          <w:lang w:val="fr-CH"/>
        </w:rPr>
        <w:t>il existe des raisons d</w:t>
      </w:r>
      <w:r w:rsidR="00425386" w:rsidRPr="00731644">
        <w:rPr>
          <w:lang w:val="fr-CH"/>
        </w:rPr>
        <w:t>’</w:t>
      </w:r>
      <w:r w:rsidR="009554B0" w:rsidRPr="00731644">
        <w:rPr>
          <w:lang w:val="fr-CH"/>
        </w:rPr>
        <w:t>interdire l</w:t>
      </w:r>
      <w:r w:rsidR="00425386" w:rsidRPr="00731644">
        <w:rPr>
          <w:lang w:val="fr-CH"/>
        </w:rPr>
        <w:t>’</w:t>
      </w:r>
      <w:r w:rsidR="009554B0" w:rsidRPr="00731644">
        <w:rPr>
          <w:lang w:val="fr-CH"/>
        </w:rPr>
        <w:t>entrée sur le territoire monténégrin</w:t>
      </w:r>
      <w:r w:rsidR="00F31DD5" w:rsidRPr="00731644">
        <w:rPr>
          <w:lang w:val="fr-CH"/>
        </w:rPr>
        <w:t xml:space="preserve">; </w:t>
      </w:r>
      <w:r w:rsidR="00C776A4" w:rsidRPr="00731644">
        <w:rPr>
          <w:lang w:val="fr-CH"/>
        </w:rPr>
        <w:t xml:space="preserve">2) </w:t>
      </w:r>
      <w:r w:rsidR="009554B0" w:rsidRPr="00731644">
        <w:rPr>
          <w:lang w:val="fr-CH"/>
        </w:rPr>
        <w:t>si la personne trouve un emploi et travaille sans permis de travail, sans permis d</w:t>
      </w:r>
      <w:r w:rsidR="00425386" w:rsidRPr="00731644">
        <w:rPr>
          <w:lang w:val="fr-CH"/>
        </w:rPr>
        <w:t>’</w:t>
      </w:r>
      <w:r w:rsidR="009554B0" w:rsidRPr="00731644">
        <w:rPr>
          <w:lang w:val="fr-CH"/>
        </w:rPr>
        <w:t xml:space="preserve">exercer une activité économique ou dans des conditions contraires aux dispositions de la loi sur les étrangers; </w:t>
      </w:r>
      <w:r w:rsidR="00C776A4" w:rsidRPr="00731644">
        <w:rPr>
          <w:lang w:val="fr-CH"/>
        </w:rPr>
        <w:t xml:space="preserve">3) </w:t>
      </w:r>
      <w:r w:rsidR="009554B0" w:rsidRPr="00731644">
        <w:rPr>
          <w:lang w:val="fr-CH"/>
        </w:rPr>
        <w:t>si elle séjourne à des fins contraires à celles auxquelles le permis de séjour a été délivré</w:t>
      </w:r>
      <w:r w:rsidR="00F31DD5" w:rsidRPr="00731644">
        <w:rPr>
          <w:lang w:val="fr-CH"/>
        </w:rPr>
        <w:t>;</w:t>
      </w:r>
      <w:r w:rsidR="009554B0" w:rsidRPr="00731644">
        <w:rPr>
          <w:lang w:val="fr-CH"/>
        </w:rPr>
        <w:t xml:space="preserve"> </w:t>
      </w:r>
      <w:r w:rsidR="00C776A4" w:rsidRPr="00731644">
        <w:rPr>
          <w:lang w:val="fr-CH"/>
        </w:rPr>
        <w:t xml:space="preserve">4) </w:t>
      </w:r>
      <w:r w:rsidR="009554B0" w:rsidRPr="00731644">
        <w:rPr>
          <w:lang w:val="fr-CH"/>
        </w:rPr>
        <w:t>si elle met en danger l</w:t>
      </w:r>
      <w:r w:rsidR="00425386" w:rsidRPr="00731644">
        <w:rPr>
          <w:lang w:val="fr-CH"/>
        </w:rPr>
        <w:t>’</w:t>
      </w:r>
      <w:r w:rsidR="009554B0" w:rsidRPr="00731644">
        <w:rPr>
          <w:lang w:val="fr-CH"/>
        </w:rPr>
        <w:t>ordre public ou d</w:t>
      </w:r>
      <w:r w:rsidR="00425386" w:rsidRPr="00731644">
        <w:rPr>
          <w:lang w:val="fr-CH"/>
        </w:rPr>
        <w:t>’</w:t>
      </w:r>
      <w:r w:rsidR="009554B0" w:rsidRPr="00731644">
        <w:rPr>
          <w:lang w:val="fr-CH"/>
        </w:rPr>
        <w:t>autres valeurs protégées par la loi.</w:t>
      </w:r>
      <w:r w:rsidR="00F31DD5" w:rsidRPr="00731644">
        <w:rPr>
          <w:lang w:val="fr-CH"/>
        </w:rPr>
        <w:t xml:space="preserve"> </w:t>
      </w:r>
    </w:p>
    <w:p w:rsidR="00C776A4" w:rsidRPr="00731644" w:rsidRDefault="001D4D14" w:rsidP="00C776A4">
      <w:pPr>
        <w:pStyle w:val="SingleTxtG"/>
        <w:rPr>
          <w:lang w:val="fr-CH"/>
        </w:rPr>
      </w:pPr>
      <w:r w:rsidRPr="00731644">
        <w:rPr>
          <w:lang w:val="fr-CH"/>
        </w:rPr>
        <w:t>115.</w:t>
      </w:r>
      <w:r w:rsidRPr="00731644">
        <w:rPr>
          <w:lang w:val="fr-CH"/>
        </w:rPr>
        <w:tab/>
      </w:r>
      <w:r w:rsidR="005A2582" w:rsidRPr="00731644">
        <w:rPr>
          <w:lang w:val="fr-CH"/>
        </w:rPr>
        <w:t>Lors de l</w:t>
      </w:r>
      <w:r w:rsidR="004D4CE6" w:rsidRPr="00731644">
        <w:rPr>
          <w:lang w:val="fr-CH"/>
        </w:rPr>
        <w:t>a décision d</w:t>
      </w:r>
      <w:r w:rsidR="00425386" w:rsidRPr="00731644">
        <w:rPr>
          <w:lang w:val="fr-CH"/>
        </w:rPr>
        <w:t>’</w:t>
      </w:r>
      <w:r w:rsidR="004D4CE6" w:rsidRPr="00731644">
        <w:rPr>
          <w:lang w:val="fr-CH"/>
        </w:rPr>
        <w:t>annuler le permis de séjour d</w:t>
      </w:r>
      <w:r w:rsidR="00425386" w:rsidRPr="00731644">
        <w:rPr>
          <w:lang w:val="fr-CH"/>
        </w:rPr>
        <w:t>’</w:t>
      </w:r>
      <w:r w:rsidR="004D4CE6" w:rsidRPr="00731644">
        <w:rPr>
          <w:lang w:val="fr-CH"/>
        </w:rPr>
        <w:t>un étranger</w:t>
      </w:r>
      <w:r w:rsidR="005A2582" w:rsidRPr="00731644">
        <w:rPr>
          <w:lang w:val="fr-CH"/>
        </w:rPr>
        <w:t>, sont pris</w:t>
      </w:r>
      <w:r w:rsidR="00F31DD5" w:rsidRPr="00731644">
        <w:rPr>
          <w:lang w:val="fr-CH"/>
        </w:rPr>
        <w:t xml:space="preserve"> </w:t>
      </w:r>
      <w:r w:rsidR="005A2582" w:rsidRPr="00731644">
        <w:rPr>
          <w:lang w:val="fr-CH"/>
        </w:rPr>
        <w:t>tout particulièrement en</w:t>
      </w:r>
      <w:r w:rsidR="004D4CE6" w:rsidRPr="00731644">
        <w:rPr>
          <w:lang w:val="fr-CH"/>
        </w:rPr>
        <w:t xml:space="preserve"> compte</w:t>
      </w:r>
      <w:r w:rsidR="00F31DD5" w:rsidRPr="00731644">
        <w:rPr>
          <w:lang w:val="fr-CH"/>
        </w:rPr>
        <w:t>:</w:t>
      </w:r>
      <w:r w:rsidR="004D4CE6" w:rsidRPr="00731644">
        <w:rPr>
          <w:lang w:val="fr-CH"/>
        </w:rPr>
        <w:t xml:space="preserve"> </w:t>
      </w:r>
      <w:r w:rsidR="00C776A4" w:rsidRPr="00731644">
        <w:rPr>
          <w:lang w:val="fr-CH"/>
        </w:rPr>
        <w:t xml:space="preserve">1) </w:t>
      </w:r>
      <w:r w:rsidR="004D4CE6" w:rsidRPr="00731644">
        <w:rPr>
          <w:lang w:val="fr-CH"/>
        </w:rPr>
        <w:t xml:space="preserve">la durée </w:t>
      </w:r>
      <w:r w:rsidR="005A2582" w:rsidRPr="00731644">
        <w:rPr>
          <w:lang w:val="fr-CH"/>
        </w:rPr>
        <w:t>du</w:t>
      </w:r>
      <w:r w:rsidR="004D4CE6" w:rsidRPr="00731644">
        <w:rPr>
          <w:lang w:val="fr-CH"/>
        </w:rPr>
        <w:t xml:space="preserve"> séjour</w:t>
      </w:r>
      <w:r w:rsidR="005A2582" w:rsidRPr="00731644">
        <w:rPr>
          <w:lang w:val="fr-CH"/>
        </w:rPr>
        <w:t xml:space="preserve"> de celui-ci</w:t>
      </w:r>
      <w:r w:rsidR="00C776A4" w:rsidRPr="00731644">
        <w:rPr>
          <w:lang w:val="fr-CH"/>
        </w:rPr>
        <w:t xml:space="preserve">, 2) </w:t>
      </w:r>
      <w:r w:rsidR="005A2582" w:rsidRPr="00731644">
        <w:rPr>
          <w:lang w:val="fr-CH"/>
        </w:rPr>
        <w:t>sa situation</w:t>
      </w:r>
      <w:r w:rsidR="004D4CE6" w:rsidRPr="00731644">
        <w:rPr>
          <w:lang w:val="fr-CH"/>
        </w:rPr>
        <w:t xml:space="preserve"> personnelle, familiale, économique ou autre</w:t>
      </w:r>
      <w:r w:rsidR="00C776A4" w:rsidRPr="00731644">
        <w:rPr>
          <w:lang w:val="fr-CH"/>
        </w:rPr>
        <w:t xml:space="preserve">, 3) </w:t>
      </w:r>
      <w:r w:rsidR="005A2582" w:rsidRPr="00731644">
        <w:rPr>
          <w:lang w:val="fr-CH"/>
        </w:rPr>
        <w:t>le</w:t>
      </w:r>
      <w:r w:rsidR="004D4CE6" w:rsidRPr="00731644">
        <w:rPr>
          <w:lang w:val="fr-CH"/>
        </w:rPr>
        <w:t xml:space="preserve"> délai dans lequel il doit quitter le Monténégro, et qui ne peut </w:t>
      </w:r>
      <w:r w:rsidR="00A66512" w:rsidRPr="00731644">
        <w:rPr>
          <w:lang w:val="fr-CH"/>
        </w:rPr>
        <w:t>excéder</w:t>
      </w:r>
      <w:r w:rsidR="004D4CE6" w:rsidRPr="00731644">
        <w:rPr>
          <w:lang w:val="fr-CH"/>
        </w:rPr>
        <w:t xml:space="preserve"> </w:t>
      </w:r>
      <w:r w:rsidR="00C776A4" w:rsidRPr="00731644">
        <w:rPr>
          <w:lang w:val="fr-CH"/>
        </w:rPr>
        <w:t>30</w:t>
      </w:r>
      <w:r w:rsidR="00731644" w:rsidRPr="00731644">
        <w:rPr>
          <w:lang w:val="fr-CH"/>
        </w:rPr>
        <w:t> jours</w:t>
      </w:r>
      <w:r w:rsidR="00C776A4" w:rsidRPr="00731644">
        <w:rPr>
          <w:lang w:val="fr-CH"/>
        </w:rPr>
        <w:t xml:space="preserve">, 4) </w:t>
      </w:r>
      <w:r w:rsidR="005A2582" w:rsidRPr="00731644">
        <w:rPr>
          <w:lang w:val="fr-CH"/>
        </w:rPr>
        <w:t>le</w:t>
      </w:r>
      <w:r w:rsidR="004D4CE6" w:rsidRPr="00731644">
        <w:rPr>
          <w:lang w:val="fr-CH"/>
        </w:rPr>
        <w:t xml:space="preserve"> temps pendant lequel il ne peut entrer de nouveau dans le pays. L</w:t>
      </w:r>
      <w:r w:rsidR="00425386" w:rsidRPr="00731644">
        <w:rPr>
          <w:lang w:val="fr-CH"/>
        </w:rPr>
        <w:t>’</w:t>
      </w:r>
      <w:r w:rsidR="004D4CE6" w:rsidRPr="00731644">
        <w:rPr>
          <w:lang w:val="fr-CH"/>
        </w:rPr>
        <w:t>annul</w:t>
      </w:r>
      <w:r w:rsidR="005A2582" w:rsidRPr="00731644">
        <w:rPr>
          <w:lang w:val="fr-CH"/>
        </w:rPr>
        <w:t>ation du permis de séjour et l</w:t>
      </w:r>
      <w:r w:rsidR="00425386" w:rsidRPr="00731644">
        <w:rPr>
          <w:lang w:val="fr-CH"/>
        </w:rPr>
        <w:t>’</w:t>
      </w:r>
      <w:r w:rsidR="004D4CE6" w:rsidRPr="00731644">
        <w:rPr>
          <w:lang w:val="fr-CH"/>
        </w:rPr>
        <w:t xml:space="preserve">interdiction de revenir au Monténégro sont </w:t>
      </w:r>
      <w:r w:rsidR="005A2582" w:rsidRPr="00731644">
        <w:rPr>
          <w:lang w:val="fr-CH"/>
        </w:rPr>
        <w:t>porté</w:t>
      </w:r>
      <w:r w:rsidR="004D4CE6" w:rsidRPr="00731644">
        <w:rPr>
          <w:lang w:val="fr-CH"/>
        </w:rPr>
        <w:t>es sur le passeport.</w:t>
      </w:r>
      <w:r w:rsidR="00F31DD5" w:rsidRPr="00731644">
        <w:rPr>
          <w:lang w:val="fr-CH"/>
        </w:rPr>
        <w:t xml:space="preserve"> </w:t>
      </w:r>
    </w:p>
    <w:p w:rsidR="00C776A4" w:rsidRPr="00731644" w:rsidRDefault="001D4D14" w:rsidP="00C15A9A">
      <w:pPr>
        <w:pStyle w:val="SingleTxtG"/>
        <w:rPr>
          <w:lang w:val="fr-CH"/>
        </w:rPr>
      </w:pPr>
      <w:r w:rsidRPr="00731644">
        <w:rPr>
          <w:iCs/>
          <w:lang w:val="fr-CH"/>
        </w:rPr>
        <w:t>116.</w:t>
      </w:r>
      <w:r w:rsidRPr="00731644">
        <w:rPr>
          <w:i/>
          <w:lang w:val="fr-CH"/>
        </w:rPr>
        <w:tab/>
      </w:r>
      <w:r w:rsidR="004D4CE6" w:rsidRPr="00516407">
        <w:rPr>
          <w:i/>
          <w:lang w:val="fr-CH"/>
        </w:rPr>
        <w:t>La loi modif</w:t>
      </w:r>
      <w:r w:rsidR="005A2582" w:rsidRPr="00516407">
        <w:rPr>
          <w:i/>
          <w:lang w:val="fr-CH"/>
        </w:rPr>
        <w:t xml:space="preserve">iant la loi sur les étrangers </w:t>
      </w:r>
      <w:r w:rsidR="005A2582" w:rsidRPr="00E66A6C">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5072A0">
        <w:rPr>
          <w:lang w:val="fr-CH"/>
        </w:rPr>
        <w:t>n</w:t>
      </w:r>
      <w:r w:rsidR="005072A0" w:rsidRPr="005072A0">
        <w:rPr>
          <w:vertAlign w:val="superscript"/>
          <w:lang w:val="fr-CH"/>
        </w:rPr>
        <w:t>o</w:t>
      </w:r>
      <w:r w:rsidR="005072A0">
        <w:rPr>
          <w:lang w:val="fr-CH"/>
        </w:rPr>
        <w:t> </w:t>
      </w:r>
      <w:r w:rsidR="00C776A4" w:rsidRPr="00435FB5">
        <w:rPr>
          <w:iCs/>
          <w:lang w:val="fr-CH"/>
        </w:rPr>
        <w:t>72/09</w:t>
      </w:r>
      <w:r w:rsidR="00C776A4" w:rsidRPr="00731644">
        <w:rPr>
          <w:lang w:val="fr-CH"/>
        </w:rPr>
        <w:t>)</w:t>
      </w:r>
      <w:r w:rsidR="005A2582" w:rsidRPr="00731644">
        <w:rPr>
          <w:lang w:val="fr-CH"/>
        </w:rPr>
        <w:t xml:space="preserve"> offre</w:t>
      </w:r>
      <w:r w:rsidR="00F31DD5" w:rsidRPr="00731644">
        <w:rPr>
          <w:lang w:val="fr-CH"/>
        </w:rPr>
        <w:t xml:space="preserve"> </w:t>
      </w:r>
      <w:r w:rsidR="00516407">
        <w:rPr>
          <w:lang w:val="fr-CH"/>
        </w:rPr>
        <w:t>aux personnes</w:t>
      </w:r>
      <w:r w:rsidR="004D4CE6" w:rsidRPr="00731644">
        <w:rPr>
          <w:lang w:val="fr-CH"/>
        </w:rPr>
        <w:t xml:space="preserve"> dép</w:t>
      </w:r>
      <w:r w:rsidR="00AC779D" w:rsidRPr="00731644">
        <w:rPr>
          <w:lang w:val="fr-CH"/>
        </w:rPr>
        <w:t>l</w:t>
      </w:r>
      <w:r w:rsidR="004D4CE6" w:rsidRPr="00731644">
        <w:rPr>
          <w:lang w:val="fr-CH"/>
        </w:rPr>
        <w:t xml:space="preserve">acées des républiques </w:t>
      </w:r>
      <w:r w:rsidR="001577F6" w:rsidRPr="00731644">
        <w:rPr>
          <w:lang w:val="fr-CH"/>
        </w:rPr>
        <w:t xml:space="preserve">de </w:t>
      </w:r>
      <w:r w:rsidR="00AC779D" w:rsidRPr="00731644">
        <w:rPr>
          <w:lang w:val="fr-CH"/>
        </w:rPr>
        <w:t>l</w:t>
      </w:r>
      <w:r w:rsidR="00425386" w:rsidRPr="00731644">
        <w:rPr>
          <w:lang w:val="fr-CH"/>
        </w:rPr>
        <w:t>’</w:t>
      </w:r>
      <w:r w:rsidR="00AC779D" w:rsidRPr="00731644">
        <w:rPr>
          <w:lang w:val="fr-CH"/>
        </w:rPr>
        <w:t>ex-</w:t>
      </w:r>
      <w:r w:rsidR="001577F6" w:rsidRPr="00731644">
        <w:rPr>
          <w:lang w:val="fr-CH"/>
        </w:rPr>
        <w:t>Y</w:t>
      </w:r>
      <w:r w:rsidR="004D4CE6" w:rsidRPr="00731644">
        <w:rPr>
          <w:lang w:val="fr-CH"/>
        </w:rPr>
        <w:t>ougoslav</w:t>
      </w:r>
      <w:r w:rsidR="001577F6" w:rsidRPr="00731644">
        <w:rPr>
          <w:lang w:val="fr-CH"/>
        </w:rPr>
        <w:t>i</w:t>
      </w:r>
      <w:r w:rsidR="004D4CE6" w:rsidRPr="00731644">
        <w:rPr>
          <w:lang w:val="fr-CH"/>
        </w:rPr>
        <w:t xml:space="preserve">e </w:t>
      </w:r>
      <w:r w:rsidR="001577F6" w:rsidRPr="00731644">
        <w:rPr>
          <w:lang w:val="fr-CH"/>
        </w:rPr>
        <w:t xml:space="preserve">et </w:t>
      </w:r>
      <w:r w:rsidR="00516407">
        <w:rPr>
          <w:lang w:val="fr-CH"/>
        </w:rPr>
        <w:t>aux personnes</w:t>
      </w:r>
      <w:r w:rsidR="001577F6" w:rsidRPr="00731644">
        <w:rPr>
          <w:lang w:val="fr-CH"/>
        </w:rPr>
        <w:t xml:space="preserve"> déplacées dans leur propre pays </w:t>
      </w:r>
      <w:r w:rsidR="00585058" w:rsidRPr="00731644">
        <w:rPr>
          <w:lang w:val="fr-CH"/>
        </w:rPr>
        <w:t xml:space="preserve">originaires du Kosovo qui </w:t>
      </w:r>
      <w:r w:rsidR="001577F6" w:rsidRPr="00731644">
        <w:rPr>
          <w:lang w:val="fr-CH"/>
        </w:rPr>
        <w:t xml:space="preserve">résident au Monténégro, </w:t>
      </w:r>
      <w:r w:rsidR="00E96DD0" w:rsidRPr="00731644">
        <w:rPr>
          <w:lang w:val="fr-CH"/>
        </w:rPr>
        <w:t>lesquelles</w:t>
      </w:r>
      <w:r w:rsidR="001577F6" w:rsidRPr="00731644">
        <w:rPr>
          <w:lang w:val="fr-CH"/>
        </w:rPr>
        <w:t xml:space="preserve"> sont </w:t>
      </w:r>
      <w:r w:rsidR="00A66512" w:rsidRPr="00731644">
        <w:rPr>
          <w:lang w:val="fr-CH"/>
        </w:rPr>
        <w:t>actuellement</w:t>
      </w:r>
      <w:r w:rsidR="00E96DD0" w:rsidRPr="00731644">
        <w:rPr>
          <w:lang w:val="fr-CH"/>
        </w:rPr>
        <w:t xml:space="preserve"> </w:t>
      </w:r>
      <w:r w:rsidR="001577F6" w:rsidRPr="00731644">
        <w:rPr>
          <w:lang w:val="fr-CH"/>
        </w:rPr>
        <w:t xml:space="preserve">au nombre de </w:t>
      </w:r>
      <w:r w:rsidR="00C776A4" w:rsidRPr="00731644">
        <w:rPr>
          <w:lang w:val="fr-CH"/>
        </w:rPr>
        <w:t>10</w:t>
      </w:r>
      <w:r w:rsidR="001577F6" w:rsidRPr="00731644">
        <w:rPr>
          <w:lang w:val="fr-CH"/>
        </w:rPr>
        <w:t> </w:t>
      </w:r>
      <w:r w:rsidR="00C776A4" w:rsidRPr="00731644">
        <w:rPr>
          <w:lang w:val="fr-CH"/>
        </w:rPr>
        <w:t>525</w:t>
      </w:r>
      <w:r w:rsidR="001577F6" w:rsidRPr="00731644">
        <w:rPr>
          <w:lang w:val="fr-CH"/>
        </w:rPr>
        <w:t>,</w:t>
      </w:r>
      <w:r w:rsidR="00C776A4" w:rsidRPr="00731644">
        <w:rPr>
          <w:lang w:val="fr-CH"/>
        </w:rPr>
        <w:t xml:space="preserve"> </w:t>
      </w:r>
      <w:r w:rsidR="001577F6" w:rsidRPr="00731644">
        <w:rPr>
          <w:lang w:val="fr-CH"/>
        </w:rPr>
        <w:t>la possibilité de solliciter un titre de séjour permanent dans les deux années qui suivent l</w:t>
      </w:r>
      <w:r w:rsidR="00425386" w:rsidRPr="00731644">
        <w:rPr>
          <w:lang w:val="fr-CH"/>
        </w:rPr>
        <w:t>’</w:t>
      </w:r>
      <w:r w:rsidR="001577F6" w:rsidRPr="00731644">
        <w:rPr>
          <w:lang w:val="fr-CH"/>
        </w:rPr>
        <w:t xml:space="preserve">entrée en vigueur de la </w:t>
      </w:r>
      <w:r w:rsidR="00F26360" w:rsidRPr="00731644">
        <w:rPr>
          <w:lang w:val="fr-CH"/>
        </w:rPr>
        <w:t>loi (</w:t>
      </w:r>
      <w:r w:rsidR="00F31DD5" w:rsidRPr="00731644">
        <w:rPr>
          <w:lang w:val="fr-CH"/>
        </w:rPr>
        <w:t>art. </w:t>
      </w:r>
      <w:r w:rsidR="00834BEC" w:rsidRPr="00731644">
        <w:rPr>
          <w:lang w:val="fr-CH"/>
        </w:rPr>
        <w:t>105 a))</w:t>
      </w:r>
      <w:r w:rsidR="00C776A4" w:rsidRPr="00731644">
        <w:rPr>
          <w:lang w:val="fr-CH"/>
        </w:rPr>
        <w:t>.</w:t>
      </w:r>
    </w:p>
    <w:p w:rsidR="00C776A4" w:rsidRPr="00731644" w:rsidRDefault="001D4D14" w:rsidP="00ED412D">
      <w:pPr>
        <w:pStyle w:val="SingleTxtG"/>
        <w:rPr>
          <w:lang w:val="fr-CH"/>
        </w:rPr>
      </w:pPr>
      <w:r w:rsidRPr="00731644">
        <w:rPr>
          <w:lang w:val="fr-CH"/>
        </w:rPr>
        <w:t>117.</w:t>
      </w:r>
      <w:r w:rsidRPr="00731644">
        <w:rPr>
          <w:lang w:val="fr-CH"/>
        </w:rPr>
        <w:tab/>
      </w:r>
      <w:r w:rsidR="001577F6" w:rsidRPr="00731644">
        <w:rPr>
          <w:lang w:val="fr-CH"/>
        </w:rPr>
        <w:t xml:space="preserve">Pour faciliter </w:t>
      </w:r>
      <w:r w:rsidR="00516407">
        <w:rPr>
          <w:lang w:val="fr-CH"/>
        </w:rPr>
        <w:t>aux personnes</w:t>
      </w:r>
      <w:r w:rsidR="001577F6" w:rsidRPr="00731644">
        <w:rPr>
          <w:lang w:val="fr-CH"/>
        </w:rPr>
        <w:t xml:space="preserve"> déplacées et </w:t>
      </w:r>
      <w:r w:rsidR="00516407">
        <w:rPr>
          <w:lang w:val="fr-CH"/>
        </w:rPr>
        <w:t>aux personnes</w:t>
      </w:r>
      <w:r w:rsidR="001577F6" w:rsidRPr="00731644">
        <w:rPr>
          <w:lang w:val="fr-CH"/>
        </w:rPr>
        <w:t xml:space="preserve"> déplacées dans leur propre pays l</w:t>
      </w:r>
      <w:r w:rsidR="00425386" w:rsidRPr="00731644">
        <w:rPr>
          <w:lang w:val="fr-CH"/>
        </w:rPr>
        <w:t>’</w:t>
      </w:r>
      <w:r w:rsidR="001577F6" w:rsidRPr="00731644">
        <w:rPr>
          <w:lang w:val="fr-CH"/>
        </w:rPr>
        <w:t>obtention du statut d</w:t>
      </w:r>
      <w:r w:rsidR="00425386" w:rsidRPr="00731644">
        <w:rPr>
          <w:lang w:val="fr-CH"/>
        </w:rPr>
        <w:t>’</w:t>
      </w:r>
      <w:r w:rsidR="001577F6" w:rsidRPr="00731644">
        <w:rPr>
          <w:lang w:val="fr-CH"/>
        </w:rPr>
        <w:t>étranger résident</w:t>
      </w:r>
      <w:r w:rsidR="00C776A4" w:rsidRPr="00731644">
        <w:rPr>
          <w:lang w:val="fr-CH"/>
        </w:rPr>
        <w:t xml:space="preserve">, </w:t>
      </w:r>
      <w:r w:rsidR="003F2F0D" w:rsidRPr="00731644">
        <w:rPr>
          <w:lang w:val="fr-CH"/>
        </w:rPr>
        <w:t xml:space="preserve">la </w:t>
      </w:r>
      <w:r w:rsidR="003F2F0D" w:rsidRPr="00516407">
        <w:rPr>
          <w:i/>
          <w:lang w:val="fr-CH"/>
        </w:rPr>
        <w:t>loi relative à l</w:t>
      </w:r>
      <w:r w:rsidR="00425386" w:rsidRPr="00516407">
        <w:rPr>
          <w:i/>
          <w:lang w:val="fr-CH"/>
        </w:rPr>
        <w:t>’</w:t>
      </w:r>
      <w:r w:rsidR="003F2F0D" w:rsidRPr="00516407">
        <w:rPr>
          <w:i/>
          <w:lang w:val="fr-CH"/>
        </w:rPr>
        <w:t>amélioration du cadre général de l</w:t>
      </w:r>
      <w:r w:rsidR="00425386" w:rsidRPr="00516407">
        <w:rPr>
          <w:i/>
          <w:lang w:val="fr-CH"/>
        </w:rPr>
        <w:t>’</w:t>
      </w:r>
      <w:r w:rsidR="003F2F0D" w:rsidRPr="00516407">
        <w:rPr>
          <w:i/>
          <w:lang w:val="fr-CH"/>
        </w:rPr>
        <w:t>activité économique</w:t>
      </w:r>
      <w:r w:rsidR="00C776A4" w:rsidRPr="00731644">
        <w:rPr>
          <w:lang w:val="fr-CH"/>
        </w:rPr>
        <w:t xml:space="preserve"> (</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5072A0">
        <w:rPr>
          <w:lang w:val="fr-CH"/>
        </w:rPr>
        <w:t>n</w:t>
      </w:r>
      <w:r w:rsidR="005072A0" w:rsidRPr="005072A0">
        <w:rPr>
          <w:vertAlign w:val="superscript"/>
          <w:lang w:val="fr-CH"/>
        </w:rPr>
        <w:t>o</w:t>
      </w:r>
      <w:r w:rsidR="005072A0">
        <w:rPr>
          <w:lang w:val="fr-CH"/>
        </w:rPr>
        <w:t> </w:t>
      </w:r>
      <w:r w:rsidR="00C776A4" w:rsidRPr="00731644">
        <w:rPr>
          <w:lang w:val="fr-CH"/>
        </w:rPr>
        <w:t xml:space="preserve">40/2010) </w:t>
      </w:r>
      <w:r w:rsidR="003F2F0D" w:rsidRPr="00731644">
        <w:rPr>
          <w:lang w:val="fr-CH"/>
        </w:rPr>
        <w:t>prévoit (art.</w:t>
      </w:r>
      <w:r w:rsidR="00516407">
        <w:rPr>
          <w:lang w:val="fr-CH"/>
        </w:rPr>
        <w:t> </w:t>
      </w:r>
      <w:r w:rsidR="003F2F0D" w:rsidRPr="00731644">
        <w:rPr>
          <w:lang w:val="fr-CH"/>
        </w:rPr>
        <w:t xml:space="preserve">8) une réduction des frais administratifs </w:t>
      </w:r>
      <w:r w:rsidR="00E96DD0" w:rsidRPr="00731644">
        <w:rPr>
          <w:lang w:val="fr-CH"/>
        </w:rPr>
        <w:t>afférents à</w:t>
      </w:r>
      <w:r w:rsidR="003F2F0D" w:rsidRPr="00731644">
        <w:rPr>
          <w:lang w:val="fr-CH"/>
        </w:rPr>
        <w:t xml:space="preserve"> la délivrance aux étrangers d</w:t>
      </w:r>
      <w:r w:rsidR="00425386" w:rsidRPr="00731644">
        <w:rPr>
          <w:lang w:val="fr-CH"/>
        </w:rPr>
        <w:t>’</w:t>
      </w:r>
      <w:r w:rsidR="003F2F0D" w:rsidRPr="00731644">
        <w:rPr>
          <w:lang w:val="fr-CH"/>
        </w:rPr>
        <w:t>une carte d</w:t>
      </w:r>
      <w:r w:rsidR="00425386" w:rsidRPr="00731644">
        <w:rPr>
          <w:lang w:val="fr-CH"/>
        </w:rPr>
        <w:t>’</w:t>
      </w:r>
      <w:r w:rsidR="003F2F0D" w:rsidRPr="00731644">
        <w:rPr>
          <w:lang w:val="fr-CH"/>
        </w:rPr>
        <w:t>identité</w:t>
      </w:r>
      <w:r w:rsidR="00E96DD0" w:rsidRPr="00731644">
        <w:rPr>
          <w:lang w:val="fr-CH"/>
        </w:rPr>
        <w:t>, à l</w:t>
      </w:r>
      <w:r w:rsidR="00425386" w:rsidRPr="00731644">
        <w:rPr>
          <w:lang w:val="fr-CH"/>
        </w:rPr>
        <w:t>’</w:t>
      </w:r>
      <w:r w:rsidR="00E96DD0" w:rsidRPr="00731644">
        <w:rPr>
          <w:lang w:val="fr-CH"/>
        </w:rPr>
        <w:t>octroi</w:t>
      </w:r>
      <w:r w:rsidR="003F2F0D" w:rsidRPr="00731644">
        <w:rPr>
          <w:lang w:val="fr-CH"/>
        </w:rPr>
        <w:t xml:space="preserve"> d</w:t>
      </w:r>
      <w:r w:rsidR="00425386" w:rsidRPr="00731644">
        <w:rPr>
          <w:lang w:val="fr-CH"/>
        </w:rPr>
        <w:t>’</w:t>
      </w:r>
      <w:r w:rsidR="003F2F0D" w:rsidRPr="00731644">
        <w:rPr>
          <w:lang w:val="fr-CH"/>
        </w:rPr>
        <w:t xml:space="preserve">un permis de séjour temporaire de trois mois ou de plus de trois mois, </w:t>
      </w:r>
      <w:r w:rsidR="00E96DD0" w:rsidRPr="00731644">
        <w:rPr>
          <w:lang w:val="fr-CH"/>
        </w:rPr>
        <w:t>à</w:t>
      </w:r>
      <w:r w:rsidR="00EC5EDC" w:rsidRPr="00731644">
        <w:rPr>
          <w:lang w:val="fr-CH"/>
        </w:rPr>
        <w:t xml:space="preserve"> un</w:t>
      </w:r>
      <w:r w:rsidR="00E96DD0" w:rsidRPr="00731644">
        <w:rPr>
          <w:lang w:val="fr-CH"/>
        </w:rPr>
        <w:t xml:space="preserve"> renouvellement</w:t>
      </w:r>
      <w:r w:rsidR="00EC5EDC" w:rsidRPr="00731644">
        <w:rPr>
          <w:lang w:val="fr-CH"/>
        </w:rPr>
        <w:t xml:space="preserve"> du permis de séjour temporaire, </w:t>
      </w:r>
      <w:r w:rsidR="00E96DD0" w:rsidRPr="00731644">
        <w:rPr>
          <w:lang w:val="fr-CH"/>
        </w:rPr>
        <w:t>à</w:t>
      </w:r>
      <w:r w:rsidR="00EC5EDC" w:rsidRPr="00731644">
        <w:rPr>
          <w:lang w:val="fr-CH"/>
        </w:rPr>
        <w:t xml:space="preserve"> la délivrance d</w:t>
      </w:r>
      <w:r w:rsidR="00425386" w:rsidRPr="00731644">
        <w:rPr>
          <w:lang w:val="fr-CH"/>
        </w:rPr>
        <w:t>’</w:t>
      </w:r>
      <w:r w:rsidR="00EC5EDC" w:rsidRPr="00731644">
        <w:rPr>
          <w:lang w:val="fr-CH"/>
        </w:rPr>
        <w:t>un titre de séjour permanent ain</w:t>
      </w:r>
      <w:r w:rsidR="00E96DD0" w:rsidRPr="00731644">
        <w:rPr>
          <w:lang w:val="fr-CH"/>
        </w:rPr>
        <w:t>si qu</w:t>
      </w:r>
      <w:r w:rsidR="00425386" w:rsidRPr="00731644">
        <w:rPr>
          <w:lang w:val="fr-CH"/>
        </w:rPr>
        <w:t>’</w:t>
      </w:r>
      <w:r w:rsidR="00E96DD0" w:rsidRPr="00731644">
        <w:rPr>
          <w:lang w:val="fr-CH"/>
        </w:rPr>
        <w:t>à l</w:t>
      </w:r>
      <w:r w:rsidR="00425386" w:rsidRPr="00731644">
        <w:rPr>
          <w:lang w:val="fr-CH"/>
        </w:rPr>
        <w:t>’</w:t>
      </w:r>
      <w:r w:rsidR="00E96DD0" w:rsidRPr="00731644">
        <w:rPr>
          <w:lang w:val="fr-CH"/>
        </w:rPr>
        <w:t xml:space="preserve">attribution </w:t>
      </w:r>
      <w:r w:rsidR="00EC5EDC" w:rsidRPr="00731644">
        <w:rPr>
          <w:lang w:val="fr-CH"/>
        </w:rPr>
        <w:t>d</w:t>
      </w:r>
      <w:r w:rsidR="00425386" w:rsidRPr="00731644">
        <w:rPr>
          <w:lang w:val="fr-CH"/>
        </w:rPr>
        <w:t>’</w:t>
      </w:r>
      <w:r w:rsidR="00EC5EDC" w:rsidRPr="00731644">
        <w:rPr>
          <w:lang w:val="fr-CH"/>
        </w:rPr>
        <w:t>un</w:t>
      </w:r>
      <w:r w:rsidR="003F2F0D" w:rsidRPr="00731644">
        <w:rPr>
          <w:lang w:val="fr-CH"/>
        </w:rPr>
        <w:t xml:space="preserve"> </w:t>
      </w:r>
      <w:r w:rsidR="00EC5EDC" w:rsidRPr="00731644">
        <w:rPr>
          <w:lang w:val="fr-CH"/>
        </w:rPr>
        <w:t>permis de travail – permis de travail personnel, permis d</w:t>
      </w:r>
      <w:r w:rsidR="00425386" w:rsidRPr="00731644">
        <w:rPr>
          <w:lang w:val="fr-CH"/>
        </w:rPr>
        <w:t>’</w:t>
      </w:r>
      <w:r w:rsidR="00EC5EDC" w:rsidRPr="00731644">
        <w:rPr>
          <w:lang w:val="fr-CH"/>
        </w:rPr>
        <w:t>occuper un emploi et permis de travail</w:t>
      </w:r>
      <w:r w:rsidR="00ED412D" w:rsidRPr="00731644">
        <w:rPr>
          <w:lang w:val="fr-CH"/>
        </w:rPr>
        <w:t xml:space="preserve">ler. Les frais administratifs à </w:t>
      </w:r>
      <w:r w:rsidR="00EC5EDC" w:rsidRPr="00731644">
        <w:rPr>
          <w:lang w:val="fr-CH"/>
        </w:rPr>
        <w:t xml:space="preserve">acquitter pour </w:t>
      </w:r>
      <w:r w:rsidR="00A66512" w:rsidRPr="00731644">
        <w:rPr>
          <w:lang w:val="fr-CH"/>
        </w:rPr>
        <w:t>tous ces documents</w:t>
      </w:r>
      <w:r w:rsidR="00EC5EDC" w:rsidRPr="00731644">
        <w:rPr>
          <w:lang w:val="fr-CH"/>
        </w:rPr>
        <w:t xml:space="preserve"> s</w:t>
      </w:r>
      <w:r w:rsidR="00425386" w:rsidRPr="00731644">
        <w:rPr>
          <w:lang w:val="fr-CH"/>
        </w:rPr>
        <w:t>’</w:t>
      </w:r>
      <w:r w:rsidR="00EC5EDC" w:rsidRPr="00731644">
        <w:rPr>
          <w:lang w:val="fr-CH"/>
        </w:rPr>
        <w:t xml:space="preserve">élèvent à </w:t>
      </w:r>
      <w:r w:rsidR="00425386" w:rsidRPr="00731644">
        <w:rPr>
          <w:lang w:val="fr-CH"/>
        </w:rPr>
        <w:t>€ </w:t>
      </w:r>
      <w:r w:rsidR="00EC5EDC" w:rsidRPr="00731644">
        <w:rPr>
          <w:lang w:val="fr-CH"/>
        </w:rPr>
        <w:t>10,00</w:t>
      </w:r>
      <w:r w:rsidR="00C776A4" w:rsidRPr="00731644">
        <w:rPr>
          <w:lang w:val="fr-CH"/>
        </w:rPr>
        <w:t>.</w:t>
      </w:r>
    </w:p>
    <w:p w:rsidR="00C776A4" w:rsidRPr="00731644" w:rsidRDefault="001D4D14" w:rsidP="00C776A4">
      <w:pPr>
        <w:pStyle w:val="SingleTxtG"/>
        <w:rPr>
          <w:lang w:val="fr-CH"/>
        </w:rPr>
      </w:pPr>
      <w:r w:rsidRPr="00731644">
        <w:rPr>
          <w:iCs/>
          <w:lang w:val="fr-CH"/>
        </w:rPr>
        <w:t>118.</w:t>
      </w:r>
      <w:r w:rsidRPr="00731644">
        <w:rPr>
          <w:i/>
          <w:lang w:val="fr-CH"/>
        </w:rPr>
        <w:tab/>
      </w:r>
      <w:r w:rsidR="00ED412D" w:rsidRPr="00516407">
        <w:rPr>
          <w:i/>
          <w:lang w:val="fr-CH"/>
        </w:rPr>
        <w:t>Le décret relatif à l</w:t>
      </w:r>
      <w:r w:rsidR="00425386" w:rsidRPr="00516407">
        <w:rPr>
          <w:i/>
          <w:lang w:val="fr-CH"/>
        </w:rPr>
        <w:t>’</w:t>
      </w:r>
      <w:r w:rsidR="00A66512" w:rsidRPr="00516407">
        <w:rPr>
          <w:i/>
          <w:lang w:val="fr-CH"/>
        </w:rPr>
        <w:t>exercice</w:t>
      </w:r>
      <w:r w:rsidR="00ED412D" w:rsidRPr="00516407">
        <w:rPr>
          <w:i/>
          <w:lang w:val="fr-CH"/>
        </w:rPr>
        <w:t xml:space="preserve"> des droits </w:t>
      </w:r>
      <w:r w:rsidR="00B569C5" w:rsidRPr="00516407">
        <w:rPr>
          <w:i/>
          <w:lang w:val="fr-CH"/>
        </w:rPr>
        <w:t>des personnes</w:t>
      </w:r>
      <w:r w:rsidR="00ED412D" w:rsidRPr="00516407">
        <w:rPr>
          <w:i/>
          <w:lang w:val="fr-CH"/>
        </w:rPr>
        <w:t xml:space="preserve"> déplacées des républiques de </w:t>
      </w:r>
      <w:r w:rsidR="00AC779D" w:rsidRPr="00516407">
        <w:rPr>
          <w:i/>
          <w:lang w:val="fr-CH"/>
        </w:rPr>
        <w:t>l</w:t>
      </w:r>
      <w:r w:rsidR="00425386" w:rsidRPr="00516407">
        <w:rPr>
          <w:i/>
          <w:lang w:val="fr-CH"/>
        </w:rPr>
        <w:t>’</w:t>
      </w:r>
      <w:r w:rsidR="00AC779D" w:rsidRPr="00516407">
        <w:rPr>
          <w:i/>
          <w:lang w:val="fr-CH"/>
        </w:rPr>
        <w:t>ex-</w:t>
      </w:r>
      <w:r w:rsidR="00ED412D" w:rsidRPr="00516407">
        <w:rPr>
          <w:i/>
          <w:lang w:val="fr-CH"/>
        </w:rPr>
        <w:t xml:space="preserve">Yougoslavie et </w:t>
      </w:r>
      <w:r w:rsidR="00B569C5" w:rsidRPr="00516407">
        <w:rPr>
          <w:i/>
          <w:lang w:val="fr-CH"/>
        </w:rPr>
        <w:t>des personnes</w:t>
      </w:r>
      <w:r w:rsidR="00ED412D" w:rsidRPr="00516407">
        <w:rPr>
          <w:i/>
          <w:lang w:val="fr-CH"/>
        </w:rPr>
        <w:t xml:space="preserve"> déplacées </w:t>
      </w:r>
      <w:r w:rsidR="00110CD9" w:rsidRPr="00516407">
        <w:rPr>
          <w:i/>
          <w:lang w:val="fr-CH"/>
        </w:rPr>
        <w:t>dans leur propre pays</w:t>
      </w:r>
      <w:r w:rsidR="00ED412D" w:rsidRPr="00516407">
        <w:rPr>
          <w:i/>
          <w:lang w:val="fr-CH"/>
        </w:rPr>
        <w:t xml:space="preserve"> </w:t>
      </w:r>
      <w:r w:rsidR="009D638F" w:rsidRPr="00516407">
        <w:rPr>
          <w:i/>
          <w:lang w:val="fr-CH"/>
        </w:rPr>
        <w:t xml:space="preserve">originaires du Kosovo </w:t>
      </w:r>
      <w:r w:rsidR="009B7CE0" w:rsidRPr="00516407">
        <w:rPr>
          <w:i/>
          <w:lang w:val="fr-CH"/>
        </w:rPr>
        <w:t xml:space="preserve">qui </w:t>
      </w:r>
      <w:r w:rsidR="00ED412D" w:rsidRPr="00516407">
        <w:rPr>
          <w:i/>
          <w:lang w:val="fr-CH"/>
        </w:rPr>
        <w:t>rési</w:t>
      </w:r>
      <w:r w:rsidR="00110CD9" w:rsidRPr="00516407">
        <w:rPr>
          <w:i/>
          <w:lang w:val="fr-CH"/>
        </w:rPr>
        <w:t>d</w:t>
      </w:r>
      <w:r w:rsidR="009B7CE0" w:rsidRPr="00516407">
        <w:rPr>
          <w:i/>
          <w:lang w:val="fr-CH"/>
        </w:rPr>
        <w:t>e</w:t>
      </w:r>
      <w:r w:rsidR="00ED412D" w:rsidRPr="00516407">
        <w:rPr>
          <w:i/>
          <w:lang w:val="fr-CH"/>
        </w:rPr>
        <w:t>nt au Monténégro</w:t>
      </w:r>
      <w:r w:rsidR="00ED412D" w:rsidRPr="00731644">
        <w:rPr>
          <w:lang w:val="fr-CH"/>
        </w:rPr>
        <w:t xml:space="preserve"> (</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5072A0">
        <w:rPr>
          <w:lang w:val="fr-CH"/>
        </w:rPr>
        <w:t>n</w:t>
      </w:r>
      <w:r w:rsidR="005072A0" w:rsidRPr="005072A0">
        <w:rPr>
          <w:vertAlign w:val="superscript"/>
          <w:lang w:val="fr-CH"/>
        </w:rPr>
        <w:t>o</w:t>
      </w:r>
      <w:r w:rsidR="005072A0">
        <w:rPr>
          <w:lang w:val="fr-CH"/>
        </w:rPr>
        <w:t> </w:t>
      </w:r>
      <w:r w:rsidR="00C776A4" w:rsidRPr="00731644">
        <w:rPr>
          <w:lang w:val="fr-CH"/>
        </w:rPr>
        <w:t xml:space="preserve">45/2010) </w:t>
      </w:r>
      <w:r w:rsidR="00ED412D" w:rsidRPr="00731644">
        <w:rPr>
          <w:lang w:val="fr-CH"/>
        </w:rPr>
        <w:t xml:space="preserve">dispose que </w:t>
      </w:r>
      <w:r w:rsidR="00B569C5" w:rsidRPr="00731644">
        <w:rPr>
          <w:lang w:val="fr-CH"/>
        </w:rPr>
        <w:t>ces personnes</w:t>
      </w:r>
      <w:r w:rsidR="00ED412D" w:rsidRPr="00731644">
        <w:rPr>
          <w:lang w:val="fr-CH"/>
        </w:rPr>
        <w:t>, en attendant d</w:t>
      </w:r>
      <w:r w:rsidR="00425386" w:rsidRPr="00731644">
        <w:rPr>
          <w:lang w:val="fr-CH"/>
        </w:rPr>
        <w:t>’</w:t>
      </w:r>
      <w:r w:rsidR="00ED412D" w:rsidRPr="00731644">
        <w:rPr>
          <w:lang w:val="fr-CH"/>
        </w:rPr>
        <w:t>acquérir le statut d</w:t>
      </w:r>
      <w:r w:rsidR="00425386" w:rsidRPr="00731644">
        <w:rPr>
          <w:lang w:val="fr-CH"/>
        </w:rPr>
        <w:t>’</w:t>
      </w:r>
      <w:r w:rsidR="00ED412D" w:rsidRPr="00731644">
        <w:rPr>
          <w:lang w:val="fr-CH"/>
        </w:rPr>
        <w:t>étrangers résidents permanents conformément à la l</w:t>
      </w:r>
      <w:r w:rsidR="00ED412D" w:rsidRPr="00E045F1">
        <w:rPr>
          <w:i/>
          <w:lang w:val="fr-CH"/>
        </w:rPr>
        <w:t>oi relative aux étrangers</w:t>
      </w:r>
      <w:r w:rsidR="00ED412D" w:rsidRPr="00731644">
        <w:rPr>
          <w:lang w:val="fr-CH"/>
        </w:rPr>
        <w:t xml:space="preserve">, exercent leurs droits </w:t>
      </w:r>
      <w:r w:rsidR="00D20096" w:rsidRPr="00731644">
        <w:rPr>
          <w:lang w:val="fr-CH"/>
        </w:rPr>
        <w:t>dans des conditions</w:t>
      </w:r>
      <w:r w:rsidR="00ED412D" w:rsidRPr="00731644">
        <w:rPr>
          <w:lang w:val="fr-CH"/>
        </w:rPr>
        <w:t xml:space="preserve"> d</w:t>
      </w:r>
      <w:r w:rsidR="00425386" w:rsidRPr="00731644">
        <w:rPr>
          <w:lang w:val="fr-CH"/>
        </w:rPr>
        <w:t>’</w:t>
      </w:r>
      <w:r w:rsidR="00ED412D" w:rsidRPr="00731644">
        <w:rPr>
          <w:lang w:val="fr-CH"/>
        </w:rPr>
        <w:t>égalité avec les nationaux du Monténégro dans les domaines</w:t>
      </w:r>
      <w:r w:rsidR="00F31DD5" w:rsidRPr="00731644">
        <w:rPr>
          <w:lang w:val="fr-CH"/>
        </w:rPr>
        <w:t>:</w:t>
      </w:r>
      <w:r w:rsidR="00ED412D" w:rsidRPr="00731644">
        <w:rPr>
          <w:lang w:val="fr-CH"/>
        </w:rPr>
        <w:t xml:space="preserve"> du travail et de l</w:t>
      </w:r>
      <w:r w:rsidR="00425386" w:rsidRPr="00731644">
        <w:rPr>
          <w:lang w:val="fr-CH"/>
        </w:rPr>
        <w:t>’</w:t>
      </w:r>
      <w:r w:rsidR="00ED412D" w:rsidRPr="00731644">
        <w:rPr>
          <w:lang w:val="fr-CH"/>
        </w:rPr>
        <w:t>emploi</w:t>
      </w:r>
      <w:r w:rsidR="00C776A4" w:rsidRPr="00731644">
        <w:rPr>
          <w:lang w:val="fr-CH"/>
        </w:rPr>
        <w:t>,</w:t>
      </w:r>
      <w:r w:rsidR="00ED412D" w:rsidRPr="00731644">
        <w:rPr>
          <w:lang w:val="fr-CH"/>
        </w:rPr>
        <w:t xml:space="preserve"> sauf si une loi spécifique prescrit la nationalité monténégrine</w:t>
      </w:r>
      <w:r w:rsidR="002675AE">
        <w:rPr>
          <w:lang w:val="fr-CH"/>
        </w:rPr>
        <w:t>;</w:t>
      </w:r>
      <w:r w:rsidR="00C776A4" w:rsidRPr="00731644">
        <w:rPr>
          <w:lang w:val="fr-CH"/>
        </w:rPr>
        <w:t xml:space="preserve"> </w:t>
      </w:r>
      <w:r w:rsidR="00ED412D" w:rsidRPr="00731644">
        <w:rPr>
          <w:lang w:val="fr-CH"/>
        </w:rPr>
        <w:t>de l</w:t>
      </w:r>
      <w:r w:rsidR="00425386" w:rsidRPr="00731644">
        <w:rPr>
          <w:lang w:val="fr-CH"/>
        </w:rPr>
        <w:t>’</w:t>
      </w:r>
      <w:r w:rsidR="00ED412D" w:rsidRPr="00731644">
        <w:rPr>
          <w:lang w:val="fr-CH"/>
        </w:rPr>
        <w:t>é</w:t>
      </w:r>
      <w:r w:rsidR="00C776A4" w:rsidRPr="00731644">
        <w:rPr>
          <w:lang w:val="fr-CH"/>
        </w:rPr>
        <w:t>ducation</w:t>
      </w:r>
      <w:r w:rsidR="00F31DD5" w:rsidRPr="00731644">
        <w:rPr>
          <w:lang w:val="fr-CH"/>
        </w:rPr>
        <w:t>;</w:t>
      </w:r>
      <w:r w:rsidR="00C776A4" w:rsidRPr="00731644">
        <w:rPr>
          <w:lang w:val="fr-CH"/>
        </w:rPr>
        <w:t xml:space="preserve"> </w:t>
      </w:r>
      <w:r w:rsidR="00D20096" w:rsidRPr="00731644">
        <w:rPr>
          <w:lang w:val="fr-CH"/>
        </w:rPr>
        <w:t>de la protection so</w:t>
      </w:r>
      <w:r w:rsidR="00ED412D" w:rsidRPr="00731644">
        <w:rPr>
          <w:lang w:val="fr-CH"/>
        </w:rPr>
        <w:t>ciale et de la protection de l</w:t>
      </w:r>
      <w:r w:rsidR="00425386" w:rsidRPr="00731644">
        <w:rPr>
          <w:lang w:val="fr-CH"/>
        </w:rPr>
        <w:t>’</w:t>
      </w:r>
      <w:r w:rsidR="00ED412D" w:rsidRPr="00731644">
        <w:rPr>
          <w:lang w:val="fr-CH"/>
        </w:rPr>
        <w:t>enfance</w:t>
      </w:r>
      <w:r w:rsidR="00F31DD5" w:rsidRPr="00731644">
        <w:rPr>
          <w:lang w:val="fr-CH"/>
        </w:rPr>
        <w:t>;</w:t>
      </w:r>
      <w:r w:rsidR="00ED412D" w:rsidRPr="00731644">
        <w:rPr>
          <w:lang w:val="fr-CH"/>
        </w:rPr>
        <w:t xml:space="preserve"> des soins de santé et de l</w:t>
      </w:r>
      <w:r w:rsidR="00425386" w:rsidRPr="00731644">
        <w:rPr>
          <w:lang w:val="fr-CH"/>
        </w:rPr>
        <w:t>’</w:t>
      </w:r>
      <w:r w:rsidR="00ED412D" w:rsidRPr="00731644">
        <w:rPr>
          <w:lang w:val="fr-CH"/>
        </w:rPr>
        <w:t>assurance maladie</w:t>
      </w:r>
      <w:r w:rsidR="00F31DD5" w:rsidRPr="00731644">
        <w:rPr>
          <w:lang w:val="fr-CH"/>
        </w:rPr>
        <w:t>;</w:t>
      </w:r>
      <w:r w:rsidR="00C776A4" w:rsidRPr="00731644">
        <w:rPr>
          <w:lang w:val="fr-CH"/>
        </w:rPr>
        <w:t xml:space="preserve"> </w:t>
      </w:r>
      <w:r w:rsidR="00ED412D" w:rsidRPr="00731644">
        <w:rPr>
          <w:lang w:val="fr-CH"/>
        </w:rPr>
        <w:t>de l</w:t>
      </w:r>
      <w:r w:rsidR="00425386" w:rsidRPr="00731644">
        <w:rPr>
          <w:lang w:val="fr-CH"/>
        </w:rPr>
        <w:t>’</w:t>
      </w:r>
      <w:r w:rsidR="00ED412D" w:rsidRPr="00731644">
        <w:rPr>
          <w:lang w:val="fr-CH"/>
        </w:rPr>
        <w:t xml:space="preserve">assurance vieillesse et invalidité. </w:t>
      </w:r>
      <w:r w:rsidR="00BC3C5E" w:rsidRPr="00731644">
        <w:rPr>
          <w:lang w:val="fr-CH"/>
        </w:rPr>
        <w:t xml:space="preserve">Pour exercer ces droits, </w:t>
      </w:r>
      <w:r w:rsidR="00CB7658" w:rsidRPr="00731644">
        <w:rPr>
          <w:lang w:val="fr-CH"/>
        </w:rPr>
        <w:t>les personnes</w:t>
      </w:r>
      <w:r w:rsidR="00BC3C5E" w:rsidRPr="00731644">
        <w:rPr>
          <w:lang w:val="fr-CH"/>
        </w:rPr>
        <w:t xml:space="preserve"> déplacées des républiques de </w:t>
      </w:r>
      <w:r w:rsidR="00D20096" w:rsidRPr="00731644">
        <w:rPr>
          <w:lang w:val="fr-CH"/>
        </w:rPr>
        <w:t>l</w:t>
      </w:r>
      <w:r w:rsidR="00425386" w:rsidRPr="00731644">
        <w:rPr>
          <w:lang w:val="fr-CH"/>
        </w:rPr>
        <w:t>’</w:t>
      </w:r>
      <w:r w:rsidR="00D20096" w:rsidRPr="00731644">
        <w:rPr>
          <w:lang w:val="fr-CH"/>
        </w:rPr>
        <w:t>ex-</w:t>
      </w:r>
      <w:r w:rsidR="00BC3C5E" w:rsidRPr="00731644">
        <w:rPr>
          <w:lang w:val="fr-CH"/>
        </w:rPr>
        <w:t>Yougoslavie peuvent prouver leur statut à l</w:t>
      </w:r>
      <w:r w:rsidR="00425386" w:rsidRPr="00731644">
        <w:rPr>
          <w:lang w:val="fr-CH"/>
        </w:rPr>
        <w:t>’</w:t>
      </w:r>
      <w:r w:rsidR="00BC3C5E" w:rsidRPr="00731644">
        <w:rPr>
          <w:lang w:val="fr-CH"/>
        </w:rPr>
        <w:t>aide d</w:t>
      </w:r>
      <w:r w:rsidR="00425386" w:rsidRPr="00731644">
        <w:rPr>
          <w:lang w:val="fr-CH"/>
        </w:rPr>
        <w:t>’</w:t>
      </w:r>
      <w:r w:rsidR="00BC3C5E" w:rsidRPr="00731644">
        <w:rPr>
          <w:lang w:val="fr-CH"/>
        </w:rPr>
        <w:t xml:space="preserve">un certificat </w:t>
      </w:r>
      <w:r w:rsidR="00D20096" w:rsidRPr="00731644">
        <w:rPr>
          <w:lang w:val="fr-CH"/>
        </w:rPr>
        <w:t>du Bureau</w:t>
      </w:r>
      <w:r w:rsidR="00BC3C5E" w:rsidRPr="00731644">
        <w:rPr>
          <w:lang w:val="fr-CH"/>
        </w:rPr>
        <w:t xml:space="preserve"> de l</w:t>
      </w:r>
      <w:r w:rsidR="00425386" w:rsidRPr="00731644">
        <w:rPr>
          <w:lang w:val="fr-CH"/>
        </w:rPr>
        <w:t>’</w:t>
      </w:r>
      <w:r w:rsidR="00BC3C5E" w:rsidRPr="00731644">
        <w:rPr>
          <w:lang w:val="fr-CH"/>
        </w:rPr>
        <w:t xml:space="preserve">asile, </w:t>
      </w:r>
      <w:r w:rsidR="00834BEC" w:rsidRPr="00731644">
        <w:rPr>
          <w:lang w:val="fr-CH"/>
        </w:rPr>
        <w:t xml:space="preserve">qui relève </w:t>
      </w:r>
      <w:r w:rsidR="00BC3C5E" w:rsidRPr="00731644">
        <w:rPr>
          <w:lang w:val="fr-CH"/>
        </w:rPr>
        <w:t>du Ministère de</w:t>
      </w:r>
      <w:r w:rsidR="00F26360" w:rsidRPr="00731644">
        <w:rPr>
          <w:lang w:val="fr-CH"/>
        </w:rPr>
        <w:t>s</w:t>
      </w:r>
      <w:r w:rsidR="00BC3C5E" w:rsidRPr="00731644">
        <w:rPr>
          <w:lang w:val="fr-CH"/>
        </w:rPr>
        <w:t xml:space="preserve"> affaires intérieures et de l</w:t>
      </w:r>
      <w:r w:rsidR="00425386" w:rsidRPr="00731644">
        <w:rPr>
          <w:lang w:val="fr-CH"/>
        </w:rPr>
        <w:t>’</w:t>
      </w:r>
      <w:r w:rsidR="00BC3C5E" w:rsidRPr="00731644">
        <w:rPr>
          <w:lang w:val="fr-CH"/>
        </w:rPr>
        <w:t xml:space="preserve">administration publique, et </w:t>
      </w:r>
      <w:r w:rsidR="00CB7658" w:rsidRPr="00731644">
        <w:rPr>
          <w:lang w:val="fr-CH"/>
        </w:rPr>
        <w:t>les personnes</w:t>
      </w:r>
      <w:r w:rsidR="00BC3C5E" w:rsidRPr="00731644">
        <w:rPr>
          <w:lang w:val="fr-CH"/>
        </w:rPr>
        <w:t xml:space="preserve"> déplacées </w:t>
      </w:r>
      <w:r w:rsidR="00D20096" w:rsidRPr="00731644">
        <w:rPr>
          <w:lang w:val="fr-CH"/>
        </w:rPr>
        <w:t xml:space="preserve">dans leur propre pays originaires </w:t>
      </w:r>
      <w:r w:rsidR="00BC3C5E" w:rsidRPr="00731644">
        <w:rPr>
          <w:lang w:val="fr-CH"/>
        </w:rPr>
        <w:t>du Kosovo</w:t>
      </w:r>
      <w:r w:rsidR="00F31DD5" w:rsidRPr="00731644">
        <w:rPr>
          <w:lang w:val="fr-CH"/>
        </w:rPr>
        <w:t xml:space="preserve"> </w:t>
      </w:r>
      <w:r w:rsidR="00D20096" w:rsidRPr="00731644">
        <w:rPr>
          <w:lang w:val="fr-CH"/>
        </w:rPr>
        <w:t xml:space="preserve">qui </w:t>
      </w:r>
      <w:r w:rsidR="00BC3C5E" w:rsidRPr="00731644">
        <w:rPr>
          <w:lang w:val="fr-CH"/>
        </w:rPr>
        <w:t>résid</w:t>
      </w:r>
      <w:r w:rsidR="00D20096" w:rsidRPr="00731644">
        <w:rPr>
          <w:lang w:val="fr-CH"/>
        </w:rPr>
        <w:t>e</w:t>
      </w:r>
      <w:r w:rsidR="00BC3C5E" w:rsidRPr="00731644">
        <w:rPr>
          <w:lang w:val="fr-CH"/>
        </w:rPr>
        <w:t>nt au Monténégro, au moyen d</w:t>
      </w:r>
      <w:r w:rsidR="00425386" w:rsidRPr="00731644">
        <w:rPr>
          <w:lang w:val="fr-CH"/>
        </w:rPr>
        <w:t>’</w:t>
      </w:r>
      <w:r w:rsidR="00BC3C5E" w:rsidRPr="00731644">
        <w:rPr>
          <w:lang w:val="fr-CH"/>
        </w:rPr>
        <w:t xml:space="preserve">un </w:t>
      </w:r>
      <w:r w:rsidR="00A66512" w:rsidRPr="00731644">
        <w:rPr>
          <w:lang w:val="fr-CH"/>
        </w:rPr>
        <w:t>certificat</w:t>
      </w:r>
      <w:r w:rsidR="00BC3C5E" w:rsidRPr="00731644">
        <w:rPr>
          <w:lang w:val="fr-CH"/>
        </w:rPr>
        <w:t xml:space="preserve"> de l</w:t>
      </w:r>
      <w:r w:rsidR="00425386" w:rsidRPr="00731644">
        <w:rPr>
          <w:lang w:val="fr-CH"/>
        </w:rPr>
        <w:t>’</w:t>
      </w:r>
      <w:r w:rsidR="00BC3C5E" w:rsidRPr="00731644">
        <w:rPr>
          <w:lang w:val="fr-CH"/>
        </w:rPr>
        <w:t xml:space="preserve">Institut </w:t>
      </w:r>
      <w:r w:rsidR="00D20096" w:rsidRPr="00731644">
        <w:rPr>
          <w:lang w:val="fr-CH"/>
        </w:rPr>
        <w:t>d</w:t>
      </w:r>
      <w:r w:rsidR="00425386" w:rsidRPr="00731644">
        <w:rPr>
          <w:lang w:val="fr-CH"/>
        </w:rPr>
        <w:t>’</w:t>
      </w:r>
      <w:r w:rsidR="00D20096" w:rsidRPr="00731644">
        <w:rPr>
          <w:lang w:val="fr-CH"/>
        </w:rPr>
        <w:t>aide aux</w:t>
      </w:r>
      <w:r w:rsidR="00BC3C5E" w:rsidRPr="00731644">
        <w:rPr>
          <w:lang w:val="fr-CH"/>
        </w:rPr>
        <w:t xml:space="preserve"> réfugiés. </w:t>
      </w:r>
    </w:p>
    <w:p w:rsidR="00C776A4" w:rsidRPr="00731644" w:rsidRDefault="00E402F5" w:rsidP="001D4D14">
      <w:pPr>
        <w:pStyle w:val="H4G"/>
        <w:rPr>
          <w:lang w:val="fr-CH"/>
        </w:rPr>
      </w:pPr>
      <w:r w:rsidRPr="00731644">
        <w:rPr>
          <w:lang w:val="fr-CH"/>
        </w:rPr>
        <w:tab/>
      </w:r>
      <w:r w:rsidRPr="00731644">
        <w:rPr>
          <w:lang w:val="fr-CH"/>
        </w:rPr>
        <w:tab/>
      </w:r>
      <w:r w:rsidR="00110CD9" w:rsidRPr="00731644">
        <w:rPr>
          <w:lang w:val="fr-CH"/>
        </w:rPr>
        <w:t>Le Plan d</w:t>
      </w:r>
      <w:r w:rsidR="00425386" w:rsidRPr="00731644">
        <w:rPr>
          <w:lang w:val="fr-CH"/>
        </w:rPr>
        <w:t>’</w:t>
      </w:r>
      <w:r w:rsidR="00110CD9" w:rsidRPr="00731644">
        <w:rPr>
          <w:lang w:val="fr-CH"/>
        </w:rPr>
        <w:t>action pour le règlement de</w:t>
      </w:r>
      <w:r w:rsidR="00F31DD5" w:rsidRPr="00731644">
        <w:rPr>
          <w:lang w:val="fr-CH"/>
        </w:rPr>
        <w:t xml:space="preserve"> </w:t>
      </w:r>
      <w:r w:rsidR="00110CD9" w:rsidRPr="00731644">
        <w:rPr>
          <w:lang w:val="fr-CH"/>
        </w:rPr>
        <w:t xml:space="preserve">la </w:t>
      </w:r>
      <w:r w:rsidR="00A66512" w:rsidRPr="00731644">
        <w:rPr>
          <w:lang w:val="fr-CH"/>
        </w:rPr>
        <w:t>situation</w:t>
      </w:r>
      <w:r w:rsidR="00110CD9" w:rsidRPr="00731644">
        <w:rPr>
          <w:lang w:val="fr-CH"/>
        </w:rPr>
        <w:t xml:space="preserve"> </w:t>
      </w:r>
      <w:r w:rsidR="00B569C5" w:rsidRPr="00731644">
        <w:rPr>
          <w:lang w:val="fr-CH"/>
        </w:rPr>
        <w:t>des personnes</w:t>
      </w:r>
      <w:r w:rsidR="00110CD9" w:rsidRPr="00731644">
        <w:rPr>
          <w:lang w:val="fr-CH"/>
        </w:rPr>
        <w:t xml:space="preserve"> déplacées des </w:t>
      </w:r>
      <w:r w:rsidRPr="00731644">
        <w:rPr>
          <w:lang w:val="fr-CH"/>
        </w:rPr>
        <w:t>r</w:t>
      </w:r>
      <w:r w:rsidR="00110CD9" w:rsidRPr="00731644">
        <w:rPr>
          <w:lang w:val="fr-CH"/>
        </w:rPr>
        <w:t>épubliques de l</w:t>
      </w:r>
      <w:r w:rsidR="00425386" w:rsidRPr="00731644">
        <w:rPr>
          <w:lang w:val="fr-CH"/>
        </w:rPr>
        <w:t>’</w:t>
      </w:r>
      <w:r w:rsidR="00110CD9" w:rsidRPr="00731644">
        <w:rPr>
          <w:lang w:val="fr-CH"/>
        </w:rPr>
        <w:t>ex-Yougoslavie</w:t>
      </w:r>
      <w:r w:rsidR="00F31DD5" w:rsidRPr="00731644">
        <w:rPr>
          <w:lang w:val="fr-CH"/>
        </w:rPr>
        <w:t xml:space="preserve"> </w:t>
      </w:r>
      <w:r w:rsidR="00110CD9" w:rsidRPr="00731644">
        <w:rPr>
          <w:lang w:val="fr-CH"/>
        </w:rPr>
        <w:t xml:space="preserve">et </w:t>
      </w:r>
      <w:r w:rsidR="00B569C5" w:rsidRPr="00731644">
        <w:rPr>
          <w:lang w:val="fr-CH"/>
        </w:rPr>
        <w:t>des personnes</w:t>
      </w:r>
      <w:r w:rsidR="00110CD9" w:rsidRPr="00731644">
        <w:rPr>
          <w:lang w:val="fr-CH"/>
        </w:rPr>
        <w:t xml:space="preserve"> déplacées dans leur propre pays</w:t>
      </w:r>
      <w:r w:rsidRPr="00731644">
        <w:rPr>
          <w:lang w:val="fr-CH"/>
        </w:rPr>
        <w:t xml:space="preserve"> originaires du Kosovo qui</w:t>
      </w:r>
      <w:r w:rsidR="00F31DD5" w:rsidRPr="00731644">
        <w:rPr>
          <w:lang w:val="fr-CH"/>
        </w:rPr>
        <w:t xml:space="preserve"> </w:t>
      </w:r>
      <w:r w:rsidR="00110CD9" w:rsidRPr="00731644">
        <w:rPr>
          <w:lang w:val="fr-CH"/>
        </w:rPr>
        <w:t>résid</w:t>
      </w:r>
      <w:r w:rsidRPr="00731644">
        <w:rPr>
          <w:lang w:val="fr-CH"/>
        </w:rPr>
        <w:t>e</w:t>
      </w:r>
      <w:r w:rsidR="00110CD9" w:rsidRPr="00731644">
        <w:rPr>
          <w:lang w:val="fr-CH"/>
        </w:rPr>
        <w:t xml:space="preserve">nt au Monténégro </w:t>
      </w:r>
    </w:p>
    <w:p w:rsidR="00C776A4" w:rsidRPr="00731644" w:rsidRDefault="00F70015" w:rsidP="00C776A4">
      <w:pPr>
        <w:pStyle w:val="SingleTxtG"/>
        <w:rPr>
          <w:lang w:val="fr-CH"/>
        </w:rPr>
      </w:pPr>
      <w:r w:rsidRPr="00731644">
        <w:rPr>
          <w:bCs/>
          <w:lang w:val="fr-CH"/>
        </w:rPr>
        <w:t>119.</w:t>
      </w:r>
      <w:r w:rsidRPr="00731644">
        <w:rPr>
          <w:bCs/>
          <w:lang w:val="fr-CH"/>
        </w:rPr>
        <w:tab/>
      </w:r>
      <w:r w:rsidR="00E402F5" w:rsidRPr="00731644">
        <w:rPr>
          <w:bCs/>
          <w:lang w:val="fr-CH"/>
        </w:rPr>
        <w:t>L</w:t>
      </w:r>
      <w:r w:rsidR="00110CD9" w:rsidRPr="00731644">
        <w:rPr>
          <w:bCs/>
          <w:lang w:val="fr-CH"/>
        </w:rPr>
        <w:t xml:space="preserve">es activités destinées à régler la </w:t>
      </w:r>
      <w:r w:rsidR="00F26360" w:rsidRPr="00731644">
        <w:rPr>
          <w:bCs/>
          <w:lang w:val="fr-CH"/>
        </w:rPr>
        <w:t>situation</w:t>
      </w:r>
      <w:r w:rsidR="00110CD9" w:rsidRPr="00731644">
        <w:rPr>
          <w:bCs/>
          <w:lang w:val="fr-CH"/>
        </w:rPr>
        <w:t xml:space="preserve"> </w:t>
      </w:r>
      <w:r w:rsidR="00B569C5" w:rsidRPr="00731644">
        <w:rPr>
          <w:bCs/>
          <w:lang w:val="fr-CH"/>
        </w:rPr>
        <w:t>des personnes</w:t>
      </w:r>
      <w:r w:rsidR="00110CD9" w:rsidRPr="00731644">
        <w:rPr>
          <w:bCs/>
          <w:lang w:val="fr-CH"/>
        </w:rPr>
        <w:t xml:space="preserve"> déplacées </w:t>
      </w:r>
      <w:r w:rsidR="00E402F5" w:rsidRPr="00731644">
        <w:rPr>
          <w:lang w:val="fr-CH"/>
        </w:rPr>
        <w:t>des républiques de l</w:t>
      </w:r>
      <w:r w:rsidR="00425386" w:rsidRPr="00731644">
        <w:rPr>
          <w:lang w:val="fr-CH"/>
        </w:rPr>
        <w:t>’</w:t>
      </w:r>
      <w:r w:rsidR="00E402F5" w:rsidRPr="00731644">
        <w:rPr>
          <w:lang w:val="fr-CH"/>
        </w:rPr>
        <w:t>ex-Yougoslavie</w:t>
      </w:r>
      <w:r w:rsidR="00E402F5" w:rsidRPr="00731644">
        <w:rPr>
          <w:bCs/>
          <w:lang w:val="fr-CH"/>
        </w:rPr>
        <w:t xml:space="preserve"> </w:t>
      </w:r>
      <w:r w:rsidR="00110CD9" w:rsidRPr="00731644">
        <w:rPr>
          <w:bCs/>
          <w:lang w:val="fr-CH"/>
        </w:rPr>
        <w:t xml:space="preserve">et </w:t>
      </w:r>
      <w:r w:rsidR="00B569C5" w:rsidRPr="00731644">
        <w:rPr>
          <w:bCs/>
          <w:lang w:val="fr-CH"/>
        </w:rPr>
        <w:t>des personnes</w:t>
      </w:r>
      <w:r w:rsidR="00110CD9" w:rsidRPr="00731644">
        <w:rPr>
          <w:bCs/>
          <w:lang w:val="fr-CH"/>
        </w:rPr>
        <w:t xml:space="preserve"> déplacées dans leur propre pays </w:t>
      </w:r>
      <w:r w:rsidR="00E402F5" w:rsidRPr="00731644">
        <w:rPr>
          <w:bCs/>
          <w:lang w:val="fr-CH"/>
        </w:rPr>
        <w:t xml:space="preserve">originaires du Kosovo qui vivent </w:t>
      </w:r>
      <w:r w:rsidR="00110CD9" w:rsidRPr="00731644">
        <w:rPr>
          <w:bCs/>
          <w:lang w:val="fr-CH"/>
        </w:rPr>
        <w:t xml:space="preserve">au Monténégro </w:t>
      </w:r>
      <w:r w:rsidR="00E402F5" w:rsidRPr="00731644">
        <w:rPr>
          <w:bCs/>
          <w:lang w:val="fr-CH"/>
        </w:rPr>
        <w:t>font l</w:t>
      </w:r>
      <w:r w:rsidR="00425386" w:rsidRPr="00731644">
        <w:rPr>
          <w:bCs/>
          <w:lang w:val="fr-CH"/>
        </w:rPr>
        <w:t>’</w:t>
      </w:r>
      <w:r w:rsidR="00E402F5" w:rsidRPr="00731644">
        <w:rPr>
          <w:bCs/>
          <w:lang w:val="fr-CH"/>
        </w:rPr>
        <w:t>objet d</w:t>
      </w:r>
      <w:r w:rsidR="00425386" w:rsidRPr="00731644">
        <w:rPr>
          <w:bCs/>
          <w:lang w:val="fr-CH"/>
        </w:rPr>
        <w:t>’</w:t>
      </w:r>
      <w:r w:rsidR="00E402F5" w:rsidRPr="00731644">
        <w:rPr>
          <w:bCs/>
          <w:lang w:val="fr-CH"/>
        </w:rPr>
        <w:t>un</w:t>
      </w:r>
      <w:r w:rsidR="00110CD9" w:rsidRPr="00731644">
        <w:rPr>
          <w:bCs/>
          <w:lang w:val="fr-CH"/>
        </w:rPr>
        <w:t xml:space="preserve"> Plan d</w:t>
      </w:r>
      <w:r w:rsidR="00425386" w:rsidRPr="00731644">
        <w:rPr>
          <w:bCs/>
          <w:lang w:val="fr-CH"/>
        </w:rPr>
        <w:t>’</w:t>
      </w:r>
      <w:r w:rsidR="00110CD9" w:rsidRPr="00731644">
        <w:rPr>
          <w:bCs/>
          <w:lang w:val="fr-CH"/>
        </w:rPr>
        <w:t xml:space="preserve">action </w:t>
      </w:r>
      <w:r w:rsidR="00E402F5" w:rsidRPr="00731644">
        <w:rPr>
          <w:bCs/>
          <w:lang w:val="fr-CH"/>
        </w:rPr>
        <w:t>du même nom</w:t>
      </w:r>
      <w:r w:rsidR="00110CD9" w:rsidRPr="00731644">
        <w:rPr>
          <w:lang w:val="fr-CH"/>
        </w:rPr>
        <w:t xml:space="preserve"> adopté par le Gouvernement </w:t>
      </w:r>
      <w:r w:rsidR="00C776A4" w:rsidRPr="00731644">
        <w:rPr>
          <w:bCs/>
          <w:lang w:val="fr-CH"/>
        </w:rPr>
        <w:t xml:space="preserve">29 </w:t>
      </w:r>
      <w:r w:rsidR="00110CD9" w:rsidRPr="00731644">
        <w:rPr>
          <w:bCs/>
          <w:lang w:val="fr-CH"/>
        </w:rPr>
        <w:t xml:space="preserve">octobre </w:t>
      </w:r>
      <w:r w:rsidR="00C776A4" w:rsidRPr="00731644">
        <w:rPr>
          <w:bCs/>
          <w:lang w:val="fr-CH"/>
        </w:rPr>
        <w:t xml:space="preserve">2009, </w:t>
      </w:r>
      <w:r w:rsidR="00110CD9" w:rsidRPr="00731644">
        <w:rPr>
          <w:bCs/>
          <w:lang w:val="fr-CH"/>
        </w:rPr>
        <w:t>ainsi qu</w:t>
      </w:r>
      <w:r w:rsidR="00E402F5" w:rsidRPr="00731644">
        <w:rPr>
          <w:bCs/>
          <w:lang w:val="fr-CH"/>
        </w:rPr>
        <w:t xml:space="preserve">e </w:t>
      </w:r>
      <w:r w:rsidR="0084124D" w:rsidRPr="00731644">
        <w:rPr>
          <w:bCs/>
          <w:lang w:val="fr-CH"/>
        </w:rPr>
        <w:t>de la</w:t>
      </w:r>
      <w:r w:rsidR="00794392" w:rsidRPr="00731644">
        <w:rPr>
          <w:bCs/>
          <w:lang w:val="fr-CH"/>
        </w:rPr>
        <w:t xml:space="preserve"> section </w:t>
      </w:r>
      <w:r w:rsidR="0084124D" w:rsidRPr="00731644">
        <w:rPr>
          <w:bCs/>
          <w:lang w:val="fr-CH"/>
        </w:rPr>
        <w:t xml:space="preserve">9 </w:t>
      </w:r>
      <w:r w:rsidR="00E402F5" w:rsidRPr="00731644">
        <w:rPr>
          <w:bCs/>
          <w:lang w:val="fr-CH"/>
        </w:rPr>
        <w:t>d</w:t>
      </w:r>
      <w:r w:rsidR="00110CD9" w:rsidRPr="00731644">
        <w:rPr>
          <w:bCs/>
          <w:lang w:val="fr-CH"/>
        </w:rPr>
        <w:t xml:space="preserve">u Plan </w:t>
      </w:r>
      <w:r w:rsidR="00794392" w:rsidRPr="00731644">
        <w:rPr>
          <w:bCs/>
          <w:lang w:val="fr-CH"/>
        </w:rPr>
        <w:t>d</w:t>
      </w:r>
      <w:r w:rsidR="00425386" w:rsidRPr="00731644">
        <w:rPr>
          <w:bCs/>
          <w:lang w:val="fr-CH"/>
        </w:rPr>
        <w:t>’</w:t>
      </w:r>
      <w:r w:rsidR="00794392" w:rsidRPr="00731644">
        <w:rPr>
          <w:bCs/>
          <w:lang w:val="fr-CH"/>
        </w:rPr>
        <w:t>action pour l</w:t>
      </w:r>
      <w:r w:rsidR="00E402F5" w:rsidRPr="00731644">
        <w:rPr>
          <w:bCs/>
          <w:lang w:val="fr-CH"/>
        </w:rPr>
        <w:t>e</w:t>
      </w:r>
      <w:r w:rsidR="00110CD9" w:rsidRPr="00731644">
        <w:rPr>
          <w:bCs/>
          <w:lang w:val="fr-CH"/>
        </w:rPr>
        <w:t xml:space="preserve"> suivi </w:t>
      </w:r>
      <w:r w:rsidR="00794392" w:rsidRPr="00731644">
        <w:rPr>
          <w:bCs/>
          <w:lang w:val="fr-CH"/>
        </w:rPr>
        <w:t>de l</w:t>
      </w:r>
      <w:r w:rsidR="00425386" w:rsidRPr="00731644">
        <w:rPr>
          <w:bCs/>
          <w:lang w:val="fr-CH"/>
        </w:rPr>
        <w:t>’</w:t>
      </w:r>
      <w:r w:rsidR="00794392" w:rsidRPr="00731644">
        <w:rPr>
          <w:bCs/>
          <w:lang w:val="fr-CH"/>
        </w:rPr>
        <w:t xml:space="preserve">application </w:t>
      </w:r>
      <w:r w:rsidR="00110CD9" w:rsidRPr="00731644">
        <w:rPr>
          <w:bCs/>
          <w:lang w:val="fr-CH"/>
        </w:rPr>
        <w:t xml:space="preserve">des recommandations </w:t>
      </w:r>
      <w:r w:rsidR="00794392" w:rsidRPr="00731644">
        <w:rPr>
          <w:bCs/>
          <w:lang w:val="fr-CH"/>
        </w:rPr>
        <w:t>énoncées dans</w:t>
      </w:r>
      <w:r w:rsidR="00F31DD5" w:rsidRPr="00731644">
        <w:rPr>
          <w:bCs/>
          <w:lang w:val="fr-CH"/>
        </w:rPr>
        <w:t xml:space="preserve"> </w:t>
      </w:r>
      <w:r w:rsidR="00965A35" w:rsidRPr="00731644">
        <w:rPr>
          <w:bCs/>
          <w:lang w:val="fr-CH"/>
        </w:rPr>
        <w:t>l</w:t>
      </w:r>
      <w:r w:rsidR="00425386" w:rsidRPr="00731644">
        <w:rPr>
          <w:bCs/>
          <w:lang w:val="fr-CH"/>
        </w:rPr>
        <w:t>’</w:t>
      </w:r>
      <w:r w:rsidR="00E402F5" w:rsidRPr="00731644">
        <w:rPr>
          <w:bCs/>
          <w:lang w:val="fr-CH"/>
        </w:rPr>
        <w:t>avis</w:t>
      </w:r>
      <w:r w:rsidR="00965A35" w:rsidRPr="00731644">
        <w:rPr>
          <w:bCs/>
          <w:lang w:val="fr-CH"/>
        </w:rPr>
        <w:t xml:space="preserve"> de la </w:t>
      </w:r>
      <w:r w:rsidR="00C776A4" w:rsidRPr="00731644">
        <w:rPr>
          <w:bCs/>
          <w:lang w:val="fr-CH"/>
        </w:rPr>
        <w:t>Commission</w:t>
      </w:r>
      <w:r w:rsidR="00965A35" w:rsidRPr="00731644">
        <w:rPr>
          <w:bCs/>
          <w:lang w:val="fr-CH"/>
        </w:rPr>
        <w:t xml:space="preserve"> européenne</w:t>
      </w:r>
      <w:r w:rsidR="00F31DD5" w:rsidRPr="00731644">
        <w:rPr>
          <w:bCs/>
          <w:lang w:val="fr-CH"/>
        </w:rPr>
        <w:t xml:space="preserve"> </w:t>
      </w:r>
      <w:r w:rsidR="00C776A4" w:rsidRPr="00731644">
        <w:rPr>
          <w:bCs/>
          <w:lang w:val="fr-CH"/>
        </w:rPr>
        <w:t xml:space="preserve">(9. Plan </w:t>
      </w:r>
      <w:r w:rsidR="00794392" w:rsidRPr="00731644">
        <w:rPr>
          <w:bCs/>
          <w:lang w:val="fr-CH"/>
        </w:rPr>
        <w:t>d</w:t>
      </w:r>
      <w:r w:rsidR="00425386" w:rsidRPr="00731644">
        <w:rPr>
          <w:bCs/>
          <w:lang w:val="fr-CH"/>
        </w:rPr>
        <w:t>’</w:t>
      </w:r>
      <w:r w:rsidR="00794392" w:rsidRPr="00731644">
        <w:rPr>
          <w:bCs/>
          <w:lang w:val="fr-CH"/>
        </w:rPr>
        <w:t xml:space="preserve">action pour le règlement définitif de la question </w:t>
      </w:r>
      <w:r w:rsidR="00B569C5" w:rsidRPr="00731644">
        <w:rPr>
          <w:bCs/>
          <w:lang w:val="fr-CH"/>
        </w:rPr>
        <w:t>des personnes</w:t>
      </w:r>
      <w:r w:rsidR="00794392" w:rsidRPr="00731644">
        <w:rPr>
          <w:bCs/>
          <w:lang w:val="fr-CH"/>
        </w:rPr>
        <w:t xml:space="preserve"> déplacées dans leur propre pays qui vivent dans les camps de </w:t>
      </w:r>
      <w:r w:rsidR="00C776A4" w:rsidRPr="00731644">
        <w:rPr>
          <w:bCs/>
          <w:lang w:val="fr-CH"/>
        </w:rPr>
        <w:t xml:space="preserve">Konik I </w:t>
      </w:r>
      <w:r w:rsidR="00794392" w:rsidRPr="00731644">
        <w:rPr>
          <w:bCs/>
          <w:lang w:val="fr-CH"/>
        </w:rPr>
        <w:t>et</w:t>
      </w:r>
      <w:r w:rsidR="00C776A4" w:rsidRPr="00731644">
        <w:rPr>
          <w:bCs/>
          <w:lang w:val="fr-CH"/>
        </w:rPr>
        <w:t xml:space="preserve"> II), adopt</w:t>
      </w:r>
      <w:r w:rsidR="00110CD9" w:rsidRPr="00731644">
        <w:rPr>
          <w:bCs/>
          <w:lang w:val="fr-CH"/>
        </w:rPr>
        <w:t xml:space="preserve">é par le Gouvernement le 17 février </w:t>
      </w:r>
      <w:r w:rsidR="00C776A4" w:rsidRPr="00731644">
        <w:rPr>
          <w:bCs/>
          <w:lang w:val="fr-CH"/>
        </w:rPr>
        <w:t>2010.</w:t>
      </w:r>
    </w:p>
    <w:p w:rsidR="00C776A4" w:rsidRPr="00731644" w:rsidRDefault="00F70015" w:rsidP="00516407">
      <w:pPr>
        <w:pStyle w:val="SingleTxtG"/>
        <w:keepNext/>
        <w:rPr>
          <w:lang w:val="fr-CH"/>
        </w:rPr>
      </w:pPr>
      <w:r w:rsidRPr="00731644">
        <w:rPr>
          <w:lang w:val="fr-CH"/>
        </w:rPr>
        <w:t>120.</w:t>
      </w:r>
      <w:r w:rsidRPr="00731644">
        <w:rPr>
          <w:lang w:val="fr-CH"/>
        </w:rPr>
        <w:tab/>
      </w:r>
      <w:r w:rsidR="00110CD9" w:rsidRPr="00731644">
        <w:rPr>
          <w:lang w:val="fr-CH"/>
        </w:rPr>
        <w:t>Le Plan d</w:t>
      </w:r>
      <w:r w:rsidR="00425386" w:rsidRPr="00731644">
        <w:rPr>
          <w:lang w:val="fr-CH"/>
        </w:rPr>
        <w:t>’</w:t>
      </w:r>
      <w:r w:rsidR="00110CD9" w:rsidRPr="00731644">
        <w:rPr>
          <w:lang w:val="fr-CH"/>
        </w:rPr>
        <w:t xml:space="preserve">action comprend deux modes de règlement définitif de la situation </w:t>
      </w:r>
      <w:r w:rsidR="00B569C5" w:rsidRPr="00731644">
        <w:rPr>
          <w:lang w:val="fr-CH"/>
        </w:rPr>
        <w:t>des personnes</w:t>
      </w:r>
      <w:r w:rsidR="00110CD9" w:rsidRPr="00731644">
        <w:rPr>
          <w:lang w:val="fr-CH"/>
        </w:rPr>
        <w:t xml:space="preserve"> dép</w:t>
      </w:r>
      <w:r w:rsidR="00794392" w:rsidRPr="00731644">
        <w:rPr>
          <w:lang w:val="fr-CH"/>
        </w:rPr>
        <w:t>l</w:t>
      </w:r>
      <w:r w:rsidR="00110CD9" w:rsidRPr="00731644">
        <w:rPr>
          <w:lang w:val="fr-CH"/>
        </w:rPr>
        <w:t xml:space="preserve">acées et </w:t>
      </w:r>
      <w:r w:rsidR="00B569C5" w:rsidRPr="00731644">
        <w:rPr>
          <w:lang w:val="fr-CH"/>
        </w:rPr>
        <w:t>des personnes</w:t>
      </w:r>
      <w:r w:rsidR="00110CD9" w:rsidRPr="00731644">
        <w:rPr>
          <w:lang w:val="fr-CH"/>
        </w:rPr>
        <w:t xml:space="preserve"> déplacées dans leur propre pays, à savoir</w:t>
      </w:r>
      <w:r w:rsidR="00F31DD5" w:rsidRPr="00731644">
        <w:rPr>
          <w:lang w:val="fr-CH"/>
        </w:rPr>
        <w:t>:</w:t>
      </w:r>
    </w:p>
    <w:p w:rsidR="00110CD9" w:rsidRPr="00731644" w:rsidRDefault="00110CD9" w:rsidP="005751DD">
      <w:pPr>
        <w:pStyle w:val="Bullet1G"/>
        <w:rPr>
          <w:lang w:val="fr-CH"/>
        </w:rPr>
      </w:pPr>
      <w:r w:rsidRPr="00731644">
        <w:rPr>
          <w:lang w:val="fr-CH"/>
        </w:rPr>
        <w:t>L</w:t>
      </w:r>
      <w:r w:rsidR="00425386" w:rsidRPr="00731644">
        <w:rPr>
          <w:lang w:val="fr-CH"/>
        </w:rPr>
        <w:t>’</w:t>
      </w:r>
      <w:r w:rsidRPr="00731644">
        <w:rPr>
          <w:lang w:val="fr-CH"/>
        </w:rPr>
        <w:t>intégration</w:t>
      </w:r>
      <w:r w:rsidR="00C776A4" w:rsidRPr="00731644">
        <w:rPr>
          <w:lang w:val="fr-CH"/>
        </w:rPr>
        <w:t xml:space="preserve"> </w:t>
      </w:r>
      <w:r w:rsidRPr="00731644">
        <w:rPr>
          <w:lang w:val="fr-CH"/>
        </w:rPr>
        <w:t>–</w:t>
      </w:r>
      <w:r w:rsidR="00C776A4" w:rsidRPr="00731644">
        <w:rPr>
          <w:lang w:val="fr-CH"/>
        </w:rPr>
        <w:t xml:space="preserve"> </w:t>
      </w:r>
      <w:r w:rsidRPr="00731644">
        <w:rPr>
          <w:lang w:val="fr-CH"/>
        </w:rPr>
        <w:t>par l</w:t>
      </w:r>
      <w:r w:rsidR="00425386" w:rsidRPr="00731644">
        <w:rPr>
          <w:lang w:val="fr-CH"/>
        </w:rPr>
        <w:t>’</w:t>
      </w:r>
      <w:r w:rsidRPr="00731644">
        <w:rPr>
          <w:lang w:val="fr-CH"/>
        </w:rPr>
        <w:t>accès au statut d</w:t>
      </w:r>
      <w:r w:rsidR="00425386" w:rsidRPr="00731644">
        <w:rPr>
          <w:lang w:val="fr-CH"/>
        </w:rPr>
        <w:t>’</w:t>
      </w:r>
      <w:r w:rsidRPr="00731644">
        <w:rPr>
          <w:lang w:val="fr-CH"/>
        </w:rPr>
        <w:t>étranger résident permanent</w:t>
      </w:r>
      <w:r w:rsidR="00516407">
        <w:rPr>
          <w:lang w:val="fr-CH"/>
        </w:rPr>
        <w:t>;</w:t>
      </w:r>
      <w:r w:rsidRPr="00731644">
        <w:rPr>
          <w:lang w:val="fr-CH"/>
        </w:rPr>
        <w:t xml:space="preserve"> </w:t>
      </w:r>
    </w:p>
    <w:p w:rsidR="00110CD9" w:rsidRPr="00731644" w:rsidRDefault="00110CD9" w:rsidP="00110CD9">
      <w:pPr>
        <w:pStyle w:val="Bullet1G"/>
        <w:rPr>
          <w:b/>
          <w:lang w:val="fr-CH"/>
        </w:rPr>
      </w:pPr>
      <w:r w:rsidRPr="00731644">
        <w:rPr>
          <w:lang w:val="fr-CH"/>
        </w:rPr>
        <w:t>L</w:t>
      </w:r>
      <w:r w:rsidR="00425386" w:rsidRPr="00731644">
        <w:rPr>
          <w:lang w:val="fr-CH"/>
        </w:rPr>
        <w:t>’</w:t>
      </w:r>
      <w:r w:rsidRPr="00731644">
        <w:rPr>
          <w:lang w:val="fr-CH"/>
        </w:rPr>
        <w:t>exercic</w:t>
      </w:r>
      <w:r w:rsidR="00516407">
        <w:rPr>
          <w:lang w:val="fr-CH"/>
        </w:rPr>
        <w:t>e du droit au retour volontaire.</w:t>
      </w:r>
    </w:p>
    <w:p w:rsidR="00C776A4" w:rsidRPr="00731644" w:rsidRDefault="00F70015" w:rsidP="00110CD9">
      <w:pPr>
        <w:pStyle w:val="Bullet1G"/>
        <w:numPr>
          <w:ilvl w:val="0"/>
          <w:numId w:val="0"/>
        </w:numPr>
        <w:ind w:left="1134"/>
        <w:rPr>
          <w:b/>
          <w:lang w:val="fr-CH"/>
        </w:rPr>
      </w:pPr>
      <w:r w:rsidRPr="00731644">
        <w:rPr>
          <w:lang w:val="fr-CH"/>
        </w:rPr>
        <w:t>121.</w:t>
      </w:r>
      <w:r w:rsidRPr="00731644">
        <w:rPr>
          <w:lang w:val="fr-CH"/>
        </w:rPr>
        <w:tab/>
      </w:r>
      <w:r w:rsidR="00110CD9" w:rsidRPr="00731644">
        <w:rPr>
          <w:lang w:val="fr-CH"/>
        </w:rPr>
        <w:t>Les e</w:t>
      </w:r>
      <w:r w:rsidR="00C776A4" w:rsidRPr="00731644">
        <w:rPr>
          <w:lang w:val="fr-CH"/>
        </w:rPr>
        <w:t xml:space="preserve">xperts </w:t>
      </w:r>
      <w:r w:rsidR="00110CD9" w:rsidRPr="00731644">
        <w:rPr>
          <w:lang w:val="fr-CH"/>
        </w:rPr>
        <w:t>recrutés par la délégation de l</w:t>
      </w:r>
      <w:r w:rsidR="00425386" w:rsidRPr="00731644">
        <w:rPr>
          <w:lang w:val="fr-CH"/>
        </w:rPr>
        <w:t>’</w:t>
      </w:r>
      <w:r w:rsidR="00794392" w:rsidRPr="00731644">
        <w:rPr>
          <w:lang w:val="fr-CH"/>
        </w:rPr>
        <w:t>U</w:t>
      </w:r>
      <w:r w:rsidR="00110CD9" w:rsidRPr="00731644">
        <w:rPr>
          <w:lang w:val="fr-CH"/>
        </w:rPr>
        <w:t xml:space="preserve">nion européenne (UE) au Monténégro </w:t>
      </w:r>
      <w:r w:rsidR="0084124D" w:rsidRPr="00731644">
        <w:rPr>
          <w:lang w:val="fr-CH"/>
        </w:rPr>
        <w:t xml:space="preserve">ont réalisé, </w:t>
      </w:r>
      <w:r w:rsidR="00110CD9" w:rsidRPr="00731644">
        <w:rPr>
          <w:lang w:val="fr-CH"/>
        </w:rPr>
        <w:t>e</w:t>
      </w:r>
      <w:r w:rsidR="00C776A4" w:rsidRPr="00731644">
        <w:rPr>
          <w:lang w:val="fr-CH"/>
        </w:rPr>
        <w:t>n coop</w:t>
      </w:r>
      <w:r w:rsidR="00110CD9" w:rsidRPr="00731644">
        <w:rPr>
          <w:lang w:val="fr-CH"/>
        </w:rPr>
        <w:t>é</w:t>
      </w:r>
      <w:r w:rsidR="00C776A4" w:rsidRPr="00731644">
        <w:rPr>
          <w:lang w:val="fr-CH"/>
        </w:rPr>
        <w:t xml:space="preserve">ration </w:t>
      </w:r>
      <w:r w:rsidR="00110CD9" w:rsidRPr="00731644">
        <w:rPr>
          <w:lang w:val="fr-CH"/>
        </w:rPr>
        <w:t xml:space="preserve">avec des représentants des institutions monténégrines compétentes et </w:t>
      </w:r>
      <w:r w:rsidR="00794392" w:rsidRPr="00731644">
        <w:rPr>
          <w:lang w:val="fr-CH"/>
        </w:rPr>
        <w:t>d</w:t>
      </w:r>
      <w:r w:rsidR="00425386" w:rsidRPr="00731644">
        <w:rPr>
          <w:lang w:val="fr-CH"/>
        </w:rPr>
        <w:t>’</w:t>
      </w:r>
      <w:r w:rsidR="00110CD9" w:rsidRPr="00731644">
        <w:rPr>
          <w:lang w:val="fr-CH"/>
        </w:rPr>
        <w:t xml:space="preserve">organisations internationales </w:t>
      </w:r>
      <w:r w:rsidR="00C776A4" w:rsidRPr="00731644">
        <w:rPr>
          <w:lang w:val="fr-CH"/>
        </w:rPr>
        <w:t>(</w:t>
      </w:r>
      <w:r w:rsidR="00110CD9" w:rsidRPr="00731644">
        <w:rPr>
          <w:lang w:val="fr-CH"/>
        </w:rPr>
        <w:t xml:space="preserve">le Haut-Commissariat </w:t>
      </w:r>
      <w:r w:rsidR="00536B47" w:rsidRPr="00731644">
        <w:rPr>
          <w:lang w:val="fr-CH"/>
        </w:rPr>
        <w:t>des Nations Unies pour les</w:t>
      </w:r>
      <w:r w:rsidR="00110CD9" w:rsidRPr="00731644">
        <w:rPr>
          <w:lang w:val="fr-CH"/>
        </w:rPr>
        <w:t xml:space="preserve"> réfugiés</w:t>
      </w:r>
      <w:r w:rsidR="00965A35" w:rsidRPr="00731644">
        <w:rPr>
          <w:lang w:val="fr-CH"/>
        </w:rPr>
        <w:t xml:space="preserve"> (HCR)</w:t>
      </w:r>
      <w:r w:rsidR="00110CD9" w:rsidRPr="00731644">
        <w:rPr>
          <w:lang w:val="fr-CH"/>
        </w:rPr>
        <w:t>, le Programme des Nations Unies pour le développement</w:t>
      </w:r>
      <w:r w:rsidR="00AA4514" w:rsidRPr="00731644">
        <w:rPr>
          <w:lang w:val="fr-CH"/>
        </w:rPr>
        <w:t xml:space="preserve"> </w:t>
      </w:r>
      <w:r w:rsidR="00794392" w:rsidRPr="00731644">
        <w:rPr>
          <w:lang w:val="fr-CH"/>
        </w:rPr>
        <w:t>(PNUD)</w:t>
      </w:r>
      <w:r w:rsidR="00110CD9" w:rsidRPr="00731644">
        <w:rPr>
          <w:lang w:val="fr-CH"/>
        </w:rPr>
        <w:t>, le Fonds des Nations Unies pour l</w:t>
      </w:r>
      <w:r w:rsidR="00425386" w:rsidRPr="00731644">
        <w:rPr>
          <w:lang w:val="fr-CH"/>
        </w:rPr>
        <w:t>’</w:t>
      </w:r>
      <w:r w:rsidR="00110CD9" w:rsidRPr="00731644">
        <w:rPr>
          <w:lang w:val="fr-CH"/>
        </w:rPr>
        <w:t>enfance</w:t>
      </w:r>
      <w:r w:rsidR="00794392" w:rsidRPr="00731644">
        <w:rPr>
          <w:lang w:val="fr-CH"/>
        </w:rPr>
        <w:t xml:space="preserve"> (UNICEF</w:t>
      </w:r>
      <w:r w:rsidR="00C776A4" w:rsidRPr="00731644">
        <w:rPr>
          <w:lang w:val="fr-CH"/>
        </w:rPr>
        <w:t>)</w:t>
      </w:r>
      <w:r w:rsidR="00794392" w:rsidRPr="00731644">
        <w:rPr>
          <w:lang w:val="fr-CH"/>
        </w:rPr>
        <w:t>)</w:t>
      </w:r>
      <w:r w:rsidR="0084124D" w:rsidRPr="00731644">
        <w:rPr>
          <w:lang w:val="fr-CH"/>
        </w:rPr>
        <w:t xml:space="preserve">, </w:t>
      </w:r>
      <w:r w:rsidR="00110CD9" w:rsidRPr="00731644">
        <w:rPr>
          <w:lang w:val="fr-CH"/>
        </w:rPr>
        <w:t>l</w:t>
      </w:r>
      <w:r w:rsidR="00425386" w:rsidRPr="00731644">
        <w:rPr>
          <w:lang w:val="fr-CH"/>
        </w:rPr>
        <w:t>’</w:t>
      </w:r>
      <w:r w:rsidR="002061AB">
        <w:rPr>
          <w:lang w:val="fr-CH"/>
        </w:rPr>
        <w:t>»</w:t>
      </w:r>
      <w:r w:rsidR="00110CD9" w:rsidRPr="00731644">
        <w:rPr>
          <w:lang w:val="fr-CH"/>
        </w:rPr>
        <w:t xml:space="preserve">Étude de solutions durables pour </w:t>
      </w:r>
      <w:r w:rsidR="00CB7658" w:rsidRPr="00731644">
        <w:rPr>
          <w:lang w:val="fr-CH"/>
        </w:rPr>
        <w:t>les personnes</w:t>
      </w:r>
      <w:r w:rsidR="00110CD9" w:rsidRPr="00731644">
        <w:rPr>
          <w:lang w:val="fr-CH"/>
        </w:rPr>
        <w:t xml:space="preserve"> déplacées et </w:t>
      </w:r>
      <w:r w:rsidR="00CB7658" w:rsidRPr="00731644">
        <w:rPr>
          <w:lang w:val="fr-CH"/>
        </w:rPr>
        <w:t>les personnes</w:t>
      </w:r>
      <w:r w:rsidR="00110CD9" w:rsidRPr="00731644">
        <w:rPr>
          <w:lang w:val="fr-CH"/>
        </w:rPr>
        <w:t xml:space="preserve"> déplacées dans leur propre pays ainsi que pour les habitants du camp de </w:t>
      </w:r>
      <w:r w:rsidR="00C776A4" w:rsidRPr="00731644">
        <w:rPr>
          <w:lang w:val="fr-CH"/>
        </w:rPr>
        <w:t xml:space="preserve">Konik </w:t>
      </w:r>
      <w:r w:rsidR="00110CD9" w:rsidRPr="00731644">
        <w:rPr>
          <w:lang w:val="fr-CH"/>
        </w:rPr>
        <w:t xml:space="preserve">au Monténégro, et </w:t>
      </w:r>
      <w:r w:rsidR="006E5138" w:rsidRPr="00731644">
        <w:rPr>
          <w:lang w:val="fr-CH"/>
        </w:rPr>
        <w:t>élabo</w:t>
      </w:r>
      <w:r w:rsidR="00110CD9" w:rsidRPr="00731644">
        <w:rPr>
          <w:lang w:val="fr-CH"/>
        </w:rPr>
        <w:t>ration</w:t>
      </w:r>
      <w:r w:rsidR="00AA4514" w:rsidRPr="00731644">
        <w:rPr>
          <w:lang w:val="fr-CH"/>
        </w:rPr>
        <w:t xml:space="preserve"> </w:t>
      </w:r>
      <w:r w:rsidR="006E5138" w:rsidRPr="00731644">
        <w:rPr>
          <w:lang w:val="fr-CH"/>
        </w:rPr>
        <w:t xml:space="preserve">du programme au titre </w:t>
      </w:r>
      <w:r w:rsidR="00AA4514" w:rsidRPr="00731644">
        <w:rPr>
          <w:lang w:val="fr-CH"/>
        </w:rPr>
        <w:t>de l</w:t>
      </w:r>
      <w:r w:rsidR="00425386" w:rsidRPr="00731644">
        <w:rPr>
          <w:lang w:val="fr-CH"/>
        </w:rPr>
        <w:t>’</w:t>
      </w:r>
      <w:r w:rsidR="00AA4514" w:rsidRPr="00731644">
        <w:rPr>
          <w:lang w:val="fr-CH"/>
        </w:rPr>
        <w:t>instrument d</w:t>
      </w:r>
      <w:r w:rsidR="00425386" w:rsidRPr="00731644">
        <w:rPr>
          <w:lang w:val="fr-CH"/>
        </w:rPr>
        <w:t>’</w:t>
      </w:r>
      <w:r w:rsidR="00AA4514" w:rsidRPr="00731644">
        <w:rPr>
          <w:lang w:val="fr-CH"/>
        </w:rPr>
        <w:t>aide de préadhésion (IAP)</w:t>
      </w:r>
      <w:r w:rsidR="006E5138" w:rsidRPr="00731644">
        <w:rPr>
          <w:lang w:val="fr-CH"/>
        </w:rPr>
        <w:t xml:space="preserve"> </w:t>
      </w:r>
      <w:r w:rsidR="00C776A4" w:rsidRPr="00731644">
        <w:rPr>
          <w:lang w:val="fr-CH"/>
        </w:rPr>
        <w:t>2011</w:t>
      </w:r>
      <w:r w:rsidR="002061AB">
        <w:rPr>
          <w:lang w:val="fr-CH"/>
        </w:rPr>
        <w:t>»</w:t>
      </w:r>
      <w:r w:rsidR="00C776A4" w:rsidRPr="00731644">
        <w:rPr>
          <w:lang w:val="fr-CH"/>
        </w:rPr>
        <w:t>.</w:t>
      </w:r>
    </w:p>
    <w:p w:rsidR="00C776A4" w:rsidRPr="00731644" w:rsidRDefault="00F70015" w:rsidP="00CC0450">
      <w:pPr>
        <w:pStyle w:val="SingleTxtG"/>
        <w:rPr>
          <w:lang w:val="fr-CH"/>
        </w:rPr>
      </w:pPr>
      <w:r w:rsidRPr="00731644">
        <w:rPr>
          <w:bCs/>
          <w:lang w:val="fr-CH"/>
        </w:rPr>
        <w:t>122.</w:t>
      </w:r>
      <w:r w:rsidRPr="00731644">
        <w:rPr>
          <w:bCs/>
          <w:lang w:val="fr-CH"/>
        </w:rPr>
        <w:tab/>
      </w:r>
      <w:r w:rsidR="006E5138" w:rsidRPr="00731644">
        <w:rPr>
          <w:bCs/>
          <w:lang w:val="fr-CH"/>
        </w:rPr>
        <w:t>L</w:t>
      </w:r>
      <w:r w:rsidR="00110CD9" w:rsidRPr="00731644">
        <w:rPr>
          <w:bCs/>
          <w:lang w:val="fr-CH"/>
        </w:rPr>
        <w:t xml:space="preserve">es projets </w:t>
      </w:r>
      <w:r w:rsidR="006E5138" w:rsidRPr="00731644">
        <w:rPr>
          <w:bCs/>
          <w:lang w:val="fr-CH"/>
        </w:rPr>
        <w:t>des composantes de l</w:t>
      </w:r>
      <w:r w:rsidR="00425386" w:rsidRPr="00731644">
        <w:rPr>
          <w:bCs/>
          <w:lang w:val="fr-CH"/>
        </w:rPr>
        <w:t>’</w:t>
      </w:r>
      <w:r w:rsidR="006E5138" w:rsidRPr="00731644">
        <w:rPr>
          <w:bCs/>
          <w:lang w:val="fr-CH"/>
        </w:rPr>
        <w:t>IAP national 2011</w:t>
      </w:r>
      <w:r w:rsidR="00C776A4" w:rsidRPr="00731644">
        <w:rPr>
          <w:bCs/>
          <w:lang w:val="fr-CH"/>
        </w:rPr>
        <w:t xml:space="preserve"> </w:t>
      </w:r>
      <w:r w:rsidR="002061AB">
        <w:rPr>
          <w:bCs/>
          <w:lang w:val="fr-CH"/>
        </w:rPr>
        <w:t>«</w:t>
      </w:r>
      <w:r w:rsidR="00110CD9" w:rsidRPr="00731644">
        <w:rPr>
          <w:bCs/>
          <w:lang w:val="fr-CH"/>
        </w:rPr>
        <w:t>Solutions d</w:t>
      </w:r>
      <w:r w:rsidR="00C776A4" w:rsidRPr="00731644">
        <w:rPr>
          <w:bCs/>
          <w:lang w:val="fr-CH"/>
        </w:rPr>
        <w:t>urable</w:t>
      </w:r>
      <w:r w:rsidR="00110CD9" w:rsidRPr="00731644">
        <w:rPr>
          <w:bCs/>
          <w:lang w:val="fr-CH"/>
        </w:rPr>
        <w:t>s</w:t>
      </w:r>
      <w:r w:rsidR="00C776A4" w:rsidRPr="00731644">
        <w:rPr>
          <w:bCs/>
          <w:lang w:val="fr-CH"/>
        </w:rPr>
        <w:t xml:space="preserve"> </w:t>
      </w:r>
      <w:r w:rsidR="00110CD9" w:rsidRPr="00731644">
        <w:rPr>
          <w:bCs/>
          <w:lang w:val="fr-CH"/>
        </w:rPr>
        <w:t>pour les camps</w:t>
      </w:r>
      <w:r w:rsidR="00C776A4" w:rsidRPr="00731644">
        <w:rPr>
          <w:bCs/>
          <w:lang w:val="fr-CH"/>
        </w:rPr>
        <w:t xml:space="preserve"> Konik I </w:t>
      </w:r>
      <w:r w:rsidR="00110CD9" w:rsidRPr="00731644">
        <w:rPr>
          <w:bCs/>
          <w:lang w:val="fr-CH"/>
        </w:rPr>
        <w:t>et</w:t>
      </w:r>
      <w:r w:rsidR="00C776A4" w:rsidRPr="00731644">
        <w:rPr>
          <w:bCs/>
          <w:lang w:val="fr-CH"/>
        </w:rPr>
        <w:t xml:space="preserve"> II</w:t>
      </w:r>
      <w:r w:rsidR="002061AB">
        <w:rPr>
          <w:bCs/>
          <w:lang w:val="fr-CH"/>
        </w:rPr>
        <w:t>»</w:t>
      </w:r>
      <w:r w:rsidR="00F31DD5" w:rsidRPr="00731644">
        <w:rPr>
          <w:bCs/>
          <w:lang w:val="fr-CH"/>
        </w:rPr>
        <w:t xml:space="preserve"> – </w:t>
      </w:r>
      <w:r w:rsidR="00C776A4" w:rsidRPr="00731644">
        <w:rPr>
          <w:bCs/>
          <w:lang w:val="fr-CH"/>
        </w:rPr>
        <w:t xml:space="preserve">construction </w:t>
      </w:r>
      <w:r w:rsidR="00110CD9" w:rsidRPr="00731644">
        <w:rPr>
          <w:bCs/>
          <w:lang w:val="fr-CH"/>
        </w:rPr>
        <w:t>de</w:t>
      </w:r>
      <w:r w:rsidR="00C776A4" w:rsidRPr="00731644">
        <w:rPr>
          <w:bCs/>
          <w:lang w:val="fr-CH"/>
        </w:rPr>
        <w:t xml:space="preserve"> 90 </w:t>
      </w:r>
      <w:r w:rsidR="00110CD9" w:rsidRPr="00731644">
        <w:rPr>
          <w:bCs/>
          <w:lang w:val="fr-CH"/>
        </w:rPr>
        <w:t>immeuble</w:t>
      </w:r>
      <w:r w:rsidR="006E5138" w:rsidRPr="00731644">
        <w:rPr>
          <w:bCs/>
          <w:lang w:val="fr-CH"/>
        </w:rPr>
        <w:t>s</w:t>
      </w:r>
      <w:r w:rsidR="00110CD9" w:rsidRPr="00731644">
        <w:rPr>
          <w:bCs/>
          <w:lang w:val="fr-CH"/>
        </w:rPr>
        <w:t>,</w:t>
      </w:r>
      <w:r w:rsidR="00C776A4" w:rsidRPr="00731644">
        <w:rPr>
          <w:bCs/>
          <w:lang w:val="fr-CH"/>
        </w:rPr>
        <w:t xml:space="preserve"> construction </w:t>
      </w:r>
      <w:r w:rsidR="00110CD9" w:rsidRPr="00731644">
        <w:rPr>
          <w:bCs/>
          <w:lang w:val="fr-CH"/>
        </w:rPr>
        <w:t>d</w:t>
      </w:r>
      <w:r w:rsidR="00425386" w:rsidRPr="00731644">
        <w:rPr>
          <w:bCs/>
          <w:lang w:val="fr-CH"/>
        </w:rPr>
        <w:t>’</w:t>
      </w:r>
      <w:r w:rsidR="0084124D" w:rsidRPr="00731644">
        <w:rPr>
          <w:bCs/>
          <w:lang w:val="fr-CH"/>
        </w:rPr>
        <w:t>un</w:t>
      </w:r>
      <w:r w:rsidR="00C776A4" w:rsidRPr="00731644">
        <w:rPr>
          <w:bCs/>
          <w:lang w:val="fr-CH"/>
        </w:rPr>
        <w:t xml:space="preserve"> centre</w:t>
      </w:r>
      <w:r w:rsidR="00110CD9" w:rsidRPr="00731644">
        <w:rPr>
          <w:bCs/>
          <w:lang w:val="fr-CH"/>
        </w:rPr>
        <w:t xml:space="preserve"> polyvalent, retour volontaire, emploi, éducation, questions sociales et assistance technique</w:t>
      </w:r>
      <w:r w:rsidR="00F31DD5" w:rsidRPr="00731644">
        <w:rPr>
          <w:bCs/>
          <w:lang w:val="fr-CH"/>
        </w:rPr>
        <w:t xml:space="preserve"> – </w:t>
      </w:r>
      <w:r w:rsidR="00110CD9" w:rsidRPr="00731644">
        <w:rPr>
          <w:bCs/>
          <w:lang w:val="fr-CH"/>
        </w:rPr>
        <w:t>ont également été élaborés</w:t>
      </w:r>
      <w:r w:rsidR="00C776A4" w:rsidRPr="00731644">
        <w:rPr>
          <w:bCs/>
          <w:lang w:val="fr-CH"/>
        </w:rPr>
        <w:t xml:space="preserve">. </w:t>
      </w:r>
      <w:r w:rsidR="00110CD9" w:rsidRPr="00731644">
        <w:rPr>
          <w:bCs/>
          <w:lang w:val="fr-CH"/>
        </w:rPr>
        <w:t>Le coût de ce projet, qui sera financé par l</w:t>
      </w:r>
      <w:r w:rsidR="00425386" w:rsidRPr="00731644">
        <w:rPr>
          <w:bCs/>
          <w:lang w:val="fr-CH"/>
        </w:rPr>
        <w:t>’</w:t>
      </w:r>
      <w:r w:rsidR="00516407">
        <w:rPr>
          <w:bCs/>
          <w:lang w:val="fr-CH"/>
        </w:rPr>
        <w:t>UE, est de quelque 2,5 </w:t>
      </w:r>
      <w:r w:rsidR="00110CD9" w:rsidRPr="00731644">
        <w:rPr>
          <w:bCs/>
          <w:lang w:val="fr-CH"/>
        </w:rPr>
        <w:t>millions</w:t>
      </w:r>
      <w:r w:rsidR="00516407">
        <w:rPr>
          <w:bCs/>
          <w:lang w:val="fr-CH"/>
        </w:rPr>
        <w:t xml:space="preserve"> </w:t>
      </w:r>
      <w:r w:rsidR="0084124D" w:rsidRPr="00731644">
        <w:rPr>
          <w:bCs/>
          <w:lang w:val="fr-CH"/>
        </w:rPr>
        <w:t>d</w:t>
      </w:r>
      <w:r w:rsidR="00425386" w:rsidRPr="00731644">
        <w:rPr>
          <w:bCs/>
          <w:lang w:val="fr-CH"/>
        </w:rPr>
        <w:t>’</w:t>
      </w:r>
      <w:r w:rsidR="0084124D" w:rsidRPr="00731644">
        <w:rPr>
          <w:bCs/>
          <w:lang w:val="fr-CH"/>
        </w:rPr>
        <w:t>euros</w:t>
      </w:r>
      <w:r w:rsidR="00F31DD5" w:rsidRPr="00731644">
        <w:rPr>
          <w:bCs/>
          <w:lang w:val="fr-CH"/>
        </w:rPr>
        <w:t>;</w:t>
      </w:r>
      <w:r w:rsidR="006E5138" w:rsidRPr="00731644">
        <w:rPr>
          <w:bCs/>
          <w:lang w:val="fr-CH"/>
        </w:rPr>
        <w:t xml:space="preserve"> en vertu</w:t>
      </w:r>
      <w:r w:rsidR="00110CD9" w:rsidRPr="00731644">
        <w:rPr>
          <w:bCs/>
          <w:lang w:val="fr-CH"/>
        </w:rPr>
        <w:t xml:space="preserve"> de l</w:t>
      </w:r>
      <w:r w:rsidR="00425386" w:rsidRPr="00731644">
        <w:rPr>
          <w:bCs/>
          <w:lang w:val="fr-CH"/>
        </w:rPr>
        <w:t>’</w:t>
      </w:r>
      <w:r w:rsidR="00110CD9" w:rsidRPr="00731644">
        <w:rPr>
          <w:bCs/>
          <w:lang w:val="fr-CH"/>
        </w:rPr>
        <w:t>accord conclu avec l</w:t>
      </w:r>
      <w:r w:rsidR="00425386" w:rsidRPr="00731644">
        <w:rPr>
          <w:bCs/>
          <w:lang w:val="fr-CH"/>
        </w:rPr>
        <w:t>’</w:t>
      </w:r>
      <w:r w:rsidR="00110CD9" w:rsidRPr="00731644">
        <w:rPr>
          <w:bCs/>
          <w:lang w:val="fr-CH"/>
        </w:rPr>
        <w:t xml:space="preserve">Union européenne, le Gouvernement monténégrin devrait </w:t>
      </w:r>
      <w:r w:rsidR="006E5138" w:rsidRPr="00731644">
        <w:rPr>
          <w:bCs/>
          <w:lang w:val="fr-CH"/>
        </w:rPr>
        <w:t>en prendre</w:t>
      </w:r>
      <w:r w:rsidR="00110CD9" w:rsidRPr="00731644">
        <w:rPr>
          <w:bCs/>
          <w:lang w:val="fr-CH"/>
        </w:rPr>
        <w:t xml:space="preserve"> 20</w:t>
      </w:r>
      <w:r w:rsidR="006443F6" w:rsidRPr="00731644">
        <w:rPr>
          <w:bCs/>
          <w:lang w:val="fr-CH"/>
        </w:rPr>
        <w:t>%</w:t>
      </w:r>
      <w:r w:rsidR="006E5138" w:rsidRPr="00731644">
        <w:rPr>
          <w:bCs/>
          <w:lang w:val="fr-CH"/>
        </w:rPr>
        <w:t xml:space="preserve"> à sa charge</w:t>
      </w:r>
      <w:r w:rsidR="00110CD9" w:rsidRPr="00731644">
        <w:rPr>
          <w:bCs/>
          <w:lang w:val="fr-CH"/>
        </w:rPr>
        <w:t xml:space="preserve">. Les modalités du </w:t>
      </w:r>
      <w:r w:rsidR="00A66512" w:rsidRPr="00731644">
        <w:rPr>
          <w:bCs/>
          <w:lang w:val="fr-CH"/>
        </w:rPr>
        <w:t>cofinancement</w:t>
      </w:r>
      <w:r w:rsidR="00110CD9" w:rsidRPr="00731644">
        <w:rPr>
          <w:bCs/>
          <w:lang w:val="fr-CH"/>
        </w:rPr>
        <w:t xml:space="preserve"> feront l</w:t>
      </w:r>
      <w:r w:rsidR="00425386" w:rsidRPr="00731644">
        <w:rPr>
          <w:bCs/>
          <w:lang w:val="fr-CH"/>
        </w:rPr>
        <w:t>’</w:t>
      </w:r>
      <w:r w:rsidR="00110CD9" w:rsidRPr="00731644">
        <w:rPr>
          <w:bCs/>
          <w:lang w:val="fr-CH"/>
        </w:rPr>
        <w:t>objet d</w:t>
      </w:r>
      <w:r w:rsidR="00425386" w:rsidRPr="00731644">
        <w:rPr>
          <w:bCs/>
          <w:lang w:val="fr-CH"/>
        </w:rPr>
        <w:t>’</w:t>
      </w:r>
      <w:r w:rsidR="00110CD9" w:rsidRPr="00731644">
        <w:rPr>
          <w:bCs/>
          <w:lang w:val="fr-CH"/>
        </w:rPr>
        <w:t>un acco</w:t>
      </w:r>
      <w:r w:rsidR="006E5138" w:rsidRPr="00731644">
        <w:rPr>
          <w:bCs/>
          <w:lang w:val="fr-CH"/>
        </w:rPr>
        <w:t>r</w:t>
      </w:r>
      <w:r w:rsidR="00110CD9" w:rsidRPr="00731644">
        <w:rPr>
          <w:bCs/>
          <w:lang w:val="fr-CH"/>
        </w:rPr>
        <w:t xml:space="preserve">d avec la </w:t>
      </w:r>
      <w:r w:rsidR="00A66512" w:rsidRPr="00731644">
        <w:rPr>
          <w:bCs/>
          <w:lang w:val="fr-CH"/>
        </w:rPr>
        <w:t>délégation</w:t>
      </w:r>
      <w:r w:rsidR="00110CD9" w:rsidRPr="00731644">
        <w:rPr>
          <w:bCs/>
          <w:lang w:val="fr-CH"/>
        </w:rPr>
        <w:t xml:space="preserve"> de l</w:t>
      </w:r>
      <w:r w:rsidR="00425386" w:rsidRPr="00731644">
        <w:rPr>
          <w:bCs/>
          <w:lang w:val="fr-CH"/>
        </w:rPr>
        <w:t>’</w:t>
      </w:r>
      <w:r w:rsidR="00110CD9" w:rsidRPr="00731644">
        <w:rPr>
          <w:bCs/>
          <w:lang w:val="fr-CH"/>
        </w:rPr>
        <w:t xml:space="preserve">UE. </w:t>
      </w:r>
    </w:p>
    <w:p w:rsidR="00C776A4" w:rsidRPr="00731644" w:rsidRDefault="00F70015" w:rsidP="00C776A4">
      <w:pPr>
        <w:pStyle w:val="SingleTxtG"/>
        <w:rPr>
          <w:lang w:val="fr-CH"/>
        </w:rPr>
      </w:pPr>
      <w:r w:rsidRPr="00731644">
        <w:rPr>
          <w:lang w:val="fr-CH"/>
        </w:rPr>
        <w:t>123.</w:t>
      </w:r>
      <w:r w:rsidRPr="00731644">
        <w:rPr>
          <w:lang w:val="fr-CH"/>
        </w:rPr>
        <w:tab/>
      </w:r>
      <w:r w:rsidR="0035108F" w:rsidRPr="00731644">
        <w:rPr>
          <w:lang w:val="fr-CH"/>
        </w:rPr>
        <w:t>L</w:t>
      </w:r>
      <w:r w:rsidR="006E5138" w:rsidRPr="00731644">
        <w:rPr>
          <w:lang w:val="fr-CH"/>
        </w:rPr>
        <w:t>a partie du</w:t>
      </w:r>
      <w:r w:rsidR="00110CD9" w:rsidRPr="00731644">
        <w:rPr>
          <w:lang w:val="fr-CH"/>
        </w:rPr>
        <w:t xml:space="preserve"> projet</w:t>
      </w:r>
      <w:r w:rsidR="00C776A4" w:rsidRPr="00731644">
        <w:rPr>
          <w:lang w:val="fr-CH"/>
        </w:rPr>
        <w:t xml:space="preserve"> I</w:t>
      </w:r>
      <w:r w:rsidR="006E5138" w:rsidRPr="00731644">
        <w:rPr>
          <w:lang w:val="fr-CH"/>
        </w:rPr>
        <w:t>A</w:t>
      </w:r>
      <w:r w:rsidR="00C776A4" w:rsidRPr="00731644">
        <w:rPr>
          <w:lang w:val="fr-CH"/>
        </w:rPr>
        <w:t>P</w:t>
      </w:r>
      <w:r w:rsidR="006E5138" w:rsidRPr="00731644">
        <w:rPr>
          <w:lang w:val="fr-CH"/>
        </w:rPr>
        <w:t xml:space="preserve"> qui a trait au droit au logement</w:t>
      </w:r>
      <w:r w:rsidR="0035108F" w:rsidRPr="00731644">
        <w:rPr>
          <w:lang w:val="fr-CH"/>
        </w:rPr>
        <w:t xml:space="preserve"> indique que</w:t>
      </w:r>
      <w:r w:rsidR="00C776A4" w:rsidRPr="00731644">
        <w:rPr>
          <w:lang w:val="fr-CH"/>
        </w:rPr>
        <w:t xml:space="preserve">, </w:t>
      </w:r>
      <w:r w:rsidR="00110CD9" w:rsidRPr="00731644">
        <w:rPr>
          <w:lang w:val="fr-CH"/>
        </w:rPr>
        <w:t>pour pouvoir fermer le camp de Konik – ce qui est considéré comme une question prioritaire à traiter d</w:t>
      </w:r>
      <w:r w:rsidR="00425386" w:rsidRPr="00731644">
        <w:rPr>
          <w:lang w:val="fr-CH"/>
        </w:rPr>
        <w:t>’</w:t>
      </w:r>
      <w:r w:rsidR="00110CD9" w:rsidRPr="00731644">
        <w:rPr>
          <w:lang w:val="fr-CH"/>
        </w:rPr>
        <w:t xml:space="preserve">urgence – la </w:t>
      </w:r>
      <w:r w:rsidR="0035108F" w:rsidRPr="00731644">
        <w:rPr>
          <w:lang w:val="fr-CH"/>
        </w:rPr>
        <w:t>v</w:t>
      </w:r>
      <w:r w:rsidR="00110CD9" w:rsidRPr="00731644">
        <w:rPr>
          <w:lang w:val="fr-CH"/>
        </w:rPr>
        <w:t xml:space="preserve">ille de </w:t>
      </w:r>
      <w:r w:rsidR="00C776A4" w:rsidRPr="00731644">
        <w:rPr>
          <w:lang w:val="fr-CH"/>
        </w:rPr>
        <w:t>Podgorica</w:t>
      </w:r>
      <w:r w:rsidR="00110CD9" w:rsidRPr="00731644">
        <w:rPr>
          <w:lang w:val="fr-CH"/>
        </w:rPr>
        <w:t xml:space="preserve"> (capitale</w:t>
      </w:r>
      <w:r w:rsidR="0035108F" w:rsidRPr="00731644">
        <w:rPr>
          <w:lang w:val="fr-CH"/>
        </w:rPr>
        <w:t xml:space="preserve"> du pays</w:t>
      </w:r>
      <w:r w:rsidR="00110CD9" w:rsidRPr="00731644">
        <w:rPr>
          <w:lang w:val="fr-CH"/>
        </w:rPr>
        <w:t>) a décidé</w:t>
      </w:r>
      <w:r w:rsidR="00C776A4" w:rsidRPr="00731644">
        <w:rPr>
          <w:lang w:val="fr-CH"/>
        </w:rPr>
        <w:t xml:space="preserve"> </w:t>
      </w:r>
      <w:r w:rsidR="00110CD9" w:rsidRPr="00731644">
        <w:rPr>
          <w:lang w:val="fr-CH"/>
        </w:rPr>
        <w:t>de dresser un seul plan pour la</w:t>
      </w:r>
      <w:r w:rsidR="00C776A4" w:rsidRPr="00731644">
        <w:rPr>
          <w:lang w:val="fr-CH"/>
        </w:rPr>
        <w:t xml:space="preserve"> zone A </w:t>
      </w:r>
      <w:r w:rsidR="00110CD9" w:rsidRPr="00731644">
        <w:rPr>
          <w:lang w:val="fr-CH"/>
        </w:rPr>
        <w:t>et une partie de la</w:t>
      </w:r>
      <w:r w:rsidR="00C776A4" w:rsidRPr="00731644">
        <w:rPr>
          <w:lang w:val="fr-CH"/>
        </w:rPr>
        <w:t xml:space="preserve"> zone B </w:t>
      </w:r>
      <w:r w:rsidR="00110CD9" w:rsidRPr="00731644">
        <w:rPr>
          <w:lang w:val="fr-CH"/>
        </w:rPr>
        <w:t xml:space="preserve">du périmètre total de </w:t>
      </w:r>
      <w:r w:rsidR="00C776A4" w:rsidRPr="00731644">
        <w:rPr>
          <w:lang w:val="fr-CH"/>
        </w:rPr>
        <w:t>130</w:t>
      </w:r>
      <w:r w:rsidR="00110CD9" w:rsidRPr="00731644">
        <w:rPr>
          <w:lang w:val="fr-CH"/>
        </w:rPr>
        <w:t> </w:t>
      </w:r>
      <w:r w:rsidR="00C776A4" w:rsidRPr="00731644">
        <w:rPr>
          <w:lang w:val="fr-CH"/>
        </w:rPr>
        <w:t>000</w:t>
      </w:r>
      <w:r w:rsidR="00110CD9" w:rsidRPr="00731644">
        <w:rPr>
          <w:lang w:val="fr-CH"/>
        </w:rPr>
        <w:t xml:space="preserve"> </w:t>
      </w:r>
      <w:r w:rsidR="00C776A4" w:rsidRPr="00731644">
        <w:rPr>
          <w:lang w:val="fr-CH"/>
        </w:rPr>
        <w:t xml:space="preserve">m², </w:t>
      </w:r>
      <w:r w:rsidR="00110CD9" w:rsidRPr="00731644">
        <w:rPr>
          <w:lang w:val="fr-CH"/>
        </w:rPr>
        <w:t>afin de créer les conditions juridiques d</w:t>
      </w:r>
      <w:r w:rsidR="00425386" w:rsidRPr="00731644">
        <w:rPr>
          <w:lang w:val="fr-CH"/>
        </w:rPr>
        <w:t>’</w:t>
      </w:r>
      <w:r w:rsidR="00110CD9" w:rsidRPr="00731644">
        <w:rPr>
          <w:lang w:val="fr-CH"/>
        </w:rPr>
        <w:t>un</w:t>
      </w:r>
      <w:r w:rsidR="0035108F" w:rsidRPr="00731644">
        <w:rPr>
          <w:lang w:val="fr-CH"/>
        </w:rPr>
        <w:t xml:space="preserve"> </w:t>
      </w:r>
      <w:r w:rsidR="00110CD9" w:rsidRPr="00731644">
        <w:rPr>
          <w:lang w:val="fr-CH"/>
        </w:rPr>
        <w:t>urba</w:t>
      </w:r>
      <w:r w:rsidR="0035108F" w:rsidRPr="00731644">
        <w:rPr>
          <w:lang w:val="fr-CH"/>
        </w:rPr>
        <w:t>nisme</w:t>
      </w:r>
      <w:r w:rsidR="00110CD9" w:rsidRPr="00731644">
        <w:rPr>
          <w:lang w:val="fr-CH"/>
        </w:rPr>
        <w:t xml:space="preserve"> rationnel et de qualité, conformément aux normes prescrites. La date limite envisagée pour la mise au point du document de planification est le quatrième trimestre</w:t>
      </w:r>
      <w:r w:rsidR="00C776A4" w:rsidRPr="00731644">
        <w:rPr>
          <w:lang w:val="fr-CH"/>
        </w:rPr>
        <w:t xml:space="preserve"> </w:t>
      </w:r>
      <w:r w:rsidR="00110CD9" w:rsidRPr="00731644">
        <w:rPr>
          <w:lang w:val="fr-CH"/>
        </w:rPr>
        <w:t>de</w:t>
      </w:r>
      <w:r w:rsidR="00C776A4" w:rsidRPr="00731644">
        <w:rPr>
          <w:lang w:val="fr-CH"/>
        </w:rPr>
        <w:t xml:space="preserve"> 2011, </w:t>
      </w:r>
      <w:r w:rsidR="00110CD9" w:rsidRPr="00731644">
        <w:rPr>
          <w:lang w:val="fr-CH"/>
        </w:rPr>
        <w:t xml:space="preserve">étant entendu que la </w:t>
      </w:r>
      <w:r w:rsidR="00110CD9" w:rsidRPr="00A35A21">
        <w:rPr>
          <w:iCs/>
          <w:lang w:val="fr-CH"/>
        </w:rPr>
        <w:t>loi relative à l</w:t>
      </w:r>
      <w:r w:rsidR="00425386" w:rsidRPr="00A35A21">
        <w:rPr>
          <w:iCs/>
          <w:lang w:val="fr-CH"/>
        </w:rPr>
        <w:t>’</w:t>
      </w:r>
      <w:r w:rsidR="00110CD9" w:rsidRPr="00A35A21">
        <w:rPr>
          <w:iCs/>
          <w:lang w:val="fr-CH"/>
        </w:rPr>
        <w:t>aménagement de l</w:t>
      </w:r>
      <w:r w:rsidR="00425386" w:rsidRPr="00A35A21">
        <w:rPr>
          <w:iCs/>
          <w:lang w:val="fr-CH"/>
        </w:rPr>
        <w:t>’</w:t>
      </w:r>
      <w:r w:rsidR="00110CD9" w:rsidRPr="00A35A21">
        <w:rPr>
          <w:iCs/>
          <w:lang w:val="fr-CH"/>
        </w:rPr>
        <w:t xml:space="preserve">espace et à la construction </w:t>
      </w:r>
      <w:r w:rsidR="0035108F" w:rsidRPr="00A35A21">
        <w:rPr>
          <w:iCs/>
          <w:lang w:val="fr-CH"/>
        </w:rPr>
        <w:t>d</w:t>
      </w:r>
      <w:r w:rsidR="00425386" w:rsidRPr="00A35A21">
        <w:rPr>
          <w:iCs/>
          <w:lang w:val="fr-CH"/>
        </w:rPr>
        <w:t>’</w:t>
      </w:r>
      <w:r w:rsidR="0035108F" w:rsidRPr="00A35A21">
        <w:rPr>
          <w:iCs/>
          <w:lang w:val="fr-CH"/>
        </w:rPr>
        <w:t>ouvrages</w:t>
      </w:r>
      <w:r w:rsidR="00110CD9" w:rsidRPr="00A35A21">
        <w:rPr>
          <w:iCs/>
          <w:lang w:val="fr-CH"/>
        </w:rPr>
        <w:t xml:space="preserve"> </w:t>
      </w:r>
      <w:r w:rsidR="00110CD9" w:rsidRPr="00731644">
        <w:rPr>
          <w:lang w:val="fr-CH"/>
        </w:rPr>
        <w:t>est en voie de modification, et que la possibilité de modifier en parallèle le plan général d</w:t>
      </w:r>
      <w:r w:rsidR="00425386" w:rsidRPr="00731644">
        <w:rPr>
          <w:lang w:val="fr-CH"/>
        </w:rPr>
        <w:t>’</w:t>
      </w:r>
      <w:r w:rsidR="00110CD9" w:rsidRPr="00731644">
        <w:rPr>
          <w:lang w:val="fr-CH"/>
        </w:rPr>
        <w:t>urbanisme</w:t>
      </w:r>
      <w:r w:rsidR="00F31DD5" w:rsidRPr="00731644">
        <w:rPr>
          <w:lang w:val="fr-CH"/>
        </w:rPr>
        <w:t xml:space="preserve"> – </w:t>
      </w:r>
      <w:r w:rsidR="00110CD9" w:rsidRPr="00731644">
        <w:rPr>
          <w:lang w:val="fr-CH"/>
        </w:rPr>
        <w:t>ce qui est indispensable pour l</w:t>
      </w:r>
      <w:r w:rsidR="00425386" w:rsidRPr="00731644">
        <w:rPr>
          <w:lang w:val="fr-CH"/>
        </w:rPr>
        <w:t>’</w:t>
      </w:r>
      <w:r w:rsidR="00110CD9" w:rsidRPr="00731644">
        <w:rPr>
          <w:lang w:val="fr-CH"/>
        </w:rPr>
        <w:t>exécution de ce projet</w:t>
      </w:r>
      <w:r w:rsidR="00F31DD5" w:rsidRPr="00731644">
        <w:rPr>
          <w:lang w:val="fr-CH"/>
        </w:rPr>
        <w:t xml:space="preserve"> – </w:t>
      </w:r>
      <w:r w:rsidR="00110CD9" w:rsidRPr="00731644">
        <w:rPr>
          <w:lang w:val="fr-CH"/>
        </w:rPr>
        <w:t>est envisagée</w:t>
      </w:r>
      <w:r w:rsidR="00C776A4" w:rsidRPr="00731644">
        <w:rPr>
          <w:lang w:val="fr-CH"/>
        </w:rPr>
        <w:t>.</w:t>
      </w:r>
      <w:r w:rsidR="00110CD9" w:rsidRPr="00731644">
        <w:rPr>
          <w:lang w:val="fr-CH"/>
        </w:rPr>
        <w:t xml:space="preserve"> Dans le cadre</w:t>
      </w:r>
      <w:r w:rsidR="00C776A4" w:rsidRPr="00731644">
        <w:rPr>
          <w:lang w:val="fr-CH"/>
        </w:rPr>
        <w:t xml:space="preserve"> </w:t>
      </w:r>
      <w:r w:rsidR="00110CD9" w:rsidRPr="00731644">
        <w:rPr>
          <w:lang w:val="fr-CH"/>
        </w:rPr>
        <w:t xml:space="preserve">de ce projet, la </w:t>
      </w:r>
      <w:r w:rsidR="0035108F" w:rsidRPr="00731644">
        <w:rPr>
          <w:lang w:val="fr-CH"/>
        </w:rPr>
        <w:t>v</w:t>
      </w:r>
      <w:r w:rsidR="00110CD9" w:rsidRPr="00731644">
        <w:rPr>
          <w:lang w:val="fr-CH"/>
        </w:rPr>
        <w:t>ille s</w:t>
      </w:r>
      <w:r w:rsidR="00425386" w:rsidRPr="00731644">
        <w:rPr>
          <w:lang w:val="fr-CH"/>
        </w:rPr>
        <w:t>’</w:t>
      </w:r>
      <w:r w:rsidR="00110CD9" w:rsidRPr="00731644">
        <w:rPr>
          <w:lang w:val="fr-CH"/>
        </w:rPr>
        <w:t>engagera à mettre en place les services collectifs requis.</w:t>
      </w:r>
    </w:p>
    <w:p w:rsidR="00C776A4" w:rsidRPr="00731644" w:rsidRDefault="00F70015" w:rsidP="005E3AE0">
      <w:pPr>
        <w:pStyle w:val="SingleTxtG"/>
        <w:rPr>
          <w:lang w:val="fr-CH"/>
        </w:rPr>
      </w:pPr>
      <w:r w:rsidRPr="00731644">
        <w:rPr>
          <w:lang w:val="fr-CH"/>
        </w:rPr>
        <w:t>124.</w:t>
      </w:r>
      <w:r w:rsidRPr="00731644">
        <w:rPr>
          <w:lang w:val="fr-CH"/>
        </w:rPr>
        <w:tab/>
      </w:r>
      <w:r w:rsidR="00965A35" w:rsidRPr="00731644">
        <w:rPr>
          <w:lang w:val="fr-CH"/>
        </w:rPr>
        <w:t xml:space="preserve">Conformément aux activités envisagées dans le </w:t>
      </w:r>
      <w:r w:rsidR="0035108F" w:rsidRPr="00731644">
        <w:rPr>
          <w:bCs/>
          <w:lang w:val="fr-CH"/>
        </w:rPr>
        <w:t>Plan d</w:t>
      </w:r>
      <w:r w:rsidR="00425386" w:rsidRPr="00731644">
        <w:rPr>
          <w:bCs/>
          <w:lang w:val="fr-CH"/>
        </w:rPr>
        <w:t>’</w:t>
      </w:r>
      <w:r w:rsidR="0035108F" w:rsidRPr="00731644">
        <w:rPr>
          <w:bCs/>
          <w:lang w:val="fr-CH"/>
        </w:rPr>
        <w:t>action pour le suivi de l</w:t>
      </w:r>
      <w:r w:rsidR="00425386" w:rsidRPr="00731644">
        <w:rPr>
          <w:bCs/>
          <w:lang w:val="fr-CH"/>
        </w:rPr>
        <w:t>’</w:t>
      </w:r>
      <w:r w:rsidR="0035108F" w:rsidRPr="00731644">
        <w:rPr>
          <w:bCs/>
          <w:lang w:val="fr-CH"/>
        </w:rPr>
        <w:t>application des recommandations énoncées dans</w:t>
      </w:r>
      <w:r w:rsidR="00F31DD5" w:rsidRPr="00731644">
        <w:rPr>
          <w:bCs/>
          <w:lang w:val="fr-CH"/>
        </w:rPr>
        <w:t xml:space="preserve"> </w:t>
      </w:r>
      <w:r w:rsidR="0035108F" w:rsidRPr="00731644">
        <w:rPr>
          <w:bCs/>
          <w:lang w:val="fr-CH"/>
        </w:rPr>
        <w:t>l</w:t>
      </w:r>
      <w:r w:rsidR="00425386" w:rsidRPr="00731644">
        <w:rPr>
          <w:bCs/>
          <w:lang w:val="fr-CH"/>
        </w:rPr>
        <w:t>’</w:t>
      </w:r>
      <w:r w:rsidR="0035108F" w:rsidRPr="00731644">
        <w:rPr>
          <w:bCs/>
          <w:lang w:val="fr-CH"/>
        </w:rPr>
        <w:t>avis de la Commission européenne</w:t>
      </w:r>
      <w:r w:rsidR="00536B47" w:rsidRPr="00731644">
        <w:rPr>
          <w:bCs/>
          <w:lang w:val="fr-CH"/>
        </w:rPr>
        <w:t xml:space="preserve">, </w:t>
      </w:r>
      <w:r w:rsidR="00965A35" w:rsidRPr="00731644">
        <w:rPr>
          <w:bCs/>
          <w:lang w:val="fr-CH"/>
        </w:rPr>
        <w:t xml:space="preserve">une commission a été créée </w:t>
      </w:r>
      <w:r w:rsidR="00536B47" w:rsidRPr="00731644">
        <w:rPr>
          <w:bCs/>
          <w:lang w:val="fr-CH"/>
        </w:rPr>
        <w:t>afin de</w:t>
      </w:r>
      <w:r w:rsidR="00965A35" w:rsidRPr="00731644">
        <w:rPr>
          <w:bCs/>
          <w:lang w:val="fr-CH"/>
        </w:rPr>
        <w:t xml:space="preserve"> déterminer, sur la base d</w:t>
      </w:r>
      <w:r w:rsidR="00425386" w:rsidRPr="00731644">
        <w:rPr>
          <w:bCs/>
          <w:lang w:val="fr-CH"/>
        </w:rPr>
        <w:t>’</w:t>
      </w:r>
      <w:r w:rsidR="00965A35" w:rsidRPr="00731644">
        <w:rPr>
          <w:bCs/>
          <w:lang w:val="fr-CH"/>
        </w:rPr>
        <w:t>entretiens personnels,</w:t>
      </w:r>
      <w:r w:rsidR="00F31DD5" w:rsidRPr="00731644">
        <w:rPr>
          <w:bCs/>
          <w:lang w:val="fr-CH"/>
        </w:rPr>
        <w:t xml:space="preserve"> </w:t>
      </w:r>
      <w:r w:rsidR="00965A35" w:rsidRPr="00731644">
        <w:rPr>
          <w:bCs/>
          <w:lang w:val="fr-CH"/>
        </w:rPr>
        <w:t xml:space="preserve">le nombre exact </w:t>
      </w:r>
      <w:r w:rsidR="00B569C5" w:rsidRPr="00731644">
        <w:rPr>
          <w:bCs/>
          <w:lang w:val="fr-CH"/>
        </w:rPr>
        <w:t>des personnes</w:t>
      </w:r>
      <w:r w:rsidR="00965A35" w:rsidRPr="00731644">
        <w:rPr>
          <w:bCs/>
          <w:lang w:val="fr-CH"/>
        </w:rPr>
        <w:t xml:space="preserve"> déplacées dans leur propre pays </w:t>
      </w:r>
      <w:r w:rsidR="00536B47" w:rsidRPr="00731644">
        <w:rPr>
          <w:bCs/>
          <w:lang w:val="fr-CH"/>
        </w:rPr>
        <w:t>vivant dans les</w:t>
      </w:r>
      <w:r w:rsidR="00965A35" w:rsidRPr="00731644">
        <w:rPr>
          <w:bCs/>
          <w:lang w:val="fr-CH"/>
        </w:rPr>
        <w:t xml:space="preserve"> </w:t>
      </w:r>
      <w:r w:rsidR="00C776A4" w:rsidRPr="00731644">
        <w:rPr>
          <w:lang w:val="fr-CH"/>
        </w:rPr>
        <w:t xml:space="preserve">camps Konik I </w:t>
      </w:r>
      <w:r w:rsidR="00965A35" w:rsidRPr="00731644">
        <w:rPr>
          <w:lang w:val="fr-CH"/>
        </w:rPr>
        <w:t>et</w:t>
      </w:r>
      <w:r w:rsidR="00C776A4" w:rsidRPr="00731644">
        <w:rPr>
          <w:lang w:val="fr-CH"/>
        </w:rPr>
        <w:t xml:space="preserve"> II</w:t>
      </w:r>
      <w:r w:rsidR="00965A35" w:rsidRPr="00731644">
        <w:rPr>
          <w:lang w:val="fr-CH"/>
        </w:rPr>
        <w:t xml:space="preserve"> qui souhaitaient</w:t>
      </w:r>
      <w:r w:rsidR="00536B47" w:rsidRPr="00731644">
        <w:rPr>
          <w:lang w:val="fr-CH"/>
        </w:rPr>
        <w:t xml:space="preserve"> retourner dans leur pays d</w:t>
      </w:r>
      <w:r w:rsidR="00425386" w:rsidRPr="00731644">
        <w:rPr>
          <w:lang w:val="fr-CH"/>
        </w:rPr>
        <w:t>’</w:t>
      </w:r>
      <w:r w:rsidR="00536B47" w:rsidRPr="00731644">
        <w:rPr>
          <w:lang w:val="fr-CH"/>
        </w:rPr>
        <w:t>origine</w:t>
      </w:r>
      <w:r w:rsidR="00965A35" w:rsidRPr="00731644">
        <w:rPr>
          <w:lang w:val="fr-CH"/>
        </w:rPr>
        <w:t>. Formée de 12</w:t>
      </w:r>
      <w:r w:rsidR="00CB7658" w:rsidRPr="00731644">
        <w:rPr>
          <w:lang w:val="fr-CH"/>
        </w:rPr>
        <w:t> personnes</w:t>
      </w:r>
      <w:r w:rsidR="00965A35" w:rsidRPr="00731644">
        <w:rPr>
          <w:lang w:val="fr-CH"/>
        </w:rPr>
        <w:t xml:space="preserve"> </w:t>
      </w:r>
      <w:r w:rsidR="00C776A4" w:rsidRPr="00731644">
        <w:rPr>
          <w:lang w:val="fr-CH"/>
        </w:rPr>
        <w:t>(</w:t>
      </w:r>
      <w:r w:rsidR="00965A35" w:rsidRPr="00731644">
        <w:rPr>
          <w:lang w:val="fr-CH"/>
        </w:rPr>
        <w:t xml:space="preserve">deux </w:t>
      </w:r>
      <w:r w:rsidR="00536B47" w:rsidRPr="00731644">
        <w:rPr>
          <w:lang w:val="fr-CH"/>
        </w:rPr>
        <w:t>membr</w:t>
      </w:r>
      <w:r w:rsidR="00965A35" w:rsidRPr="00731644">
        <w:rPr>
          <w:lang w:val="fr-CH"/>
        </w:rPr>
        <w:t xml:space="preserve">es </w:t>
      </w:r>
      <w:r w:rsidR="00F20A96" w:rsidRPr="00731644">
        <w:rPr>
          <w:lang w:val="fr-CH"/>
        </w:rPr>
        <w:t xml:space="preserve">du personnel </w:t>
      </w:r>
      <w:r w:rsidR="00965A35" w:rsidRPr="00731644">
        <w:rPr>
          <w:lang w:val="fr-CH"/>
        </w:rPr>
        <w:t>de chacune des institutions suivantes</w:t>
      </w:r>
      <w:r w:rsidR="00F31DD5" w:rsidRPr="00731644">
        <w:rPr>
          <w:lang w:val="fr-CH"/>
        </w:rPr>
        <w:t>:</w:t>
      </w:r>
      <w:r w:rsidR="00965A35" w:rsidRPr="00731644">
        <w:rPr>
          <w:lang w:val="fr-CH"/>
        </w:rPr>
        <w:t xml:space="preserve"> le Ministère des affaires intérieures,</w:t>
      </w:r>
      <w:r w:rsidR="00536B47" w:rsidRPr="00731644">
        <w:rPr>
          <w:lang w:val="fr-CH"/>
        </w:rPr>
        <w:t xml:space="preserve"> </w:t>
      </w:r>
      <w:r w:rsidR="00965A35" w:rsidRPr="00731644">
        <w:rPr>
          <w:lang w:val="fr-CH"/>
        </w:rPr>
        <w:t>l</w:t>
      </w:r>
      <w:r w:rsidR="00425386" w:rsidRPr="00731644">
        <w:rPr>
          <w:lang w:val="fr-CH"/>
        </w:rPr>
        <w:t>’</w:t>
      </w:r>
      <w:r w:rsidR="00965A35" w:rsidRPr="00731644">
        <w:rPr>
          <w:lang w:val="fr-CH"/>
        </w:rPr>
        <w:t xml:space="preserve">Institut </w:t>
      </w:r>
      <w:r w:rsidR="00536B47" w:rsidRPr="00731644">
        <w:rPr>
          <w:lang w:val="fr-CH"/>
        </w:rPr>
        <w:t>d</w:t>
      </w:r>
      <w:r w:rsidR="00425386" w:rsidRPr="00731644">
        <w:rPr>
          <w:lang w:val="fr-CH"/>
        </w:rPr>
        <w:t>’</w:t>
      </w:r>
      <w:r w:rsidR="00536B47" w:rsidRPr="00731644">
        <w:rPr>
          <w:lang w:val="fr-CH"/>
        </w:rPr>
        <w:t>aide aux</w:t>
      </w:r>
      <w:r w:rsidR="00965A35" w:rsidRPr="00731644">
        <w:rPr>
          <w:lang w:val="fr-CH"/>
        </w:rPr>
        <w:t xml:space="preserve"> réfugiés, le Ministère du travail et de la prot</w:t>
      </w:r>
      <w:r w:rsidR="003B1113" w:rsidRPr="00731644">
        <w:rPr>
          <w:lang w:val="fr-CH"/>
        </w:rPr>
        <w:t>ection so</w:t>
      </w:r>
      <w:r w:rsidR="00F20A96" w:rsidRPr="00731644">
        <w:rPr>
          <w:lang w:val="fr-CH"/>
        </w:rPr>
        <w:t>c</w:t>
      </w:r>
      <w:r w:rsidR="003B1113" w:rsidRPr="00731644">
        <w:rPr>
          <w:lang w:val="fr-CH"/>
        </w:rPr>
        <w:t>iale,</w:t>
      </w:r>
      <w:r w:rsidR="00F31DD5" w:rsidRPr="00731644">
        <w:rPr>
          <w:lang w:val="fr-CH"/>
        </w:rPr>
        <w:t xml:space="preserve"> </w:t>
      </w:r>
      <w:r w:rsidR="003B1113" w:rsidRPr="00731644">
        <w:rPr>
          <w:lang w:val="fr-CH"/>
        </w:rPr>
        <w:t xml:space="preserve">la Croix-Rouge </w:t>
      </w:r>
      <w:r w:rsidR="00965A35" w:rsidRPr="00731644">
        <w:rPr>
          <w:lang w:val="fr-CH"/>
        </w:rPr>
        <w:t xml:space="preserve">du Monténégro, la </w:t>
      </w:r>
      <w:r w:rsidR="00536B47" w:rsidRPr="00731644">
        <w:rPr>
          <w:lang w:val="fr-CH"/>
        </w:rPr>
        <w:t>v</w:t>
      </w:r>
      <w:r w:rsidR="00965A35" w:rsidRPr="00731644">
        <w:rPr>
          <w:lang w:val="fr-CH"/>
        </w:rPr>
        <w:t>ille</w:t>
      </w:r>
      <w:r w:rsidR="00F31DD5" w:rsidRPr="00731644">
        <w:rPr>
          <w:lang w:val="fr-CH"/>
        </w:rPr>
        <w:t xml:space="preserve"> </w:t>
      </w:r>
      <w:r w:rsidR="00965A35" w:rsidRPr="00731644">
        <w:rPr>
          <w:lang w:val="fr-CH"/>
        </w:rPr>
        <w:t xml:space="preserve">de </w:t>
      </w:r>
      <w:r w:rsidR="00C776A4" w:rsidRPr="00731644">
        <w:rPr>
          <w:lang w:val="fr-CH"/>
        </w:rPr>
        <w:t xml:space="preserve">Podgorica </w:t>
      </w:r>
      <w:r w:rsidR="00965A35" w:rsidRPr="00731644">
        <w:rPr>
          <w:lang w:val="fr-CH"/>
        </w:rPr>
        <w:t xml:space="preserve">et le </w:t>
      </w:r>
      <w:r w:rsidR="00C776A4" w:rsidRPr="00731644">
        <w:rPr>
          <w:lang w:val="fr-CH"/>
        </w:rPr>
        <w:t xml:space="preserve">HCR), </w:t>
      </w:r>
      <w:r w:rsidR="00965A35" w:rsidRPr="00731644">
        <w:rPr>
          <w:lang w:val="fr-CH"/>
        </w:rPr>
        <w:t xml:space="preserve">la Commission </w:t>
      </w:r>
      <w:r w:rsidR="00E8566A" w:rsidRPr="00731644">
        <w:rPr>
          <w:lang w:val="fr-CH"/>
        </w:rPr>
        <w:t>s</w:t>
      </w:r>
      <w:r w:rsidR="00425386" w:rsidRPr="00731644">
        <w:rPr>
          <w:lang w:val="fr-CH"/>
        </w:rPr>
        <w:t>’</w:t>
      </w:r>
      <w:r w:rsidR="00E8566A" w:rsidRPr="00731644">
        <w:rPr>
          <w:lang w:val="fr-CH"/>
        </w:rPr>
        <w:t xml:space="preserve">est acquittée de sa mission entre le </w:t>
      </w:r>
      <w:r w:rsidR="00C776A4" w:rsidRPr="00731644">
        <w:rPr>
          <w:lang w:val="fr-CH"/>
        </w:rPr>
        <w:t xml:space="preserve">24 </w:t>
      </w:r>
      <w:r w:rsidR="00E8566A" w:rsidRPr="00731644">
        <w:rPr>
          <w:lang w:val="fr-CH"/>
        </w:rPr>
        <w:t>j</w:t>
      </w:r>
      <w:r w:rsidR="00F20A96" w:rsidRPr="00731644">
        <w:rPr>
          <w:lang w:val="fr-CH"/>
        </w:rPr>
        <w:t>a</w:t>
      </w:r>
      <w:r w:rsidR="00E8566A" w:rsidRPr="00731644">
        <w:rPr>
          <w:lang w:val="fr-CH"/>
        </w:rPr>
        <w:t>nvier</w:t>
      </w:r>
      <w:r w:rsidR="00C776A4" w:rsidRPr="00731644">
        <w:rPr>
          <w:lang w:val="fr-CH"/>
        </w:rPr>
        <w:t xml:space="preserve"> </w:t>
      </w:r>
      <w:r w:rsidR="00E8566A" w:rsidRPr="00731644">
        <w:rPr>
          <w:lang w:val="fr-CH"/>
        </w:rPr>
        <w:t xml:space="preserve">et le 10 février </w:t>
      </w:r>
      <w:r w:rsidR="00F20A96" w:rsidRPr="00731644">
        <w:rPr>
          <w:lang w:val="fr-CH"/>
        </w:rPr>
        <w:t>2011</w:t>
      </w:r>
      <w:r w:rsidR="00C776A4" w:rsidRPr="00731644">
        <w:rPr>
          <w:lang w:val="fr-CH"/>
        </w:rPr>
        <w:t xml:space="preserve">, </w:t>
      </w:r>
      <w:r w:rsidR="00E8566A" w:rsidRPr="00731644">
        <w:rPr>
          <w:lang w:val="fr-CH"/>
        </w:rPr>
        <w:t xml:space="preserve">et a rendu un rapport </w:t>
      </w:r>
      <w:r w:rsidR="00F20A96" w:rsidRPr="00731644">
        <w:rPr>
          <w:lang w:val="fr-CH"/>
        </w:rPr>
        <w:t>où elle</w:t>
      </w:r>
      <w:r w:rsidR="00F31DD5" w:rsidRPr="00731644">
        <w:rPr>
          <w:lang w:val="fr-CH"/>
        </w:rPr>
        <w:t xml:space="preserve"> </w:t>
      </w:r>
      <w:r w:rsidR="00F20A96" w:rsidRPr="00731644">
        <w:rPr>
          <w:lang w:val="fr-CH"/>
        </w:rPr>
        <w:t>indiquait que</w:t>
      </w:r>
      <w:r w:rsidR="00E8566A" w:rsidRPr="00731644">
        <w:rPr>
          <w:lang w:val="fr-CH"/>
        </w:rPr>
        <w:t xml:space="preserve"> 16 familles </w:t>
      </w:r>
      <w:r w:rsidR="00F20A96" w:rsidRPr="00731644">
        <w:rPr>
          <w:lang w:val="fr-CH"/>
        </w:rPr>
        <w:t>(soit</w:t>
      </w:r>
      <w:r w:rsidR="00E8566A" w:rsidRPr="00731644">
        <w:rPr>
          <w:lang w:val="fr-CH"/>
        </w:rPr>
        <w:t xml:space="preserve"> 83</w:t>
      </w:r>
      <w:r w:rsidR="00CB7658" w:rsidRPr="00731644">
        <w:rPr>
          <w:lang w:val="fr-CH"/>
        </w:rPr>
        <w:t> personnes</w:t>
      </w:r>
      <w:r w:rsidR="00F20A96" w:rsidRPr="00731644">
        <w:rPr>
          <w:lang w:val="fr-CH"/>
        </w:rPr>
        <w:t>)</w:t>
      </w:r>
      <w:r w:rsidR="00E8566A" w:rsidRPr="00731644">
        <w:rPr>
          <w:lang w:val="fr-CH"/>
        </w:rPr>
        <w:t xml:space="preserve"> avaient déclaré vouloir retourner au Kosovo. </w:t>
      </w:r>
    </w:p>
    <w:p w:rsidR="00C776A4" w:rsidRPr="00731644" w:rsidRDefault="00F70015" w:rsidP="00AC3225">
      <w:pPr>
        <w:pStyle w:val="SingleTxtG"/>
        <w:rPr>
          <w:lang w:val="fr-CH"/>
        </w:rPr>
      </w:pPr>
      <w:r w:rsidRPr="00731644">
        <w:rPr>
          <w:lang w:val="fr-CH"/>
        </w:rPr>
        <w:t>125.</w:t>
      </w:r>
      <w:r w:rsidRPr="00731644">
        <w:rPr>
          <w:lang w:val="fr-CH"/>
        </w:rPr>
        <w:tab/>
      </w:r>
      <w:r w:rsidR="00E8566A" w:rsidRPr="00731644">
        <w:rPr>
          <w:lang w:val="fr-CH"/>
        </w:rPr>
        <w:t>L</w:t>
      </w:r>
      <w:r w:rsidR="00425386" w:rsidRPr="00731644">
        <w:rPr>
          <w:lang w:val="fr-CH"/>
        </w:rPr>
        <w:t>’</w:t>
      </w:r>
      <w:r w:rsidR="00E8566A" w:rsidRPr="00731644">
        <w:rPr>
          <w:lang w:val="fr-CH"/>
        </w:rPr>
        <w:t>une des activités prévues dans le Plan d</w:t>
      </w:r>
      <w:r w:rsidR="00425386" w:rsidRPr="00731644">
        <w:rPr>
          <w:lang w:val="fr-CH"/>
        </w:rPr>
        <w:t>’</w:t>
      </w:r>
      <w:r w:rsidR="00E8566A" w:rsidRPr="00731644">
        <w:rPr>
          <w:lang w:val="fr-CH"/>
        </w:rPr>
        <w:t xml:space="preserve">action était un recensement précis </w:t>
      </w:r>
      <w:r w:rsidR="00B569C5" w:rsidRPr="00731644">
        <w:rPr>
          <w:lang w:val="fr-CH"/>
        </w:rPr>
        <w:t>des personnes</w:t>
      </w:r>
      <w:r w:rsidR="00E8566A" w:rsidRPr="00731644">
        <w:rPr>
          <w:lang w:val="fr-CH"/>
        </w:rPr>
        <w:t xml:space="preserve"> déplacées dans leur propre pays qui n</w:t>
      </w:r>
      <w:r w:rsidR="00425386" w:rsidRPr="00731644">
        <w:rPr>
          <w:lang w:val="fr-CH"/>
        </w:rPr>
        <w:t>’</w:t>
      </w:r>
      <w:r w:rsidR="00E8566A" w:rsidRPr="00731644">
        <w:rPr>
          <w:lang w:val="fr-CH"/>
        </w:rPr>
        <w:t>avaient pas de papiers permettant de régulariser leur situation ou qui n</w:t>
      </w:r>
      <w:r w:rsidR="00425386" w:rsidRPr="00731644">
        <w:rPr>
          <w:lang w:val="fr-CH"/>
        </w:rPr>
        <w:t>’</w:t>
      </w:r>
      <w:r w:rsidR="00E8566A" w:rsidRPr="00731644">
        <w:rPr>
          <w:lang w:val="fr-CH"/>
        </w:rPr>
        <w:t xml:space="preserve">étaient pas inscrites </w:t>
      </w:r>
      <w:r w:rsidR="005822FF" w:rsidRPr="00731644">
        <w:rPr>
          <w:lang w:val="fr-CH"/>
        </w:rPr>
        <w:t>sur</w:t>
      </w:r>
      <w:r w:rsidR="00E8566A" w:rsidRPr="00731644">
        <w:rPr>
          <w:lang w:val="fr-CH"/>
        </w:rPr>
        <w:t xml:space="preserve"> les registres </w:t>
      </w:r>
      <w:r w:rsidR="00D020D3" w:rsidRPr="00731644">
        <w:rPr>
          <w:lang w:val="fr-CH"/>
        </w:rPr>
        <w:t>de l</w:t>
      </w:r>
      <w:r w:rsidR="00425386" w:rsidRPr="00731644">
        <w:rPr>
          <w:lang w:val="fr-CH"/>
        </w:rPr>
        <w:t>’</w:t>
      </w:r>
      <w:r w:rsidR="00E8566A" w:rsidRPr="00731644">
        <w:rPr>
          <w:lang w:val="fr-CH"/>
        </w:rPr>
        <w:t>état civil (registres des naissances)</w:t>
      </w:r>
      <w:r w:rsidR="005822FF" w:rsidRPr="00731644">
        <w:rPr>
          <w:lang w:val="fr-CH"/>
        </w:rPr>
        <w:t>,</w:t>
      </w:r>
      <w:r w:rsidR="00E8566A" w:rsidRPr="00731644">
        <w:rPr>
          <w:lang w:val="fr-CH"/>
        </w:rPr>
        <w:t xml:space="preserve"> et </w:t>
      </w:r>
      <w:r w:rsidR="00B569C5" w:rsidRPr="00731644">
        <w:rPr>
          <w:lang w:val="fr-CH"/>
        </w:rPr>
        <w:t>des personnes</w:t>
      </w:r>
      <w:r w:rsidR="00E8566A" w:rsidRPr="00731644">
        <w:rPr>
          <w:lang w:val="fr-CH"/>
        </w:rPr>
        <w:t xml:space="preserve"> </w:t>
      </w:r>
      <w:r w:rsidR="005822FF" w:rsidRPr="00731644">
        <w:rPr>
          <w:lang w:val="fr-CH"/>
        </w:rPr>
        <w:t>qui n</w:t>
      </w:r>
      <w:r w:rsidR="00425386" w:rsidRPr="00731644">
        <w:rPr>
          <w:lang w:val="fr-CH"/>
        </w:rPr>
        <w:t>’</w:t>
      </w:r>
      <w:r w:rsidR="005822FF" w:rsidRPr="00731644">
        <w:rPr>
          <w:lang w:val="fr-CH"/>
        </w:rPr>
        <w:t>avaient</w:t>
      </w:r>
      <w:r w:rsidR="00E8566A" w:rsidRPr="00731644">
        <w:rPr>
          <w:lang w:val="fr-CH"/>
        </w:rPr>
        <w:t xml:space="preserve"> pas le statut </w:t>
      </w:r>
      <w:r w:rsidR="00B569C5" w:rsidRPr="00731644">
        <w:rPr>
          <w:lang w:val="fr-CH"/>
        </w:rPr>
        <w:t>de personnes</w:t>
      </w:r>
      <w:r w:rsidR="00E8566A" w:rsidRPr="00731644">
        <w:rPr>
          <w:lang w:val="fr-CH"/>
        </w:rPr>
        <w:t xml:space="preserve"> déplacées dans leur propre pays. </w:t>
      </w:r>
    </w:p>
    <w:p w:rsidR="00C776A4" w:rsidRPr="00731644" w:rsidRDefault="00F70015" w:rsidP="00C776A4">
      <w:pPr>
        <w:pStyle w:val="SingleTxtG"/>
        <w:rPr>
          <w:iCs/>
          <w:lang w:val="fr-CH"/>
        </w:rPr>
      </w:pPr>
      <w:r w:rsidRPr="00731644">
        <w:rPr>
          <w:lang w:val="fr-CH"/>
        </w:rPr>
        <w:t>126.</w:t>
      </w:r>
      <w:r w:rsidRPr="00731644">
        <w:rPr>
          <w:lang w:val="fr-CH"/>
        </w:rPr>
        <w:tab/>
      </w:r>
      <w:r w:rsidR="003F56F6" w:rsidRPr="00731644">
        <w:rPr>
          <w:lang w:val="fr-CH"/>
        </w:rPr>
        <w:t>U</w:t>
      </w:r>
      <w:r w:rsidR="00E8566A" w:rsidRPr="00731644">
        <w:rPr>
          <w:lang w:val="fr-CH"/>
        </w:rPr>
        <w:t xml:space="preserve">n groupe de travail </w:t>
      </w:r>
      <w:r w:rsidR="003F3A43" w:rsidRPr="00731644">
        <w:rPr>
          <w:lang w:val="fr-CH"/>
        </w:rPr>
        <w:t>constitu</w:t>
      </w:r>
      <w:r w:rsidR="00E8566A" w:rsidRPr="00731644">
        <w:rPr>
          <w:lang w:val="fr-CH"/>
        </w:rPr>
        <w:t>é de représentants des services compétents de l</w:t>
      </w:r>
      <w:r w:rsidR="00425386" w:rsidRPr="00731644">
        <w:rPr>
          <w:lang w:val="fr-CH"/>
        </w:rPr>
        <w:t>’</w:t>
      </w:r>
      <w:r w:rsidR="00E8566A" w:rsidRPr="00731644">
        <w:rPr>
          <w:lang w:val="fr-CH"/>
        </w:rPr>
        <w:t xml:space="preserve">administration </w:t>
      </w:r>
      <w:r w:rsidR="00CA590D" w:rsidRPr="00731644">
        <w:rPr>
          <w:lang w:val="fr-CH"/>
        </w:rPr>
        <w:t>nation</w:t>
      </w:r>
      <w:r w:rsidR="00E8566A" w:rsidRPr="00731644">
        <w:rPr>
          <w:lang w:val="fr-CH"/>
        </w:rPr>
        <w:t xml:space="preserve">ale a été charge de </w:t>
      </w:r>
      <w:r w:rsidR="00D66D7F" w:rsidRPr="00731644">
        <w:rPr>
          <w:lang w:val="fr-CH"/>
        </w:rPr>
        <w:t>rassembler des données</w:t>
      </w:r>
      <w:r w:rsidR="00E8566A" w:rsidRPr="00731644">
        <w:rPr>
          <w:lang w:val="fr-CH"/>
        </w:rPr>
        <w:t xml:space="preserve"> précise</w:t>
      </w:r>
      <w:r w:rsidR="00D66D7F" w:rsidRPr="00731644">
        <w:rPr>
          <w:lang w:val="fr-CH"/>
        </w:rPr>
        <w:t>s au sujet</w:t>
      </w:r>
      <w:r w:rsidR="00E8566A" w:rsidRPr="00731644">
        <w:rPr>
          <w:lang w:val="fr-CH"/>
        </w:rPr>
        <w:t xml:space="preserve"> </w:t>
      </w:r>
      <w:r w:rsidR="00B569C5" w:rsidRPr="00731644">
        <w:rPr>
          <w:lang w:val="fr-CH"/>
        </w:rPr>
        <w:t>des personnes</w:t>
      </w:r>
      <w:r w:rsidR="00D66D7F" w:rsidRPr="00731644">
        <w:rPr>
          <w:lang w:val="fr-CH"/>
        </w:rPr>
        <w:t xml:space="preserve"> déplacées dans leur propre pays qui vivaient dans les camps</w:t>
      </w:r>
      <w:r w:rsidR="00E8566A" w:rsidRPr="00731644">
        <w:rPr>
          <w:lang w:val="fr-CH"/>
        </w:rPr>
        <w:t xml:space="preserve"> </w:t>
      </w:r>
      <w:r w:rsidR="00C776A4" w:rsidRPr="00731644">
        <w:rPr>
          <w:lang w:val="fr-CH"/>
        </w:rPr>
        <w:t xml:space="preserve">Konik I </w:t>
      </w:r>
      <w:r w:rsidR="00D66D7F" w:rsidRPr="00731644">
        <w:rPr>
          <w:lang w:val="fr-CH"/>
        </w:rPr>
        <w:t>et</w:t>
      </w:r>
      <w:r w:rsidR="00C776A4" w:rsidRPr="00731644">
        <w:rPr>
          <w:lang w:val="fr-CH"/>
        </w:rPr>
        <w:t xml:space="preserve"> II</w:t>
      </w:r>
      <w:r w:rsidR="00D66D7F" w:rsidRPr="00731644">
        <w:rPr>
          <w:lang w:val="fr-CH"/>
        </w:rPr>
        <w:t>, et </w:t>
      </w:r>
      <w:r w:rsidR="005822FF" w:rsidRPr="00731644">
        <w:rPr>
          <w:lang w:val="fr-CH"/>
        </w:rPr>
        <w:t>qui</w:t>
      </w:r>
      <w:r w:rsidR="00F31DD5" w:rsidRPr="00731644">
        <w:rPr>
          <w:lang w:val="fr-CH"/>
        </w:rPr>
        <w:t xml:space="preserve"> </w:t>
      </w:r>
      <w:r w:rsidR="00D66D7F" w:rsidRPr="00731644">
        <w:rPr>
          <w:lang w:val="fr-CH"/>
        </w:rPr>
        <w:t>ne possédaient pas les papiers nécessaires à la régularisation de leur nouvelle situation</w:t>
      </w:r>
      <w:r w:rsidR="005822FF" w:rsidRPr="00731644">
        <w:rPr>
          <w:lang w:val="fr-CH"/>
        </w:rPr>
        <w:t xml:space="preserve"> ou</w:t>
      </w:r>
      <w:r w:rsidR="00D66D7F" w:rsidRPr="00731644">
        <w:rPr>
          <w:lang w:val="fr-CH"/>
        </w:rPr>
        <w:t xml:space="preserve"> </w:t>
      </w:r>
      <w:r w:rsidR="005822FF" w:rsidRPr="00731644">
        <w:rPr>
          <w:lang w:val="fr-CH"/>
        </w:rPr>
        <w:t>qui</w:t>
      </w:r>
      <w:r w:rsidR="00D66D7F" w:rsidRPr="00731644">
        <w:rPr>
          <w:lang w:val="fr-CH"/>
        </w:rPr>
        <w:t xml:space="preserve"> n</w:t>
      </w:r>
      <w:r w:rsidR="00425386" w:rsidRPr="00731644">
        <w:rPr>
          <w:lang w:val="fr-CH"/>
        </w:rPr>
        <w:t>’</w:t>
      </w:r>
      <w:r w:rsidR="00D66D7F" w:rsidRPr="00731644">
        <w:rPr>
          <w:lang w:val="fr-CH"/>
        </w:rPr>
        <w:t>étaient pas inscrites sur les registres d</w:t>
      </w:r>
      <w:r w:rsidR="00425386" w:rsidRPr="00731644">
        <w:rPr>
          <w:lang w:val="fr-CH"/>
        </w:rPr>
        <w:t>’</w:t>
      </w:r>
      <w:r w:rsidR="00D66D7F" w:rsidRPr="00731644">
        <w:rPr>
          <w:lang w:val="fr-CH"/>
        </w:rPr>
        <w:t>état civil (registres des naissances).</w:t>
      </w:r>
      <w:r w:rsidR="00F31DD5" w:rsidRPr="00731644">
        <w:rPr>
          <w:lang w:val="fr-CH"/>
        </w:rPr>
        <w:t xml:space="preserve"> </w:t>
      </w:r>
      <w:r w:rsidR="00D66D7F" w:rsidRPr="00731644">
        <w:rPr>
          <w:lang w:val="fr-CH"/>
        </w:rPr>
        <w:t>Le groupe de travail a terminé son enquête et rédige actuellement son rapport. Il conviendra ensuite de déterminer les modalités de l</w:t>
      </w:r>
      <w:r w:rsidR="00425386" w:rsidRPr="00731644">
        <w:rPr>
          <w:lang w:val="fr-CH"/>
        </w:rPr>
        <w:t>’</w:t>
      </w:r>
      <w:r w:rsidR="00D66D7F" w:rsidRPr="00731644">
        <w:rPr>
          <w:lang w:val="fr-CH"/>
        </w:rPr>
        <w:t xml:space="preserve">aide à </w:t>
      </w:r>
      <w:r w:rsidR="00A66512" w:rsidRPr="00731644">
        <w:rPr>
          <w:lang w:val="fr-CH"/>
        </w:rPr>
        <w:t>apporter</w:t>
      </w:r>
      <w:r w:rsidR="00D66D7F" w:rsidRPr="00731644">
        <w:rPr>
          <w:lang w:val="fr-CH"/>
        </w:rPr>
        <w:t xml:space="preserve"> </w:t>
      </w:r>
      <w:r w:rsidR="005822FF" w:rsidRPr="00731644">
        <w:rPr>
          <w:lang w:val="fr-CH"/>
        </w:rPr>
        <w:t xml:space="preserve">à </w:t>
      </w:r>
      <w:r w:rsidR="00B569C5" w:rsidRPr="00731644">
        <w:rPr>
          <w:lang w:val="fr-CH"/>
        </w:rPr>
        <w:t>ces personnes</w:t>
      </w:r>
      <w:r w:rsidR="00D66D7F" w:rsidRPr="00731644">
        <w:rPr>
          <w:lang w:val="fr-CH"/>
        </w:rPr>
        <w:t xml:space="preserve"> pour qu</w:t>
      </w:r>
      <w:r w:rsidR="00425386" w:rsidRPr="00731644">
        <w:rPr>
          <w:lang w:val="fr-CH"/>
        </w:rPr>
        <w:t>’</w:t>
      </w:r>
      <w:r w:rsidR="00D66D7F" w:rsidRPr="00731644">
        <w:rPr>
          <w:lang w:val="fr-CH"/>
        </w:rPr>
        <w:t>elles puissent obtenir de leur pays d</w:t>
      </w:r>
      <w:r w:rsidR="00425386" w:rsidRPr="00731644">
        <w:rPr>
          <w:lang w:val="fr-CH"/>
        </w:rPr>
        <w:t>’</w:t>
      </w:r>
      <w:r w:rsidR="00D66D7F" w:rsidRPr="00731644">
        <w:rPr>
          <w:lang w:val="fr-CH"/>
        </w:rPr>
        <w:t>origine les documents nécessaires à l</w:t>
      </w:r>
      <w:r w:rsidR="00425386" w:rsidRPr="00731644">
        <w:rPr>
          <w:lang w:val="fr-CH"/>
        </w:rPr>
        <w:t>’</w:t>
      </w:r>
      <w:r w:rsidR="005822FF" w:rsidRPr="00731644">
        <w:rPr>
          <w:lang w:val="fr-CH"/>
        </w:rPr>
        <w:t>acquisition</w:t>
      </w:r>
      <w:r w:rsidR="00D66D7F" w:rsidRPr="00731644">
        <w:rPr>
          <w:lang w:val="fr-CH"/>
        </w:rPr>
        <w:t xml:space="preserve"> du statut d</w:t>
      </w:r>
      <w:r w:rsidR="00425386" w:rsidRPr="00731644">
        <w:rPr>
          <w:lang w:val="fr-CH"/>
        </w:rPr>
        <w:t>’</w:t>
      </w:r>
      <w:r w:rsidR="00D66D7F" w:rsidRPr="00731644">
        <w:rPr>
          <w:lang w:val="fr-CH"/>
        </w:rPr>
        <w:t>étranger résident permanent au Monténégro. Dans une lettre adressée au Ministre des affaires intérieures de la République du Kosovo, les autorités ont sugg</w:t>
      </w:r>
      <w:r w:rsidR="0075637B" w:rsidRPr="00731644">
        <w:rPr>
          <w:lang w:val="fr-CH"/>
        </w:rPr>
        <w:t>éré que soient engagé</w:t>
      </w:r>
      <w:r w:rsidR="00D66D7F" w:rsidRPr="00731644">
        <w:rPr>
          <w:lang w:val="fr-CH"/>
        </w:rPr>
        <w:t xml:space="preserve">s dès que possible </w:t>
      </w:r>
      <w:r w:rsidR="0075637B" w:rsidRPr="00731644">
        <w:rPr>
          <w:lang w:val="fr-CH"/>
        </w:rPr>
        <w:t>d</w:t>
      </w:r>
      <w:r w:rsidR="00D66D7F" w:rsidRPr="00731644">
        <w:rPr>
          <w:lang w:val="fr-CH"/>
        </w:rPr>
        <w:t>es pourparlers en vue de la conclusion</w:t>
      </w:r>
      <w:r w:rsidR="003F56F6" w:rsidRPr="00731644">
        <w:rPr>
          <w:lang w:val="fr-CH"/>
        </w:rPr>
        <w:t>,</w:t>
      </w:r>
      <w:r w:rsidR="00C776A4" w:rsidRPr="00731644">
        <w:rPr>
          <w:lang w:val="fr-CH"/>
        </w:rPr>
        <w:t xml:space="preserve"> </w:t>
      </w:r>
      <w:r w:rsidR="00D66D7F" w:rsidRPr="00731644">
        <w:rPr>
          <w:lang w:val="fr-CH"/>
        </w:rPr>
        <w:t xml:space="preserve">entre le Gouvernement du Monténégro et </w:t>
      </w:r>
      <w:r w:rsidR="005822FF" w:rsidRPr="00731644">
        <w:rPr>
          <w:lang w:val="fr-CH"/>
        </w:rPr>
        <w:t>celui</w:t>
      </w:r>
      <w:r w:rsidR="00D66D7F" w:rsidRPr="00731644">
        <w:rPr>
          <w:lang w:val="fr-CH"/>
        </w:rPr>
        <w:t xml:space="preserve"> de la République du </w:t>
      </w:r>
      <w:r w:rsidR="00A66512" w:rsidRPr="00731644">
        <w:rPr>
          <w:lang w:val="fr-CH"/>
        </w:rPr>
        <w:t>Kosovo</w:t>
      </w:r>
      <w:r w:rsidR="003F56F6" w:rsidRPr="00731644">
        <w:rPr>
          <w:lang w:val="fr-CH"/>
        </w:rPr>
        <w:t>, d</w:t>
      </w:r>
      <w:r w:rsidR="00425386" w:rsidRPr="00731644">
        <w:rPr>
          <w:lang w:val="fr-CH"/>
        </w:rPr>
        <w:t>’</w:t>
      </w:r>
      <w:r w:rsidR="003F56F6" w:rsidRPr="00731644">
        <w:rPr>
          <w:lang w:val="fr-CH"/>
        </w:rPr>
        <w:t xml:space="preserve">un accord </w:t>
      </w:r>
      <w:r w:rsidR="00D020D3" w:rsidRPr="00731644">
        <w:rPr>
          <w:lang w:val="fr-CH"/>
        </w:rPr>
        <w:t>relatif à</w:t>
      </w:r>
      <w:r w:rsidR="003F56F6" w:rsidRPr="00731644">
        <w:rPr>
          <w:lang w:val="fr-CH"/>
        </w:rPr>
        <w:t xml:space="preserve"> l</w:t>
      </w:r>
      <w:r w:rsidR="00425386" w:rsidRPr="00731644">
        <w:rPr>
          <w:lang w:val="fr-CH"/>
        </w:rPr>
        <w:t>’</w:t>
      </w:r>
      <w:r w:rsidR="003F56F6" w:rsidRPr="00731644">
        <w:rPr>
          <w:lang w:val="fr-CH"/>
        </w:rPr>
        <w:t xml:space="preserve">inscription </w:t>
      </w:r>
      <w:r w:rsidR="00D020D3" w:rsidRPr="00731644">
        <w:rPr>
          <w:lang w:val="fr-CH"/>
        </w:rPr>
        <w:t xml:space="preserve">à postériori </w:t>
      </w:r>
      <w:r w:rsidR="00B569C5" w:rsidRPr="00731644">
        <w:rPr>
          <w:lang w:val="fr-CH"/>
        </w:rPr>
        <w:t>des personnes</w:t>
      </w:r>
      <w:r w:rsidR="003F56F6" w:rsidRPr="00731644">
        <w:rPr>
          <w:lang w:val="fr-CH"/>
        </w:rPr>
        <w:t xml:space="preserve"> du Kosovo déplacées dans leur propre pays </w:t>
      </w:r>
      <w:r w:rsidR="00D020D3" w:rsidRPr="00731644">
        <w:rPr>
          <w:lang w:val="fr-CH"/>
        </w:rPr>
        <w:t>qui</w:t>
      </w:r>
      <w:r w:rsidR="003F56F6" w:rsidRPr="00731644">
        <w:rPr>
          <w:lang w:val="fr-CH"/>
        </w:rPr>
        <w:t xml:space="preserve"> résid</w:t>
      </w:r>
      <w:r w:rsidR="00D020D3" w:rsidRPr="00731644">
        <w:rPr>
          <w:lang w:val="fr-CH"/>
        </w:rPr>
        <w:t>e</w:t>
      </w:r>
      <w:r w:rsidR="003F56F6" w:rsidRPr="00731644">
        <w:rPr>
          <w:lang w:val="fr-CH"/>
        </w:rPr>
        <w:t xml:space="preserve">nt au Monténégro </w:t>
      </w:r>
      <w:r w:rsidR="00D020D3" w:rsidRPr="00731644">
        <w:rPr>
          <w:lang w:val="fr-CH"/>
        </w:rPr>
        <w:t>sur</w:t>
      </w:r>
      <w:r w:rsidR="003F56F6" w:rsidRPr="00731644">
        <w:rPr>
          <w:lang w:val="fr-CH"/>
        </w:rPr>
        <w:t xml:space="preserve"> les registres de l</w:t>
      </w:r>
      <w:r w:rsidR="00425386" w:rsidRPr="00731644">
        <w:rPr>
          <w:lang w:val="fr-CH"/>
        </w:rPr>
        <w:t>’</w:t>
      </w:r>
      <w:r w:rsidR="003F56F6" w:rsidRPr="00731644">
        <w:rPr>
          <w:lang w:val="fr-CH"/>
        </w:rPr>
        <w:t xml:space="preserve">état civil (registres des naissances) et le registre des citoyens de la République du </w:t>
      </w:r>
      <w:r w:rsidR="00A66512" w:rsidRPr="00731644">
        <w:rPr>
          <w:lang w:val="fr-CH"/>
        </w:rPr>
        <w:t>Kosovo</w:t>
      </w:r>
      <w:r w:rsidR="003F56F6" w:rsidRPr="00731644">
        <w:rPr>
          <w:lang w:val="fr-CH"/>
        </w:rPr>
        <w:t>.</w:t>
      </w:r>
    </w:p>
    <w:p w:rsidR="00C776A4" w:rsidRPr="00731644" w:rsidRDefault="00F70015" w:rsidP="00930EDD">
      <w:pPr>
        <w:pStyle w:val="SingleTxtG"/>
        <w:rPr>
          <w:lang w:val="fr-CH"/>
        </w:rPr>
      </w:pPr>
      <w:r w:rsidRPr="00731644">
        <w:rPr>
          <w:lang w:val="fr-CH"/>
        </w:rPr>
        <w:t>127.</w:t>
      </w:r>
      <w:r w:rsidRPr="00731644">
        <w:rPr>
          <w:lang w:val="fr-CH"/>
        </w:rPr>
        <w:tab/>
      </w:r>
      <w:r w:rsidR="00D020D3" w:rsidRPr="00731644">
        <w:rPr>
          <w:lang w:val="fr-CH"/>
        </w:rPr>
        <w:t>D</w:t>
      </w:r>
      <w:r w:rsidR="003F56F6" w:rsidRPr="00731644">
        <w:rPr>
          <w:lang w:val="fr-CH"/>
        </w:rPr>
        <w:t xml:space="preserve">e plus, une équipe spéciale a été </w:t>
      </w:r>
      <w:r w:rsidR="00D020D3" w:rsidRPr="00731644">
        <w:rPr>
          <w:lang w:val="fr-CH"/>
        </w:rPr>
        <w:t>c</w:t>
      </w:r>
      <w:r w:rsidR="003F56F6" w:rsidRPr="00731644">
        <w:rPr>
          <w:lang w:val="fr-CH"/>
        </w:rPr>
        <w:t>hargée d</w:t>
      </w:r>
      <w:r w:rsidR="00425386" w:rsidRPr="00731644">
        <w:rPr>
          <w:lang w:val="fr-CH"/>
        </w:rPr>
        <w:t>’</w:t>
      </w:r>
      <w:r w:rsidR="003F56F6" w:rsidRPr="00731644">
        <w:rPr>
          <w:lang w:val="fr-CH"/>
        </w:rPr>
        <w:t>organise</w:t>
      </w:r>
      <w:r w:rsidR="00D020D3" w:rsidRPr="00731644">
        <w:rPr>
          <w:lang w:val="fr-CH"/>
        </w:rPr>
        <w:t>r</w:t>
      </w:r>
      <w:r w:rsidR="003F56F6" w:rsidRPr="00731644">
        <w:rPr>
          <w:lang w:val="fr-CH"/>
        </w:rPr>
        <w:t xml:space="preserve"> des</w:t>
      </w:r>
      <w:r w:rsidR="00D020D3" w:rsidRPr="00731644">
        <w:rPr>
          <w:lang w:val="fr-CH"/>
        </w:rPr>
        <w:t xml:space="preserve"> </w:t>
      </w:r>
      <w:r w:rsidR="003F56F6" w:rsidRPr="00731644">
        <w:rPr>
          <w:lang w:val="fr-CH"/>
        </w:rPr>
        <w:t>campagnes d</w:t>
      </w:r>
      <w:r w:rsidR="00425386" w:rsidRPr="00731644">
        <w:rPr>
          <w:lang w:val="fr-CH"/>
        </w:rPr>
        <w:t>’</w:t>
      </w:r>
      <w:r w:rsidR="003F56F6" w:rsidRPr="00731644">
        <w:rPr>
          <w:lang w:val="fr-CH"/>
        </w:rPr>
        <w:t xml:space="preserve">information </w:t>
      </w:r>
      <w:r w:rsidR="00D020D3" w:rsidRPr="00731644">
        <w:rPr>
          <w:lang w:val="fr-CH"/>
        </w:rPr>
        <w:t xml:space="preserve">pour inciter </w:t>
      </w:r>
      <w:r w:rsidR="00CB7658" w:rsidRPr="00731644">
        <w:rPr>
          <w:lang w:val="fr-CH"/>
        </w:rPr>
        <w:t>les personnes</w:t>
      </w:r>
      <w:r w:rsidR="00D020D3" w:rsidRPr="00731644">
        <w:rPr>
          <w:lang w:val="fr-CH"/>
        </w:rPr>
        <w:t xml:space="preserve"> concernées à</w:t>
      </w:r>
      <w:r w:rsidR="003F56F6" w:rsidRPr="00731644">
        <w:rPr>
          <w:lang w:val="fr-CH"/>
        </w:rPr>
        <w:t xml:space="preserve"> demander le statut d</w:t>
      </w:r>
      <w:r w:rsidR="00425386" w:rsidRPr="00731644">
        <w:rPr>
          <w:lang w:val="fr-CH"/>
        </w:rPr>
        <w:t>’</w:t>
      </w:r>
      <w:r w:rsidR="003F56F6" w:rsidRPr="00731644">
        <w:rPr>
          <w:lang w:val="fr-CH"/>
        </w:rPr>
        <w:t>étranger résident permanent ou résident temporaire</w:t>
      </w:r>
      <w:r w:rsidR="00F31DD5" w:rsidRPr="00731644">
        <w:rPr>
          <w:lang w:val="fr-CH"/>
        </w:rPr>
        <w:t>;</w:t>
      </w:r>
      <w:r w:rsidR="003F56F6" w:rsidRPr="00731644">
        <w:rPr>
          <w:lang w:val="fr-CH"/>
        </w:rPr>
        <w:t xml:space="preserve"> en coopération avec le HCR et l</w:t>
      </w:r>
      <w:r w:rsidR="00425386" w:rsidRPr="00731644">
        <w:rPr>
          <w:lang w:val="fr-CH"/>
        </w:rPr>
        <w:t>’</w:t>
      </w:r>
      <w:r w:rsidR="00D020D3" w:rsidRPr="00731644">
        <w:rPr>
          <w:lang w:val="fr-CH"/>
        </w:rPr>
        <w:t>Organisation pour la sécurité et la coopération en Europe (</w:t>
      </w:r>
      <w:r w:rsidR="00C776A4" w:rsidRPr="00731644">
        <w:rPr>
          <w:lang w:val="fr-CH"/>
        </w:rPr>
        <w:t>OSCE</w:t>
      </w:r>
      <w:r w:rsidR="00D020D3" w:rsidRPr="00731644">
        <w:rPr>
          <w:lang w:val="fr-CH"/>
        </w:rPr>
        <w:t>)</w:t>
      </w:r>
      <w:r w:rsidR="00C776A4" w:rsidRPr="00731644">
        <w:rPr>
          <w:lang w:val="fr-CH"/>
        </w:rPr>
        <w:t xml:space="preserve">, </w:t>
      </w:r>
      <w:r w:rsidR="003F56F6" w:rsidRPr="00731644">
        <w:rPr>
          <w:lang w:val="fr-CH"/>
        </w:rPr>
        <w:t>elle a défini plusieurs mod</w:t>
      </w:r>
      <w:r w:rsidR="00D020D3" w:rsidRPr="00731644">
        <w:rPr>
          <w:lang w:val="fr-CH"/>
        </w:rPr>
        <w:t>es</w:t>
      </w:r>
      <w:r w:rsidR="003F56F6" w:rsidRPr="00731644">
        <w:rPr>
          <w:lang w:val="fr-CH"/>
        </w:rPr>
        <w:t xml:space="preserve"> d</w:t>
      </w:r>
      <w:r w:rsidR="00425386" w:rsidRPr="00731644">
        <w:rPr>
          <w:lang w:val="fr-CH"/>
        </w:rPr>
        <w:t>’</w:t>
      </w:r>
      <w:r w:rsidR="00C776A4" w:rsidRPr="00731644">
        <w:rPr>
          <w:lang w:val="fr-CH"/>
        </w:rPr>
        <w:t xml:space="preserve">information </w:t>
      </w:r>
      <w:r w:rsidR="003F56F6" w:rsidRPr="00731644">
        <w:rPr>
          <w:lang w:val="fr-CH"/>
        </w:rPr>
        <w:t xml:space="preserve">de </w:t>
      </w:r>
      <w:r w:rsidR="00B569C5" w:rsidRPr="00731644">
        <w:rPr>
          <w:lang w:val="fr-CH"/>
        </w:rPr>
        <w:t>ces personnes</w:t>
      </w:r>
      <w:r w:rsidR="00C776A4" w:rsidRPr="00731644">
        <w:rPr>
          <w:lang w:val="fr-CH"/>
        </w:rPr>
        <w:t xml:space="preserve"> (</w:t>
      </w:r>
      <w:r w:rsidR="003F56F6" w:rsidRPr="00731644">
        <w:rPr>
          <w:lang w:val="fr-CH"/>
        </w:rPr>
        <w:t xml:space="preserve">tables rondes, </w:t>
      </w:r>
      <w:r w:rsidR="00554AF3" w:rsidRPr="00731644">
        <w:rPr>
          <w:lang w:val="fr-CH"/>
        </w:rPr>
        <w:t>traitement du sujet</w:t>
      </w:r>
      <w:r w:rsidR="003F56F6" w:rsidRPr="00731644">
        <w:rPr>
          <w:lang w:val="fr-CH"/>
        </w:rPr>
        <w:t xml:space="preserve"> dans les médias, </w:t>
      </w:r>
      <w:r w:rsidR="00C776A4" w:rsidRPr="00731644">
        <w:rPr>
          <w:lang w:val="fr-CH"/>
        </w:rPr>
        <w:t xml:space="preserve">etc.). </w:t>
      </w:r>
      <w:r w:rsidR="003F56F6" w:rsidRPr="00731644">
        <w:rPr>
          <w:lang w:val="fr-CH"/>
        </w:rPr>
        <w:t>Un spot télévisé continue d</w:t>
      </w:r>
      <w:r w:rsidR="00425386" w:rsidRPr="00731644">
        <w:rPr>
          <w:lang w:val="fr-CH"/>
        </w:rPr>
        <w:t>’</w:t>
      </w:r>
      <w:r w:rsidR="003F56F6" w:rsidRPr="00731644">
        <w:rPr>
          <w:lang w:val="fr-CH"/>
        </w:rPr>
        <w:t xml:space="preserve">être diffusé sur </w:t>
      </w:r>
      <w:r w:rsidR="00A66512" w:rsidRPr="00731644">
        <w:rPr>
          <w:lang w:val="fr-CH"/>
        </w:rPr>
        <w:t>toutes les chaînes</w:t>
      </w:r>
      <w:r w:rsidR="003F56F6" w:rsidRPr="00731644">
        <w:rPr>
          <w:lang w:val="fr-CH"/>
        </w:rPr>
        <w:t xml:space="preserve"> du Monténégro.</w:t>
      </w:r>
      <w:r w:rsidR="00DD3B4D" w:rsidRPr="00731644">
        <w:rPr>
          <w:lang w:val="fr-CH"/>
        </w:rPr>
        <w:t xml:space="preserve"> Une brochure rédigée en monténégrin, en albanais et en romani donne des renseignements détaillés sur les possibilités d</w:t>
      </w:r>
      <w:r w:rsidR="00425386" w:rsidRPr="00731644">
        <w:rPr>
          <w:lang w:val="fr-CH"/>
        </w:rPr>
        <w:t>’</w:t>
      </w:r>
      <w:r w:rsidR="00DD3B4D" w:rsidRPr="00731644">
        <w:rPr>
          <w:lang w:val="fr-CH"/>
        </w:rPr>
        <w:t>obtenir le statut d</w:t>
      </w:r>
      <w:r w:rsidR="00425386" w:rsidRPr="00731644">
        <w:rPr>
          <w:lang w:val="fr-CH"/>
        </w:rPr>
        <w:t>’</w:t>
      </w:r>
      <w:r w:rsidR="00DD3B4D" w:rsidRPr="00731644">
        <w:rPr>
          <w:lang w:val="fr-CH"/>
        </w:rPr>
        <w:t>étranger résident permanent du Monténégro</w:t>
      </w:r>
      <w:r w:rsidR="00C776A4" w:rsidRPr="00731644">
        <w:rPr>
          <w:lang w:val="fr-CH"/>
        </w:rPr>
        <w:t xml:space="preserve">. </w:t>
      </w:r>
      <w:r w:rsidR="00DD3B4D" w:rsidRPr="00731644">
        <w:rPr>
          <w:lang w:val="fr-CH"/>
        </w:rPr>
        <w:t xml:space="preserve">En outre, des fonctionnaires sont </w:t>
      </w:r>
      <w:r w:rsidR="00554AF3" w:rsidRPr="00731644">
        <w:rPr>
          <w:lang w:val="fr-CH"/>
        </w:rPr>
        <w:t>envoyé</w:t>
      </w:r>
      <w:r w:rsidR="00DD3B4D" w:rsidRPr="00731644">
        <w:rPr>
          <w:lang w:val="fr-CH"/>
        </w:rPr>
        <w:t xml:space="preserve">s </w:t>
      </w:r>
      <w:r w:rsidR="00554AF3" w:rsidRPr="00731644">
        <w:rPr>
          <w:lang w:val="fr-CH"/>
        </w:rPr>
        <w:t xml:space="preserve">en mission auprès </w:t>
      </w:r>
      <w:r w:rsidR="00B569C5" w:rsidRPr="00731644">
        <w:rPr>
          <w:lang w:val="fr-CH"/>
        </w:rPr>
        <w:t>des personnes</w:t>
      </w:r>
      <w:r w:rsidR="00DD3B4D" w:rsidRPr="00731644">
        <w:rPr>
          <w:lang w:val="fr-CH"/>
        </w:rPr>
        <w:t xml:space="preserve"> déplacées </w:t>
      </w:r>
      <w:r w:rsidR="00554AF3" w:rsidRPr="00731644">
        <w:rPr>
          <w:lang w:val="fr-CH"/>
        </w:rPr>
        <w:t>pour les encourager à</w:t>
      </w:r>
      <w:r w:rsidR="00DD3B4D" w:rsidRPr="00731644">
        <w:rPr>
          <w:lang w:val="fr-CH"/>
        </w:rPr>
        <w:t xml:space="preserve"> régulariser leur situation au Monténégro. </w:t>
      </w:r>
    </w:p>
    <w:p w:rsidR="00C776A4" w:rsidRPr="00731644" w:rsidRDefault="00F70015" w:rsidP="008D138E">
      <w:pPr>
        <w:pStyle w:val="SingleTxtG"/>
        <w:rPr>
          <w:lang w:val="fr-CH"/>
        </w:rPr>
      </w:pPr>
      <w:r w:rsidRPr="00731644">
        <w:rPr>
          <w:lang w:val="fr-CH"/>
        </w:rPr>
        <w:t>128.</w:t>
      </w:r>
      <w:r w:rsidRPr="00731644">
        <w:rPr>
          <w:lang w:val="fr-CH"/>
        </w:rPr>
        <w:tab/>
      </w:r>
      <w:r w:rsidR="00F3555A" w:rsidRPr="00731644">
        <w:rPr>
          <w:lang w:val="fr-CH"/>
        </w:rPr>
        <w:t xml:space="preserve">Il convient de citer </w:t>
      </w:r>
      <w:r w:rsidR="00DD3B4D" w:rsidRPr="00731644">
        <w:rPr>
          <w:lang w:val="fr-CH"/>
        </w:rPr>
        <w:t xml:space="preserve">aussi </w:t>
      </w:r>
      <w:r w:rsidR="00F3555A" w:rsidRPr="00731644">
        <w:rPr>
          <w:lang w:val="fr-CH"/>
        </w:rPr>
        <w:t>le</w:t>
      </w:r>
      <w:r w:rsidR="00DD3B4D" w:rsidRPr="00731644">
        <w:rPr>
          <w:lang w:val="fr-CH"/>
        </w:rPr>
        <w:t xml:space="preserve"> groupe de travail constitué de représentants du Ministère du travail et de la protection sociale,</w:t>
      </w:r>
      <w:r w:rsidR="00F31DD5" w:rsidRPr="00731644">
        <w:rPr>
          <w:lang w:val="fr-CH"/>
        </w:rPr>
        <w:t xml:space="preserve"> </w:t>
      </w:r>
      <w:r w:rsidR="00DD3B4D" w:rsidRPr="00731644">
        <w:rPr>
          <w:lang w:val="fr-CH"/>
        </w:rPr>
        <w:t>du Ministère des affaires intérieures, de l</w:t>
      </w:r>
      <w:r w:rsidR="00425386" w:rsidRPr="00731644">
        <w:rPr>
          <w:lang w:val="fr-CH"/>
        </w:rPr>
        <w:t>’</w:t>
      </w:r>
      <w:r w:rsidR="00DD3B4D" w:rsidRPr="00731644">
        <w:rPr>
          <w:lang w:val="fr-CH"/>
        </w:rPr>
        <w:t xml:space="preserve">Institut </w:t>
      </w:r>
      <w:r w:rsidR="00F3555A" w:rsidRPr="00731644">
        <w:rPr>
          <w:lang w:val="fr-CH"/>
        </w:rPr>
        <w:t>d</w:t>
      </w:r>
      <w:r w:rsidR="00425386" w:rsidRPr="00731644">
        <w:rPr>
          <w:lang w:val="fr-CH"/>
        </w:rPr>
        <w:t>’</w:t>
      </w:r>
      <w:r w:rsidR="00F3555A" w:rsidRPr="00731644">
        <w:rPr>
          <w:lang w:val="fr-CH"/>
        </w:rPr>
        <w:t>aide aux</w:t>
      </w:r>
      <w:r w:rsidR="00DD3B4D" w:rsidRPr="00731644">
        <w:rPr>
          <w:lang w:val="fr-CH"/>
        </w:rPr>
        <w:t xml:space="preserve"> réfugiés, du HCR, de l</w:t>
      </w:r>
      <w:r w:rsidR="00425386" w:rsidRPr="00731644">
        <w:rPr>
          <w:lang w:val="fr-CH"/>
        </w:rPr>
        <w:t>’</w:t>
      </w:r>
      <w:r w:rsidR="00DD3B4D" w:rsidRPr="00731644">
        <w:rPr>
          <w:lang w:val="fr-CH"/>
        </w:rPr>
        <w:t>OSCE et de l</w:t>
      </w:r>
      <w:r w:rsidR="00425386" w:rsidRPr="00731644">
        <w:rPr>
          <w:lang w:val="fr-CH"/>
        </w:rPr>
        <w:t>’</w:t>
      </w:r>
      <w:r w:rsidR="00DD3B4D" w:rsidRPr="00731644">
        <w:rPr>
          <w:lang w:val="fr-CH"/>
        </w:rPr>
        <w:t xml:space="preserve">organisation non gouvernementale </w:t>
      </w:r>
      <w:r w:rsidR="002061AB">
        <w:rPr>
          <w:lang w:val="fr-CH"/>
        </w:rPr>
        <w:t>«</w:t>
      </w:r>
      <w:r w:rsidR="00C776A4" w:rsidRPr="00731644">
        <w:rPr>
          <w:lang w:val="fr-CH"/>
        </w:rPr>
        <w:t>Libertas</w:t>
      </w:r>
      <w:r w:rsidR="002061AB">
        <w:rPr>
          <w:lang w:val="fr-CH"/>
        </w:rPr>
        <w:t>»</w:t>
      </w:r>
      <w:r w:rsidR="00C776A4" w:rsidRPr="00731644">
        <w:rPr>
          <w:lang w:val="fr-CH"/>
        </w:rPr>
        <w:t xml:space="preserve">, </w:t>
      </w:r>
      <w:r w:rsidR="00DD3B4D" w:rsidRPr="00731644">
        <w:rPr>
          <w:lang w:val="fr-CH"/>
        </w:rPr>
        <w:t>qui a commencé le</w:t>
      </w:r>
      <w:r w:rsidR="00C776A4" w:rsidRPr="00731644">
        <w:rPr>
          <w:lang w:val="fr-CH"/>
        </w:rPr>
        <w:t xml:space="preserve"> 27 </w:t>
      </w:r>
      <w:r w:rsidR="00DD3B4D" w:rsidRPr="00731644">
        <w:rPr>
          <w:lang w:val="fr-CH"/>
        </w:rPr>
        <w:t>février</w:t>
      </w:r>
      <w:r w:rsidR="00C776A4" w:rsidRPr="00731644">
        <w:rPr>
          <w:lang w:val="fr-CH"/>
        </w:rPr>
        <w:t xml:space="preserve"> 2011</w:t>
      </w:r>
      <w:r w:rsidR="00D378B2" w:rsidRPr="00731644">
        <w:rPr>
          <w:lang w:val="fr-CH"/>
        </w:rPr>
        <w:t xml:space="preserve"> à réunir des données précises sur </w:t>
      </w:r>
      <w:r w:rsidR="00CB7658" w:rsidRPr="00731644">
        <w:rPr>
          <w:lang w:val="fr-CH"/>
        </w:rPr>
        <w:t>les personnes</w:t>
      </w:r>
      <w:r w:rsidR="00D378B2" w:rsidRPr="00731644">
        <w:rPr>
          <w:lang w:val="fr-CH"/>
        </w:rPr>
        <w:t xml:space="preserve"> déplacées et </w:t>
      </w:r>
      <w:r w:rsidR="00CB7658" w:rsidRPr="00731644">
        <w:rPr>
          <w:lang w:val="fr-CH"/>
        </w:rPr>
        <w:t>les personnes</w:t>
      </w:r>
      <w:r w:rsidR="00D378B2" w:rsidRPr="00731644">
        <w:rPr>
          <w:lang w:val="fr-CH"/>
        </w:rPr>
        <w:t xml:space="preserve"> déplacées à l</w:t>
      </w:r>
      <w:r w:rsidR="00425386" w:rsidRPr="00731644">
        <w:rPr>
          <w:lang w:val="fr-CH"/>
        </w:rPr>
        <w:t>’</w:t>
      </w:r>
      <w:r w:rsidR="00D378B2" w:rsidRPr="00731644">
        <w:rPr>
          <w:lang w:val="fr-CH"/>
        </w:rPr>
        <w:t>intérieur de leur propre pays qui vivent</w:t>
      </w:r>
      <w:r w:rsidR="00F31DD5" w:rsidRPr="00731644">
        <w:rPr>
          <w:lang w:val="fr-CH"/>
        </w:rPr>
        <w:t xml:space="preserve"> </w:t>
      </w:r>
      <w:r w:rsidR="00D378B2" w:rsidRPr="00731644">
        <w:rPr>
          <w:lang w:val="fr-CH"/>
        </w:rPr>
        <w:t xml:space="preserve">dans 16 centres </w:t>
      </w:r>
      <w:r w:rsidR="00F3555A" w:rsidRPr="00731644">
        <w:rPr>
          <w:lang w:val="fr-CH"/>
        </w:rPr>
        <w:t>sans existence légale</w:t>
      </w:r>
      <w:r w:rsidR="00D378B2" w:rsidRPr="00731644">
        <w:rPr>
          <w:lang w:val="fr-CH"/>
        </w:rPr>
        <w:t xml:space="preserve">, et qui sont au nombre de </w:t>
      </w:r>
      <w:r w:rsidR="00C776A4" w:rsidRPr="00731644">
        <w:rPr>
          <w:lang w:val="fr-CH"/>
        </w:rPr>
        <w:t>1</w:t>
      </w:r>
      <w:r w:rsidR="001753EC">
        <w:rPr>
          <w:lang w:val="fr-CH"/>
        </w:rPr>
        <w:t> </w:t>
      </w:r>
      <w:r w:rsidR="00C776A4" w:rsidRPr="00731644">
        <w:rPr>
          <w:lang w:val="fr-CH"/>
        </w:rPr>
        <w:t xml:space="preserve">554. </w:t>
      </w:r>
      <w:r w:rsidR="00F3555A" w:rsidRPr="00731644">
        <w:rPr>
          <w:lang w:val="fr-CH"/>
        </w:rPr>
        <w:t>Il s</w:t>
      </w:r>
      <w:r w:rsidR="00425386" w:rsidRPr="00731644">
        <w:rPr>
          <w:lang w:val="fr-CH"/>
        </w:rPr>
        <w:t>’</w:t>
      </w:r>
      <w:r w:rsidR="00F3555A" w:rsidRPr="00731644">
        <w:rPr>
          <w:lang w:val="fr-CH"/>
        </w:rPr>
        <w:t>agit</w:t>
      </w:r>
      <w:r w:rsidR="00D378B2" w:rsidRPr="00731644">
        <w:rPr>
          <w:lang w:val="fr-CH"/>
        </w:rPr>
        <w:t xml:space="preserve"> de définir </w:t>
      </w:r>
      <w:r w:rsidR="00292CA7" w:rsidRPr="00731644">
        <w:rPr>
          <w:lang w:val="fr-CH"/>
        </w:rPr>
        <w:t>les projets</w:t>
      </w:r>
      <w:r w:rsidR="00D378B2" w:rsidRPr="00731644">
        <w:rPr>
          <w:lang w:val="fr-CH"/>
        </w:rPr>
        <w:t xml:space="preserve"> prioritaires qui, au titre </w:t>
      </w:r>
      <w:r w:rsidR="00292CA7" w:rsidRPr="00731644">
        <w:rPr>
          <w:lang w:val="fr-CH"/>
        </w:rPr>
        <w:t>du Processus</w:t>
      </w:r>
      <w:r w:rsidR="00D378B2" w:rsidRPr="00731644">
        <w:rPr>
          <w:lang w:val="fr-CH"/>
        </w:rPr>
        <w:t xml:space="preserve"> de Sarajevo </w:t>
      </w:r>
      <w:r w:rsidR="00292CA7" w:rsidRPr="00731644">
        <w:rPr>
          <w:lang w:val="fr-CH"/>
        </w:rPr>
        <w:t xml:space="preserve">et de la Déclaration de </w:t>
      </w:r>
      <w:r w:rsidR="00D378B2" w:rsidRPr="00731644">
        <w:rPr>
          <w:lang w:val="fr-CH"/>
        </w:rPr>
        <w:t>Belgrade,</w:t>
      </w:r>
      <w:r w:rsidR="00F31DD5" w:rsidRPr="00731644">
        <w:rPr>
          <w:lang w:val="fr-CH"/>
        </w:rPr>
        <w:t xml:space="preserve"> </w:t>
      </w:r>
      <w:r w:rsidR="00D378B2" w:rsidRPr="00731644">
        <w:rPr>
          <w:lang w:val="fr-CH"/>
        </w:rPr>
        <w:t>seront présentés à une conférence de donateurs organisée par le HCR et d</w:t>
      </w:r>
      <w:r w:rsidR="00425386" w:rsidRPr="00731644">
        <w:rPr>
          <w:lang w:val="fr-CH"/>
        </w:rPr>
        <w:t>’</w:t>
      </w:r>
      <w:r w:rsidR="00D378B2" w:rsidRPr="00731644">
        <w:rPr>
          <w:lang w:val="fr-CH"/>
        </w:rPr>
        <w:t>autres partenaires internationaux.</w:t>
      </w:r>
      <w:r w:rsidR="00F31DD5" w:rsidRPr="00731644">
        <w:rPr>
          <w:lang w:val="fr-CH"/>
        </w:rPr>
        <w:t xml:space="preserve"> </w:t>
      </w:r>
    </w:p>
    <w:p w:rsidR="00C776A4" w:rsidRPr="00731644" w:rsidRDefault="00F70015" w:rsidP="00CC0450">
      <w:pPr>
        <w:pStyle w:val="SingleTxtG"/>
        <w:rPr>
          <w:lang w:val="fr-CH"/>
        </w:rPr>
      </w:pPr>
      <w:r w:rsidRPr="00731644">
        <w:rPr>
          <w:lang w:val="fr-CH"/>
        </w:rPr>
        <w:t>129.</w:t>
      </w:r>
      <w:r w:rsidRPr="00731644">
        <w:rPr>
          <w:lang w:val="fr-CH"/>
        </w:rPr>
        <w:tab/>
      </w:r>
      <w:r w:rsidR="00E508DE" w:rsidRPr="00731644">
        <w:rPr>
          <w:lang w:val="fr-CH"/>
        </w:rPr>
        <w:t xml:space="preserve">La solution de principe qui se dégagera de </w:t>
      </w:r>
      <w:r w:rsidR="00CA590D" w:rsidRPr="00731644">
        <w:rPr>
          <w:lang w:val="fr-CH"/>
        </w:rPr>
        <w:t>cette é</w:t>
      </w:r>
      <w:r w:rsidR="00E508DE" w:rsidRPr="00731644">
        <w:rPr>
          <w:lang w:val="fr-CH"/>
        </w:rPr>
        <w:t>tude et les résultats des recherches susmentionnées serviront de base à l</w:t>
      </w:r>
      <w:r w:rsidR="00425386" w:rsidRPr="00731644">
        <w:rPr>
          <w:lang w:val="fr-CH"/>
        </w:rPr>
        <w:t>’</w:t>
      </w:r>
      <w:r w:rsidR="00E508DE" w:rsidRPr="00731644">
        <w:rPr>
          <w:lang w:val="fr-CH"/>
        </w:rPr>
        <w:t>élaboration d</w:t>
      </w:r>
      <w:r w:rsidR="00425386" w:rsidRPr="00731644">
        <w:rPr>
          <w:lang w:val="fr-CH"/>
        </w:rPr>
        <w:t>’</w:t>
      </w:r>
      <w:r w:rsidR="00E508DE" w:rsidRPr="00731644">
        <w:rPr>
          <w:lang w:val="fr-CH"/>
        </w:rPr>
        <w:t>une stratégie globale et durable de résolution définitive de ces questions</w:t>
      </w:r>
      <w:r w:rsidR="00F31DD5" w:rsidRPr="00731644">
        <w:rPr>
          <w:lang w:val="fr-CH"/>
        </w:rPr>
        <w:t>;</w:t>
      </w:r>
      <w:r w:rsidR="00CA251D" w:rsidRPr="00731644">
        <w:rPr>
          <w:lang w:val="fr-CH"/>
        </w:rPr>
        <w:t xml:space="preserve"> parallèlement, </w:t>
      </w:r>
      <w:r w:rsidR="00E508DE" w:rsidRPr="00731644">
        <w:rPr>
          <w:lang w:val="fr-CH"/>
        </w:rPr>
        <w:t>l</w:t>
      </w:r>
      <w:r w:rsidR="00425386" w:rsidRPr="00731644">
        <w:rPr>
          <w:lang w:val="fr-CH"/>
        </w:rPr>
        <w:t>’</w:t>
      </w:r>
      <w:r w:rsidR="00E508DE" w:rsidRPr="00731644">
        <w:rPr>
          <w:lang w:val="fr-CH"/>
        </w:rPr>
        <w:t xml:space="preserve">État </w:t>
      </w:r>
      <w:r w:rsidR="00CA251D" w:rsidRPr="00731644">
        <w:rPr>
          <w:lang w:val="fr-CH"/>
        </w:rPr>
        <w:t xml:space="preserve">ne ménage aucun effort </w:t>
      </w:r>
      <w:r w:rsidR="00E508DE" w:rsidRPr="00731644">
        <w:rPr>
          <w:lang w:val="fr-CH"/>
        </w:rPr>
        <w:t>pour appliquer les recommandations contenues au</w:t>
      </w:r>
      <w:r w:rsidR="00F31DD5" w:rsidRPr="00731644">
        <w:rPr>
          <w:lang w:val="fr-CH"/>
        </w:rPr>
        <w:t xml:space="preserve"> </w:t>
      </w:r>
      <w:r w:rsidR="00CB7658" w:rsidRPr="00731644">
        <w:rPr>
          <w:lang w:val="fr-CH"/>
        </w:rPr>
        <w:t>paragraphe </w:t>
      </w:r>
      <w:r w:rsidR="00B14D2B" w:rsidRPr="00731644">
        <w:rPr>
          <w:lang w:val="fr-CH"/>
        </w:rPr>
        <w:t xml:space="preserve">15 </w:t>
      </w:r>
      <w:r w:rsidR="00E508DE" w:rsidRPr="00731644">
        <w:rPr>
          <w:lang w:val="fr-CH"/>
        </w:rPr>
        <w:t xml:space="preserve">des observations finales du </w:t>
      </w:r>
      <w:r w:rsidR="00CA590D" w:rsidRPr="00731644">
        <w:rPr>
          <w:lang w:val="fr-CH"/>
        </w:rPr>
        <w:t>C</w:t>
      </w:r>
      <w:r w:rsidR="00E508DE" w:rsidRPr="00731644">
        <w:rPr>
          <w:lang w:val="fr-CH"/>
        </w:rPr>
        <w:t xml:space="preserve">omité, y compris la ratification </w:t>
      </w:r>
      <w:r w:rsidR="003816E5" w:rsidRPr="00731644">
        <w:rPr>
          <w:lang w:val="fr-CH"/>
        </w:rPr>
        <w:t xml:space="preserve">de la </w:t>
      </w:r>
      <w:r w:rsidR="00C776A4" w:rsidRPr="00731644">
        <w:rPr>
          <w:lang w:val="fr-CH"/>
        </w:rPr>
        <w:t xml:space="preserve">Convention </w:t>
      </w:r>
      <w:r w:rsidR="003816E5" w:rsidRPr="00731644">
        <w:rPr>
          <w:lang w:val="fr-CH"/>
        </w:rPr>
        <w:t>sur la réduction des cas d</w:t>
      </w:r>
      <w:r w:rsidR="00425386" w:rsidRPr="00731644">
        <w:rPr>
          <w:lang w:val="fr-CH"/>
        </w:rPr>
        <w:t>’</w:t>
      </w:r>
      <w:r w:rsidR="003816E5" w:rsidRPr="00731644">
        <w:rPr>
          <w:lang w:val="fr-CH"/>
        </w:rPr>
        <w:t xml:space="preserve">apatridie </w:t>
      </w:r>
      <w:r w:rsidR="00CA590D" w:rsidRPr="00731644">
        <w:rPr>
          <w:lang w:val="fr-CH"/>
        </w:rPr>
        <w:t>en relation avec la succession d</w:t>
      </w:r>
      <w:r w:rsidR="00425386" w:rsidRPr="00731644">
        <w:rPr>
          <w:lang w:val="fr-CH"/>
        </w:rPr>
        <w:t>’</w:t>
      </w:r>
      <w:r w:rsidR="00CA590D" w:rsidRPr="00731644">
        <w:rPr>
          <w:lang w:val="fr-CH"/>
        </w:rPr>
        <w:t>États</w:t>
      </w:r>
      <w:r w:rsidR="00C776A4" w:rsidRPr="00731644">
        <w:rPr>
          <w:b/>
          <w:lang w:val="fr-CH"/>
        </w:rPr>
        <w:t>.</w:t>
      </w:r>
    </w:p>
    <w:p w:rsidR="00C776A4" w:rsidRPr="00731644" w:rsidRDefault="00F70015" w:rsidP="00D53B48">
      <w:pPr>
        <w:pStyle w:val="SingleTxtG"/>
        <w:rPr>
          <w:b/>
          <w:lang w:val="fr-CH"/>
        </w:rPr>
      </w:pPr>
      <w:r w:rsidRPr="00731644">
        <w:rPr>
          <w:lang w:val="fr-CH"/>
        </w:rPr>
        <w:t>130.</w:t>
      </w:r>
      <w:r w:rsidRPr="00731644">
        <w:rPr>
          <w:lang w:val="fr-CH"/>
        </w:rPr>
        <w:tab/>
      </w:r>
      <w:r w:rsidR="003816E5" w:rsidRPr="00731644">
        <w:rPr>
          <w:lang w:val="fr-CH"/>
        </w:rPr>
        <w:t>Le retour dans le pays d</w:t>
      </w:r>
      <w:r w:rsidR="00425386" w:rsidRPr="00731644">
        <w:rPr>
          <w:lang w:val="fr-CH"/>
        </w:rPr>
        <w:t>’</w:t>
      </w:r>
      <w:r w:rsidR="003816E5" w:rsidRPr="00731644">
        <w:rPr>
          <w:lang w:val="fr-CH"/>
        </w:rPr>
        <w:t>origine est un</w:t>
      </w:r>
      <w:r w:rsidR="00CA590D" w:rsidRPr="00731644">
        <w:rPr>
          <w:lang w:val="fr-CH"/>
        </w:rPr>
        <w:t xml:space="preserve"> volet</w:t>
      </w:r>
      <w:r w:rsidR="003816E5" w:rsidRPr="00731644">
        <w:rPr>
          <w:lang w:val="fr-CH"/>
        </w:rPr>
        <w:t xml:space="preserve"> important de la stratégie suivie par l</w:t>
      </w:r>
      <w:r w:rsidR="00425386" w:rsidRPr="00731644">
        <w:rPr>
          <w:lang w:val="fr-CH"/>
        </w:rPr>
        <w:t>’</w:t>
      </w:r>
      <w:r w:rsidR="003816E5" w:rsidRPr="00731644">
        <w:rPr>
          <w:lang w:val="fr-CH"/>
        </w:rPr>
        <w:t xml:space="preserve">Institut </w:t>
      </w:r>
      <w:r w:rsidR="00CA590D" w:rsidRPr="00731644">
        <w:rPr>
          <w:lang w:val="fr-CH"/>
        </w:rPr>
        <w:t>d</w:t>
      </w:r>
      <w:r w:rsidR="00425386" w:rsidRPr="00731644">
        <w:rPr>
          <w:lang w:val="fr-CH"/>
        </w:rPr>
        <w:t>’</w:t>
      </w:r>
      <w:r w:rsidR="00CA590D" w:rsidRPr="00731644">
        <w:rPr>
          <w:lang w:val="fr-CH"/>
        </w:rPr>
        <w:t>aide aux</w:t>
      </w:r>
      <w:r w:rsidR="003816E5" w:rsidRPr="00731644">
        <w:rPr>
          <w:lang w:val="fr-CH"/>
        </w:rPr>
        <w:t xml:space="preserve"> réfugiés conjointement avec d</w:t>
      </w:r>
      <w:r w:rsidR="00425386" w:rsidRPr="00731644">
        <w:rPr>
          <w:lang w:val="fr-CH"/>
        </w:rPr>
        <w:t>’</w:t>
      </w:r>
      <w:r w:rsidR="003816E5" w:rsidRPr="00731644">
        <w:rPr>
          <w:lang w:val="fr-CH"/>
        </w:rPr>
        <w:t>aut</w:t>
      </w:r>
      <w:r w:rsidR="00CA590D" w:rsidRPr="00731644">
        <w:rPr>
          <w:lang w:val="fr-CH"/>
        </w:rPr>
        <w:t>r</w:t>
      </w:r>
      <w:r w:rsidR="003816E5" w:rsidRPr="00731644">
        <w:rPr>
          <w:lang w:val="fr-CH"/>
        </w:rPr>
        <w:t>es institutions du Monténégro et du Kosovo. D</w:t>
      </w:r>
      <w:r w:rsidR="00425386" w:rsidRPr="00731644">
        <w:rPr>
          <w:lang w:val="fr-CH"/>
        </w:rPr>
        <w:t>’</w:t>
      </w:r>
      <w:r w:rsidR="003816E5" w:rsidRPr="00731644">
        <w:rPr>
          <w:lang w:val="fr-CH"/>
        </w:rPr>
        <w:t>après les archives de l</w:t>
      </w:r>
      <w:r w:rsidR="00425386" w:rsidRPr="00731644">
        <w:rPr>
          <w:lang w:val="fr-CH"/>
        </w:rPr>
        <w:t>’</w:t>
      </w:r>
      <w:r w:rsidR="003816E5" w:rsidRPr="00731644">
        <w:rPr>
          <w:lang w:val="fr-CH"/>
        </w:rPr>
        <w:t>Institut, entre l</w:t>
      </w:r>
      <w:r w:rsidR="00425386" w:rsidRPr="00731644">
        <w:rPr>
          <w:lang w:val="fr-CH"/>
        </w:rPr>
        <w:t>’</w:t>
      </w:r>
      <w:r w:rsidR="003816E5" w:rsidRPr="00731644">
        <w:rPr>
          <w:lang w:val="fr-CH"/>
        </w:rPr>
        <w:t xml:space="preserve">année 2005 et </w:t>
      </w:r>
      <w:r w:rsidR="00CA590D" w:rsidRPr="00731644">
        <w:rPr>
          <w:lang w:val="fr-CH"/>
        </w:rPr>
        <w:t>le moment de</w:t>
      </w:r>
      <w:r w:rsidR="003816E5" w:rsidRPr="00731644">
        <w:rPr>
          <w:lang w:val="fr-CH"/>
        </w:rPr>
        <w:t xml:space="preserve"> </w:t>
      </w:r>
      <w:r w:rsidR="00CA251D" w:rsidRPr="00731644">
        <w:rPr>
          <w:lang w:val="fr-CH"/>
        </w:rPr>
        <w:t xml:space="preserve">la </w:t>
      </w:r>
      <w:r w:rsidR="003816E5" w:rsidRPr="00731644">
        <w:rPr>
          <w:lang w:val="fr-CH"/>
        </w:rPr>
        <w:t xml:space="preserve">soumission du présent rapport, </w:t>
      </w:r>
      <w:r w:rsidR="00C776A4" w:rsidRPr="00731644">
        <w:rPr>
          <w:lang w:val="fr-CH"/>
        </w:rPr>
        <w:t>2</w:t>
      </w:r>
      <w:r w:rsidR="001753EC">
        <w:rPr>
          <w:lang w:val="fr-CH"/>
        </w:rPr>
        <w:t> </w:t>
      </w:r>
      <w:r w:rsidR="00C776A4" w:rsidRPr="00731644">
        <w:rPr>
          <w:lang w:val="fr-CH"/>
        </w:rPr>
        <w:t>679</w:t>
      </w:r>
      <w:r w:rsidR="00CB7658" w:rsidRPr="00731644">
        <w:rPr>
          <w:lang w:val="fr-CH"/>
        </w:rPr>
        <w:t> personnes</w:t>
      </w:r>
      <w:r w:rsidR="003816E5" w:rsidRPr="00731644">
        <w:rPr>
          <w:lang w:val="fr-CH"/>
        </w:rPr>
        <w:t xml:space="preserve"> </w:t>
      </w:r>
      <w:r w:rsidR="00CA590D" w:rsidRPr="00731644">
        <w:rPr>
          <w:lang w:val="fr-CH"/>
        </w:rPr>
        <w:t>se s</w:t>
      </w:r>
      <w:r w:rsidR="003816E5" w:rsidRPr="00731644">
        <w:rPr>
          <w:lang w:val="fr-CH"/>
        </w:rPr>
        <w:t xml:space="preserve">ont </w:t>
      </w:r>
      <w:r w:rsidR="00CA590D" w:rsidRPr="00731644">
        <w:rPr>
          <w:lang w:val="fr-CH"/>
        </w:rPr>
        <w:t>prévalues de</w:t>
      </w:r>
      <w:r w:rsidR="003816E5" w:rsidRPr="00731644">
        <w:rPr>
          <w:lang w:val="fr-CH"/>
        </w:rPr>
        <w:t xml:space="preserve"> leur droit au retour volontaire. </w:t>
      </w:r>
    </w:p>
    <w:p w:rsidR="00C776A4" w:rsidRPr="00731644" w:rsidRDefault="00F70015" w:rsidP="00C776A4">
      <w:pPr>
        <w:pStyle w:val="SingleTxtG"/>
        <w:rPr>
          <w:lang w:val="fr-CH"/>
        </w:rPr>
      </w:pPr>
      <w:r w:rsidRPr="00731644">
        <w:rPr>
          <w:lang w:val="fr-CH"/>
        </w:rPr>
        <w:t>131.</w:t>
      </w:r>
      <w:r w:rsidRPr="00731644">
        <w:rPr>
          <w:lang w:val="fr-CH"/>
        </w:rPr>
        <w:tab/>
      </w:r>
      <w:r w:rsidR="003816E5" w:rsidRPr="00731644">
        <w:rPr>
          <w:lang w:val="fr-CH"/>
        </w:rPr>
        <w:t xml:space="preserve">Si le nombre </w:t>
      </w:r>
      <w:r w:rsidR="00B569C5" w:rsidRPr="00731644">
        <w:rPr>
          <w:lang w:val="fr-CH"/>
        </w:rPr>
        <w:t>des personnes</w:t>
      </w:r>
      <w:r w:rsidR="003816E5" w:rsidRPr="00731644">
        <w:rPr>
          <w:lang w:val="fr-CH"/>
        </w:rPr>
        <w:t xml:space="preserve"> désireuses de retourner au Kosovo est aussi réduit, c</w:t>
      </w:r>
      <w:r w:rsidR="00425386" w:rsidRPr="00731644">
        <w:rPr>
          <w:lang w:val="fr-CH"/>
        </w:rPr>
        <w:t>’</w:t>
      </w:r>
      <w:r w:rsidR="004E12C4" w:rsidRPr="00731644">
        <w:rPr>
          <w:lang w:val="fr-CH"/>
        </w:rPr>
        <w:t xml:space="preserve">est que, malgré les promesses, </w:t>
      </w:r>
      <w:r w:rsidR="003816E5" w:rsidRPr="00731644">
        <w:rPr>
          <w:lang w:val="fr-CH"/>
        </w:rPr>
        <w:t xml:space="preserve">certaines municipalités de ce pays </w:t>
      </w:r>
      <w:r w:rsidR="004E12C4" w:rsidRPr="00731644">
        <w:rPr>
          <w:lang w:val="fr-CH"/>
        </w:rPr>
        <w:t xml:space="preserve">sont peu disposées </w:t>
      </w:r>
      <w:r w:rsidR="003816E5" w:rsidRPr="00731644">
        <w:rPr>
          <w:lang w:val="fr-CH"/>
        </w:rPr>
        <w:t>à offrir les</w:t>
      </w:r>
      <w:r w:rsidR="00C776A4" w:rsidRPr="00731644">
        <w:rPr>
          <w:lang w:val="fr-CH"/>
        </w:rPr>
        <w:t xml:space="preserve"> conditions </w:t>
      </w:r>
      <w:r w:rsidR="003816E5" w:rsidRPr="00731644">
        <w:rPr>
          <w:lang w:val="fr-CH"/>
        </w:rPr>
        <w:t xml:space="preserve">nécessaires à une réinstallation durable </w:t>
      </w:r>
      <w:r w:rsidR="00C776A4" w:rsidRPr="00731644">
        <w:rPr>
          <w:lang w:val="fr-CH"/>
        </w:rPr>
        <w:t>(</w:t>
      </w:r>
      <w:r w:rsidR="003816E5" w:rsidRPr="00731644">
        <w:rPr>
          <w:lang w:val="fr-CH"/>
        </w:rPr>
        <w:t>attribution de</w:t>
      </w:r>
      <w:r w:rsidR="00C776A4" w:rsidRPr="00731644">
        <w:rPr>
          <w:lang w:val="fr-CH"/>
        </w:rPr>
        <w:t xml:space="preserve"> sites </w:t>
      </w:r>
      <w:r w:rsidR="003816E5" w:rsidRPr="00731644">
        <w:rPr>
          <w:lang w:val="fr-CH"/>
        </w:rPr>
        <w:t>pour la</w:t>
      </w:r>
      <w:r w:rsidR="00C776A4" w:rsidRPr="00731644">
        <w:rPr>
          <w:lang w:val="fr-CH"/>
        </w:rPr>
        <w:t xml:space="preserve"> construction </w:t>
      </w:r>
      <w:r w:rsidR="003816E5" w:rsidRPr="00731644">
        <w:rPr>
          <w:lang w:val="fr-CH"/>
        </w:rPr>
        <w:t>de maisons</w:t>
      </w:r>
      <w:r w:rsidR="00C776A4" w:rsidRPr="00731644">
        <w:rPr>
          <w:lang w:val="fr-CH"/>
        </w:rPr>
        <w:t>, acc</w:t>
      </w:r>
      <w:r w:rsidR="00252491" w:rsidRPr="00731644">
        <w:rPr>
          <w:lang w:val="fr-CH"/>
        </w:rPr>
        <w:t>ès aux</w:t>
      </w:r>
      <w:r w:rsidR="00C776A4" w:rsidRPr="00731644">
        <w:rPr>
          <w:lang w:val="fr-CH"/>
        </w:rPr>
        <w:t xml:space="preserve"> </w:t>
      </w:r>
      <w:r w:rsidR="00252491" w:rsidRPr="00731644">
        <w:rPr>
          <w:lang w:val="fr-CH"/>
        </w:rPr>
        <w:t>papiers d</w:t>
      </w:r>
      <w:r w:rsidR="00425386" w:rsidRPr="00731644">
        <w:rPr>
          <w:lang w:val="fr-CH"/>
        </w:rPr>
        <w:t>’</w:t>
      </w:r>
      <w:r w:rsidR="00252491" w:rsidRPr="00731644">
        <w:rPr>
          <w:lang w:val="fr-CH"/>
        </w:rPr>
        <w:t>identité</w:t>
      </w:r>
      <w:r w:rsidR="00C776A4" w:rsidRPr="00731644">
        <w:rPr>
          <w:lang w:val="fr-CH"/>
        </w:rPr>
        <w:t>, etc.).</w:t>
      </w:r>
    </w:p>
    <w:p w:rsidR="00C776A4" w:rsidRPr="00731644" w:rsidRDefault="00252491" w:rsidP="00F70015">
      <w:pPr>
        <w:pStyle w:val="H23G"/>
        <w:rPr>
          <w:lang w:val="fr-CH"/>
        </w:rPr>
      </w:pPr>
      <w:r w:rsidRPr="00731644">
        <w:rPr>
          <w:lang w:val="fr-CH"/>
        </w:rPr>
        <w:tab/>
      </w:r>
      <w:r w:rsidRPr="00731644">
        <w:rPr>
          <w:lang w:val="fr-CH"/>
        </w:rPr>
        <w:tab/>
        <w:t xml:space="preserve">Les droits de propriété et leurs restrictions au Monténégro </w:t>
      </w:r>
    </w:p>
    <w:p w:rsidR="00C776A4" w:rsidRPr="00731644" w:rsidRDefault="00F70015" w:rsidP="00AC3225">
      <w:pPr>
        <w:pStyle w:val="SingleTxtG"/>
        <w:rPr>
          <w:lang w:val="fr-CH"/>
        </w:rPr>
      </w:pPr>
      <w:r w:rsidRPr="00731644">
        <w:rPr>
          <w:lang w:val="fr-CH"/>
        </w:rPr>
        <w:t>132.</w:t>
      </w:r>
      <w:r w:rsidRPr="00731644">
        <w:rPr>
          <w:lang w:val="fr-CH"/>
        </w:rPr>
        <w:tab/>
      </w:r>
      <w:r w:rsidR="00252491" w:rsidRPr="00731644">
        <w:rPr>
          <w:lang w:val="fr-CH"/>
        </w:rPr>
        <w:t>La</w:t>
      </w:r>
      <w:r w:rsidR="00C776A4" w:rsidRPr="00731644">
        <w:rPr>
          <w:lang w:val="fr-CH"/>
        </w:rPr>
        <w:t xml:space="preserve"> Constitution </w:t>
      </w:r>
      <w:r w:rsidR="00252491" w:rsidRPr="00731644">
        <w:rPr>
          <w:lang w:val="fr-CH"/>
        </w:rPr>
        <w:t xml:space="preserve">du Monténégro définit </w:t>
      </w:r>
      <w:r w:rsidR="004E12C4" w:rsidRPr="00731644">
        <w:rPr>
          <w:lang w:val="fr-CH"/>
        </w:rPr>
        <w:t>dans son</w:t>
      </w:r>
      <w:r w:rsidR="00252491" w:rsidRPr="00731644">
        <w:rPr>
          <w:lang w:val="fr-CH"/>
        </w:rPr>
        <w:t xml:space="preserve"> chapitre 4 les droits et libertés économiques, sociaux et culturels.</w:t>
      </w:r>
      <w:r w:rsidR="00C776A4" w:rsidRPr="00731644">
        <w:rPr>
          <w:lang w:val="fr-CH"/>
        </w:rPr>
        <w:t xml:space="preserve"> </w:t>
      </w:r>
      <w:r w:rsidR="00252491" w:rsidRPr="00731644">
        <w:rPr>
          <w:lang w:val="fr-CH"/>
        </w:rPr>
        <w:t>Son</w:t>
      </w:r>
      <w:r w:rsidR="00C776A4" w:rsidRPr="00731644">
        <w:rPr>
          <w:lang w:val="fr-CH"/>
        </w:rPr>
        <w:t xml:space="preserve"> </w:t>
      </w:r>
      <w:r w:rsidR="001753EC">
        <w:rPr>
          <w:lang w:val="fr-CH"/>
        </w:rPr>
        <w:t>article </w:t>
      </w:r>
      <w:r w:rsidR="00C776A4" w:rsidRPr="00731644">
        <w:rPr>
          <w:lang w:val="fr-CH"/>
        </w:rPr>
        <w:t xml:space="preserve">58 </w:t>
      </w:r>
      <w:r w:rsidR="00252491" w:rsidRPr="00731644">
        <w:rPr>
          <w:lang w:val="fr-CH"/>
        </w:rPr>
        <w:t xml:space="preserve">dispose que </w:t>
      </w:r>
      <w:r w:rsidR="002061AB">
        <w:rPr>
          <w:lang w:val="fr-CH"/>
        </w:rPr>
        <w:t>«</w:t>
      </w:r>
      <w:r w:rsidR="00252491" w:rsidRPr="00731644">
        <w:rPr>
          <w:lang w:val="fr-CH"/>
        </w:rPr>
        <w:t>Les droits de propriété sont garantis. Nul, à moins que l</w:t>
      </w:r>
      <w:r w:rsidR="00425386" w:rsidRPr="00731644">
        <w:rPr>
          <w:lang w:val="fr-CH"/>
        </w:rPr>
        <w:t>’</w:t>
      </w:r>
      <w:r w:rsidR="00252491" w:rsidRPr="00731644">
        <w:rPr>
          <w:lang w:val="fr-CH"/>
        </w:rPr>
        <w:t>intérêt public l</w:t>
      </w:r>
      <w:r w:rsidR="00425386" w:rsidRPr="00731644">
        <w:rPr>
          <w:lang w:val="fr-CH"/>
        </w:rPr>
        <w:t>’</w:t>
      </w:r>
      <w:r w:rsidR="00252491" w:rsidRPr="00731644">
        <w:rPr>
          <w:lang w:val="fr-CH"/>
        </w:rPr>
        <w:t>exige, ne subira de privation ou de restriction de ses droits de propriété sans dédommagement légitime</w:t>
      </w:r>
      <w:r w:rsidR="002061AB">
        <w:rPr>
          <w:lang w:val="fr-CH"/>
        </w:rPr>
        <w:t>»</w:t>
      </w:r>
      <w:r w:rsidR="00C776A4" w:rsidRPr="00731644">
        <w:rPr>
          <w:lang w:val="fr-CH"/>
        </w:rPr>
        <w:t>.</w:t>
      </w:r>
    </w:p>
    <w:p w:rsidR="00C776A4" w:rsidRPr="00731644" w:rsidRDefault="00F70015" w:rsidP="00C15A9A">
      <w:pPr>
        <w:pStyle w:val="SingleTxtG"/>
        <w:rPr>
          <w:i/>
          <w:lang w:val="fr-CH"/>
        </w:rPr>
      </w:pPr>
      <w:r w:rsidRPr="00731644">
        <w:rPr>
          <w:lang w:val="fr-CH"/>
        </w:rPr>
        <w:t>133.</w:t>
      </w:r>
      <w:r w:rsidRPr="00731644">
        <w:rPr>
          <w:lang w:val="fr-CH"/>
        </w:rPr>
        <w:tab/>
      </w:r>
      <w:r w:rsidR="00252491" w:rsidRPr="00731644">
        <w:rPr>
          <w:lang w:val="fr-CH"/>
        </w:rPr>
        <w:t>Les droits de propriété et les autres droits réels ainsi que le droit de joui</w:t>
      </w:r>
      <w:r w:rsidR="004E12C4" w:rsidRPr="00731644">
        <w:rPr>
          <w:lang w:val="fr-CH"/>
        </w:rPr>
        <w:t>r</w:t>
      </w:r>
      <w:r w:rsidR="00252491" w:rsidRPr="00731644">
        <w:rPr>
          <w:lang w:val="fr-CH"/>
        </w:rPr>
        <w:t xml:space="preserve"> (usufruit) </w:t>
      </w:r>
      <w:r w:rsidR="004E12C4" w:rsidRPr="00731644">
        <w:rPr>
          <w:lang w:val="fr-CH"/>
        </w:rPr>
        <w:t>de</w:t>
      </w:r>
      <w:r w:rsidR="00252491" w:rsidRPr="00731644">
        <w:rPr>
          <w:lang w:val="fr-CH"/>
        </w:rPr>
        <w:t xml:space="preserve"> biens meubles et immeubles</w:t>
      </w:r>
      <w:r w:rsidR="00C776A4" w:rsidRPr="00731644">
        <w:rPr>
          <w:lang w:val="fr-CH"/>
        </w:rPr>
        <w:t xml:space="preserve">, </w:t>
      </w:r>
      <w:r w:rsidR="00252491" w:rsidRPr="00731644">
        <w:rPr>
          <w:lang w:val="fr-CH"/>
        </w:rPr>
        <w:t>les méthodes d</w:t>
      </w:r>
      <w:r w:rsidR="00425386" w:rsidRPr="00731644">
        <w:rPr>
          <w:lang w:val="fr-CH"/>
        </w:rPr>
        <w:t>’</w:t>
      </w:r>
      <w:r w:rsidR="00C776A4" w:rsidRPr="00731644">
        <w:rPr>
          <w:lang w:val="fr-CH"/>
        </w:rPr>
        <w:t xml:space="preserve">acquisition, </w:t>
      </w:r>
      <w:r w:rsidR="00252491" w:rsidRPr="00731644">
        <w:rPr>
          <w:lang w:val="fr-CH"/>
        </w:rPr>
        <w:t xml:space="preserve">de </w:t>
      </w:r>
      <w:r w:rsidR="00C776A4" w:rsidRPr="00731644">
        <w:rPr>
          <w:lang w:val="fr-CH"/>
        </w:rPr>
        <w:t>transfer</w:t>
      </w:r>
      <w:r w:rsidR="00252491" w:rsidRPr="00731644">
        <w:rPr>
          <w:lang w:val="fr-CH"/>
        </w:rPr>
        <w:t>t</w:t>
      </w:r>
      <w:r w:rsidR="00C776A4" w:rsidRPr="00731644">
        <w:rPr>
          <w:lang w:val="fr-CH"/>
        </w:rPr>
        <w:t xml:space="preserve">, </w:t>
      </w:r>
      <w:r w:rsidR="00252491" w:rsidRPr="00731644">
        <w:rPr>
          <w:lang w:val="fr-CH"/>
        </w:rPr>
        <w:t xml:space="preserve">de </w:t>
      </w:r>
      <w:r w:rsidR="00C776A4" w:rsidRPr="00731644">
        <w:rPr>
          <w:lang w:val="fr-CH"/>
        </w:rPr>
        <w:t xml:space="preserve">protection </w:t>
      </w:r>
      <w:r w:rsidR="00252491" w:rsidRPr="00731644">
        <w:rPr>
          <w:lang w:val="fr-CH"/>
        </w:rPr>
        <w:t xml:space="preserve">des droits de propriété </w:t>
      </w:r>
      <w:r w:rsidR="00514E49" w:rsidRPr="00731644">
        <w:rPr>
          <w:lang w:val="fr-CH"/>
        </w:rPr>
        <w:t xml:space="preserve">et la cessation de ces droits sont régis par la </w:t>
      </w:r>
      <w:r w:rsidR="00514E49" w:rsidRPr="00A35A21">
        <w:rPr>
          <w:iCs/>
          <w:lang w:val="fr-CH"/>
        </w:rPr>
        <w:t xml:space="preserve">loi relative aux relations patrimoniales </w:t>
      </w:r>
      <w:r w:rsidR="00514E49"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5072A0">
        <w:rPr>
          <w:lang w:val="fr-CH"/>
        </w:rPr>
        <w:t>n</w:t>
      </w:r>
      <w:r w:rsidR="005072A0" w:rsidRPr="005072A0">
        <w:rPr>
          <w:vertAlign w:val="superscript"/>
          <w:lang w:val="fr-CH"/>
        </w:rPr>
        <w:t>o</w:t>
      </w:r>
      <w:r w:rsidR="005072A0">
        <w:rPr>
          <w:lang w:val="fr-CH"/>
        </w:rPr>
        <w:t> </w:t>
      </w:r>
      <w:r w:rsidR="00C776A4" w:rsidRPr="00731644">
        <w:rPr>
          <w:lang w:val="fr-CH"/>
        </w:rPr>
        <w:t xml:space="preserve">19/09). </w:t>
      </w:r>
      <w:r w:rsidR="007B7C05" w:rsidRPr="00731644">
        <w:rPr>
          <w:lang w:val="fr-CH"/>
        </w:rPr>
        <w:t>Le droit de propriété peut faire l</w:t>
      </w:r>
      <w:r w:rsidR="00425386" w:rsidRPr="00731644">
        <w:rPr>
          <w:lang w:val="fr-CH"/>
        </w:rPr>
        <w:t>’</w:t>
      </w:r>
      <w:r w:rsidR="007B7C05" w:rsidRPr="00731644">
        <w:rPr>
          <w:lang w:val="fr-CH"/>
        </w:rPr>
        <w:t>objet d</w:t>
      </w:r>
      <w:r w:rsidR="004E12C4" w:rsidRPr="00731644">
        <w:rPr>
          <w:lang w:val="fr-CH"/>
        </w:rPr>
        <w:t>e</w:t>
      </w:r>
      <w:r w:rsidR="007B7C05" w:rsidRPr="00731644">
        <w:rPr>
          <w:lang w:val="fr-CH"/>
        </w:rPr>
        <w:t xml:space="preserve"> restrictions prévues par la loi. Nul ne peut en être privé si ce n</w:t>
      </w:r>
      <w:r w:rsidR="00425386" w:rsidRPr="00731644">
        <w:rPr>
          <w:lang w:val="fr-CH"/>
        </w:rPr>
        <w:t>’</w:t>
      </w:r>
      <w:r w:rsidR="007B7C05" w:rsidRPr="00731644">
        <w:rPr>
          <w:lang w:val="fr-CH"/>
        </w:rPr>
        <w:t>est en vertu de l</w:t>
      </w:r>
      <w:r w:rsidR="00425386" w:rsidRPr="00731644">
        <w:rPr>
          <w:lang w:val="fr-CH"/>
        </w:rPr>
        <w:t>’</w:t>
      </w:r>
      <w:r w:rsidR="007B7C05" w:rsidRPr="00731644">
        <w:rPr>
          <w:lang w:val="fr-CH"/>
        </w:rPr>
        <w:t>intérêt public tel qu</w:t>
      </w:r>
      <w:r w:rsidR="00425386" w:rsidRPr="00731644">
        <w:rPr>
          <w:lang w:val="fr-CH"/>
        </w:rPr>
        <w:t>’</w:t>
      </w:r>
      <w:r w:rsidR="007B7C05" w:rsidRPr="00731644">
        <w:rPr>
          <w:lang w:val="fr-CH"/>
        </w:rPr>
        <w:t>il est défini par la loi ou d</w:t>
      </w:r>
      <w:r w:rsidR="00425386" w:rsidRPr="00731644">
        <w:rPr>
          <w:lang w:val="fr-CH"/>
        </w:rPr>
        <w:t>’</w:t>
      </w:r>
      <w:r w:rsidR="007B7C05" w:rsidRPr="00731644">
        <w:rPr>
          <w:lang w:val="fr-CH"/>
        </w:rPr>
        <w:t>après la loi, et moyennant un dédommagement qui doit être équitable</w:t>
      </w:r>
      <w:r w:rsidR="00C776A4" w:rsidRPr="00731644">
        <w:rPr>
          <w:lang w:val="fr-CH"/>
        </w:rPr>
        <w:t xml:space="preserve">. </w:t>
      </w:r>
      <w:r w:rsidR="007B7C05" w:rsidRPr="00731644">
        <w:rPr>
          <w:lang w:val="fr-CH"/>
        </w:rPr>
        <w:t xml:space="preserve">Une restriction au droit de propriété sur un bien meuble </w:t>
      </w:r>
      <w:r w:rsidR="0027004D" w:rsidRPr="00731644">
        <w:rPr>
          <w:lang w:val="fr-CH"/>
        </w:rPr>
        <w:t>destinée à</w:t>
      </w:r>
      <w:r w:rsidR="007B7C05" w:rsidRPr="00731644">
        <w:rPr>
          <w:lang w:val="fr-CH"/>
        </w:rPr>
        <w:t xml:space="preserve"> garantir </w:t>
      </w:r>
      <w:r w:rsidR="0027004D" w:rsidRPr="00731644">
        <w:rPr>
          <w:lang w:val="fr-CH"/>
        </w:rPr>
        <w:t>le paiement d</w:t>
      </w:r>
      <w:r w:rsidR="00425386" w:rsidRPr="00731644">
        <w:rPr>
          <w:lang w:val="fr-CH"/>
        </w:rPr>
        <w:t>’</w:t>
      </w:r>
      <w:r w:rsidR="007B7C05" w:rsidRPr="00731644">
        <w:rPr>
          <w:lang w:val="fr-CH"/>
        </w:rPr>
        <w:t xml:space="preserve">une créance est opposable </w:t>
      </w:r>
      <w:r w:rsidR="0027004D" w:rsidRPr="00731644">
        <w:rPr>
          <w:lang w:val="fr-CH"/>
        </w:rPr>
        <w:t>à un</w:t>
      </w:r>
      <w:r w:rsidR="007B7C05" w:rsidRPr="00731644">
        <w:rPr>
          <w:lang w:val="fr-CH"/>
        </w:rPr>
        <w:t xml:space="preserve"> tiers si elle est inscrite dans le registre public </w:t>
      </w:r>
      <w:r w:rsidR="0027004D" w:rsidRPr="00731644">
        <w:rPr>
          <w:lang w:val="fr-CH"/>
        </w:rPr>
        <w:t>voulu</w:t>
      </w:r>
      <w:r w:rsidR="007B7C05" w:rsidRPr="00731644">
        <w:rPr>
          <w:lang w:val="fr-CH"/>
        </w:rPr>
        <w:t>, ou si le tiers en connaissait ou pouvait en connaître l</w:t>
      </w:r>
      <w:r w:rsidR="00425386" w:rsidRPr="00731644">
        <w:rPr>
          <w:lang w:val="fr-CH"/>
        </w:rPr>
        <w:t>’</w:t>
      </w:r>
      <w:r w:rsidR="007B7C05" w:rsidRPr="00731644">
        <w:rPr>
          <w:lang w:val="fr-CH"/>
        </w:rPr>
        <w:t>existence. L</w:t>
      </w:r>
      <w:r w:rsidR="00425386" w:rsidRPr="00731644">
        <w:rPr>
          <w:lang w:val="fr-CH"/>
        </w:rPr>
        <w:t>’</w:t>
      </w:r>
      <w:r w:rsidR="001753EC">
        <w:rPr>
          <w:lang w:val="fr-CH"/>
        </w:rPr>
        <w:t>article </w:t>
      </w:r>
      <w:r w:rsidR="00C776A4" w:rsidRPr="00731644">
        <w:rPr>
          <w:lang w:val="fr-CH"/>
        </w:rPr>
        <w:t xml:space="preserve">21 </w:t>
      </w:r>
      <w:r w:rsidR="007B7C05" w:rsidRPr="00731644">
        <w:rPr>
          <w:lang w:val="fr-CH"/>
        </w:rPr>
        <w:t xml:space="preserve">de cette loi définit le bien </w:t>
      </w:r>
      <w:r w:rsidR="003C1CD0" w:rsidRPr="00731644">
        <w:rPr>
          <w:lang w:val="fr-CH"/>
        </w:rPr>
        <w:t>commun</w:t>
      </w:r>
      <w:r w:rsidR="007B7C05" w:rsidRPr="00731644">
        <w:rPr>
          <w:lang w:val="fr-CH"/>
        </w:rPr>
        <w:t xml:space="preserve"> comme un bien qui, par destination, peut être utilisé par chacun dans les mêmes conditions </w:t>
      </w:r>
      <w:r w:rsidR="00C776A4" w:rsidRPr="00731644">
        <w:rPr>
          <w:lang w:val="fr-CH"/>
        </w:rPr>
        <w:t>(</w:t>
      </w:r>
      <w:r w:rsidR="007B7C05" w:rsidRPr="00731644">
        <w:rPr>
          <w:lang w:val="fr-CH"/>
        </w:rPr>
        <w:t xml:space="preserve">ressources naturelles et biens </w:t>
      </w:r>
      <w:r w:rsidR="00F44CA7" w:rsidRPr="00731644">
        <w:rPr>
          <w:lang w:val="fr-CH"/>
        </w:rPr>
        <w:t>d</w:t>
      </w:r>
      <w:r w:rsidR="00425386" w:rsidRPr="00731644">
        <w:rPr>
          <w:lang w:val="fr-CH"/>
        </w:rPr>
        <w:t>’</w:t>
      </w:r>
      <w:r w:rsidR="003C1CD0" w:rsidRPr="00731644">
        <w:rPr>
          <w:lang w:val="fr-CH"/>
        </w:rPr>
        <w:t>usage collectif</w:t>
      </w:r>
      <w:r w:rsidR="00C776A4" w:rsidRPr="00731644">
        <w:rPr>
          <w:lang w:val="fr-CH"/>
        </w:rPr>
        <w:t>).</w:t>
      </w:r>
    </w:p>
    <w:p w:rsidR="00C776A4" w:rsidRPr="00731644" w:rsidRDefault="00F70015" w:rsidP="00C776A4">
      <w:pPr>
        <w:pStyle w:val="SingleTxtG"/>
        <w:rPr>
          <w:lang w:val="fr-CH"/>
        </w:rPr>
      </w:pPr>
      <w:r w:rsidRPr="00731644">
        <w:rPr>
          <w:lang w:val="fr-CH"/>
        </w:rPr>
        <w:t>134.</w:t>
      </w:r>
      <w:r w:rsidRPr="00731644">
        <w:rPr>
          <w:lang w:val="fr-CH"/>
        </w:rPr>
        <w:tab/>
      </w:r>
      <w:r w:rsidR="00F44CA7" w:rsidRPr="00731644">
        <w:rPr>
          <w:lang w:val="fr-CH"/>
        </w:rPr>
        <w:t xml:space="preserve">En vertu de cette loi, le propriétaire dont les droits </w:t>
      </w:r>
      <w:r w:rsidR="00781BED" w:rsidRPr="00731644">
        <w:rPr>
          <w:lang w:val="fr-CH"/>
        </w:rPr>
        <w:t>n</w:t>
      </w:r>
      <w:r w:rsidR="00425386" w:rsidRPr="00731644">
        <w:rPr>
          <w:lang w:val="fr-CH"/>
        </w:rPr>
        <w:t>’</w:t>
      </w:r>
      <w:r w:rsidR="00F44CA7" w:rsidRPr="00731644">
        <w:rPr>
          <w:lang w:val="fr-CH"/>
        </w:rPr>
        <w:t xml:space="preserve">ont </w:t>
      </w:r>
      <w:r w:rsidR="00781BED" w:rsidRPr="00731644">
        <w:rPr>
          <w:lang w:val="fr-CH"/>
        </w:rPr>
        <w:t xml:space="preserve">pas </w:t>
      </w:r>
      <w:r w:rsidR="00F44CA7" w:rsidRPr="00731644">
        <w:rPr>
          <w:lang w:val="fr-CH"/>
        </w:rPr>
        <w:t xml:space="preserve">été </w:t>
      </w:r>
      <w:r w:rsidR="00781BED" w:rsidRPr="00731644">
        <w:rPr>
          <w:lang w:val="fr-CH"/>
        </w:rPr>
        <w:t>respect</w:t>
      </w:r>
      <w:r w:rsidR="00F44CA7" w:rsidRPr="00731644">
        <w:rPr>
          <w:lang w:val="fr-CH"/>
        </w:rPr>
        <w:t xml:space="preserve">és peut se défendre </w:t>
      </w:r>
      <w:r w:rsidR="003C1CD0" w:rsidRPr="00731644">
        <w:rPr>
          <w:lang w:val="fr-CH"/>
        </w:rPr>
        <w:t>en</w:t>
      </w:r>
      <w:r w:rsidR="00F44CA7" w:rsidRPr="00731644">
        <w:rPr>
          <w:lang w:val="fr-CH"/>
        </w:rPr>
        <w:t xml:space="preserve"> portant plainte. La </w:t>
      </w:r>
      <w:r w:rsidR="00F44CA7" w:rsidRPr="00531580">
        <w:rPr>
          <w:iCs/>
          <w:lang w:val="fr-CH"/>
        </w:rPr>
        <w:t>loi relative aux relations patrimoniales</w:t>
      </w:r>
      <w:r w:rsidR="00F44CA7" w:rsidRPr="00731644">
        <w:rPr>
          <w:lang w:val="fr-CH"/>
        </w:rPr>
        <w:t xml:space="preserve"> régit </w:t>
      </w:r>
      <w:r w:rsidR="004F0181" w:rsidRPr="00731644">
        <w:rPr>
          <w:lang w:val="fr-CH"/>
        </w:rPr>
        <w:t>la</w:t>
      </w:r>
      <w:r w:rsidR="00F44CA7" w:rsidRPr="00731644">
        <w:rPr>
          <w:lang w:val="fr-CH"/>
        </w:rPr>
        <w:t xml:space="preserve"> </w:t>
      </w:r>
      <w:r w:rsidR="003C1CD0" w:rsidRPr="00731644">
        <w:rPr>
          <w:lang w:val="fr-CH"/>
        </w:rPr>
        <w:t>requê</w:t>
      </w:r>
      <w:r w:rsidR="00F44CA7" w:rsidRPr="00731644">
        <w:rPr>
          <w:lang w:val="fr-CH"/>
        </w:rPr>
        <w:t>te en restitution d</w:t>
      </w:r>
      <w:r w:rsidR="00425386" w:rsidRPr="00731644">
        <w:rPr>
          <w:lang w:val="fr-CH"/>
        </w:rPr>
        <w:t>’</w:t>
      </w:r>
      <w:r w:rsidR="00F44CA7" w:rsidRPr="00731644">
        <w:rPr>
          <w:lang w:val="fr-CH"/>
        </w:rPr>
        <w:t>objets, l</w:t>
      </w:r>
      <w:r w:rsidR="00425386" w:rsidRPr="00731644">
        <w:rPr>
          <w:lang w:val="fr-CH"/>
        </w:rPr>
        <w:t>’</w:t>
      </w:r>
      <w:r w:rsidR="001753EC" w:rsidRPr="001753EC">
        <w:rPr>
          <w:i/>
          <w:lang w:val="fr-CH"/>
        </w:rPr>
        <w:t>A</w:t>
      </w:r>
      <w:r w:rsidR="00F44CA7" w:rsidRPr="001753EC">
        <w:rPr>
          <w:i/>
          <w:lang w:val="fr-CH"/>
        </w:rPr>
        <w:t>ctio</w:t>
      </w:r>
      <w:r w:rsidR="003C1CD0" w:rsidRPr="001753EC">
        <w:rPr>
          <w:i/>
          <w:lang w:val="fr-CH"/>
        </w:rPr>
        <w:t xml:space="preserve"> </w:t>
      </w:r>
      <w:r w:rsidR="00F44CA7" w:rsidRPr="001753EC">
        <w:rPr>
          <w:i/>
          <w:lang w:val="fr-CH"/>
        </w:rPr>
        <w:t>publi</w:t>
      </w:r>
      <w:r w:rsidR="003C1CD0" w:rsidRPr="001753EC">
        <w:rPr>
          <w:i/>
          <w:lang w:val="fr-CH"/>
        </w:rPr>
        <w:t>ciana</w:t>
      </w:r>
      <w:r w:rsidR="00F44CA7" w:rsidRPr="00731644">
        <w:rPr>
          <w:lang w:val="fr-CH"/>
        </w:rPr>
        <w:t xml:space="preserve"> et la </w:t>
      </w:r>
      <w:r w:rsidR="004F0181" w:rsidRPr="00731644">
        <w:rPr>
          <w:lang w:val="fr-CH"/>
        </w:rPr>
        <w:t>plain</w:t>
      </w:r>
      <w:r w:rsidR="00F44CA7" w:rsidRPr="00731644">
        <w:rPr>
          <w:lang w:val="fr-CH"/>
        </w:rPr>
        <w:t xml:space="preserve">te pour </w:t>
      </w:r>
      <w:r w:rsidR="004F0181" w:rsidRPr="00731644">
        <w:rPr>
          <w:lang w:val="fr-CH"/>
        </w:rPr>
        <w:t>trouble de jouissance</w:t>
      </w:r>
      <w:r w:rsidR="00256C5B" w:rsidRPr="00731644">
        <w:rPr>
          <w:lang w:val="fr-CH"/>
        </w:rPr>
        <w:t>.</w:t>
      </w:r>
    </w:p>
    <w:p w:rsidR="00B27D92" w:rsidRPr="00731644" w:rsidRDefault="00F70015" w:rsidP="00C776A4">
      <w:pPr>
        <w:pStyle w:val="SingleTxtG"/>
        <w:rPr>
          <w:lang w:val="fr-CH"/>
        </w:rPr>
      </w:pPr>
      <w:r w:rsidRPr="00731644">
        <w:rPr>
          <w:bCs/>
          <w:lang w:val="fr-CH"/>
        </w:rPr>
        <w:t>135.</w:t>
      </w:r>
      <w:r w:rsidRPr="00731644">
        <w:rPr>
          <w:bCs/>
          <w:i/>
          <w:lang w:val="fr-CH"/>
        </w:rPr>
        <w:tab/>
      </w:r>
      <w:r w:rsidR="00F44CA7" w:rsidRPr="00731644">
        <w:rPr>
          <w:bCs/>
          <w:lang w:val="fr-CH"/>
        </w:rPr>
        <w:t xml:space="preserve">La </w:t>
      </w:r>
      <w:r w:rsidR="004F0181" w:rsidRPr="00731644">
        <w:rPr>
          <w:bCs/>
          <w:lang w:val="fr-CH"/>
        </w:rPr>
        <w:t>requête</w:t>
      </w:r>
      <w:r w:rsidR="00F44CA7" w:rsidRPr="00731644">
        <w:rPr>
          <w:bCs/>
          <w:lang w:val="fr-CH"/>
        </w:rPr>
        <w:t xml:space="preserve"> en restitution est l</w:t>
      </w:r>
      <w:r w:rsidR="00425386" w:rsidRPr="00731644">
        <w:rPr>
          <w:bCs/>
          <w:lang w:val="fr-CH"/>
        </w:rPr>
        <w:t>’</w:t>
      </w:r>
      <w:r w:rsidR="00F44CA7" w:rsidRPr="00731644">
        <w:rPr>
          <w:bCs/>
          <w:lang w:val="fr-CH"/>
        </w:rPr>
        <w:t>acte par lequel le propriétaire d</w:t>
      </w:r>
      <w:r w:rsidR="00425386" w:rsidRPr="00731644">
        <w:rPr>
          <w:bCs/>
          <w:lang w:val="fr-CH"/>
        </w:rPr>
        <w:t>’</w:t>
      </w:r>
      <w:r w:rsidR="00F44CA7" w:rsidRPr="00731644">
        <w:rPr>
          <w:bCs/>
          <w:lang w:val="fr-CH"/>
        </w:rPr>
        <w:t xml:space="preserve">un objet demande </w:t>
      </w:r>
      <w:r w:rsidR="004F0181" w:rsidRPr="00731644">
        <w:rPr>
          <w:bCs/>
          <w:lang w:val="fr-CH"/>
        </w:rPr>
        <w:t>au</w:t>
      </w:r>
      <w:r w:rsidR="00F44CA7" w:rsidRPr="00731644">
        <w:rPr>
          <w:bCs/>
          <w:lang w:val="fr-CH"/>
        </w:rPr>
        <w:t xml:space="preserve"> possesseur </w:t>
      </w:r>
      <w:r w:rsidR="004F0181" w:rsidRPr="00731644">
        <w:rPr>
          <w:bCs/>
          <w:lang w:val="fr-CH"/>
        </w:rPr>
        <w:t xml:space="preserve">de celui-ci </w:t>
      </w:r>
      <w:r w:rsidR="00F44CA7" w:rsidRPr="00731644">
        <w:rPr>
          <w:bCs/>
          <w:lang w:val="fr-CH"/>
        </w:rPr>
        <w:t>de le lui rendre.</w:t>
      </w:r>
      <w:r w:rsidR="00F31DD5" w:rsidRPr="00731644">
        <w:rPr>
          <w:bCs/>
          <w:lang w:val="fr-CH"/>
        </w:rPr>
        <w:t xml:space="preserve"> </w:t>
      </w:r>
      <w:r w:rsidR="00F44CA7" w:rsidRPr="00731644">
        <w:rPr>
          <w:bCs/>
          <w:lang w:val="fr-CH"/>
        </w:rPr>
        <w:t xml:space="preserve">Le propriétaire doit prouver son droit </w:t>
      </w:r>
      <w:r w:rsidR="004F0181" w:rsidRPr="00731644">
        <w:rPr>
          <w:bCs/>
          <w:lang w:val="fr-CH"/>
        </w:rPr>
        <w:t xml:space="preserve">de propriété </w:t>
      </w:r>
      <w:r w:rsidR="00F44CA7" w:rsidRPr="00731644">
        <w:rPr>
          <w:bCs/>
          <w:lang w:val="fr-CH"/>
        </w:rPr>
        <w:t>sur l</w:t>
      </w:r>
      <w:r w:rsidR="00425386" w:rsidRPr="00731644">
        <w:rPr>
          <w:bCs/>
          <w:lang w:val="fr-CH"/>
        </w:rPr>
        <w:t>’</w:t>
      </w:r>
      <w:r w:rsidR="00F44CA7" w:rsidRPr="00731644">
        <w:rPr>
          <w:bCs/>
          <w:lang w:val="fr-CH"/>
        </w:rPr>
        <w:t xml:space="preserve">objet dont il réclame la restitution, et établir </w:t>
      </w:r>
      <w:r w:rsidR="004F0181" w:rsidRPr="00731644">
        <w:rPr>
          <w:bCs/>
          <w:lang w:val="fr-CH"/>
        </w:rPr>
        <w:t>que celui-ci</w:t>
      </w:r>
      <w:r w:rsidR="00F44CA7" w:rsidRPr="00731644">
        <w:rPr>
          <w:bCs/>
          <w:lang w:val="fr-CH"/>
        </w:rPr>
        <w:t xml:space="preserve"> est en la possession du défendeur (l</w:t>
      </w:r>
      <w:r w:rsidR="00425386" w:rsidRPr="00731644">
        <w:rPr>
          <w:bCs/>
          <w:lang w:val="fr-CH"/>
        </w:rPr>
        <w:t>’</w:t>
      </w:r>
      <w:r w:rsidR="00F44CA7" w:rsidRPr="00731644">
        <w:rPr>
          <w:bCs/>
          <w:lang w:val="fr-CH"/>
        </w:rPr>
        <w:t>usufruitier).</w:t>
      </w:r>
      <w:r w:rsidR="00C776A4" w:rsidRPr="00731644">
        <w:rPr>
          <w:lang w:val="fr-CH"/>
        </w:rPr>
        <w:t xml:space="preserve"> </w:t>
      </w:r>
      <w:r w:rsidR="00F44CA7" w:rsidRPr="00731644">
        <w:rPr>
          <w:lang w:val="fr-CH"/>
        </w:rPr>
        <w:t>L</w:t>
      </w:r>
      <w:r w:rsidR="00425386" w:rsidRPr="00731644">
        <w:rPr>
          <w:lang w:val="fr-CH"/>
        </w:rPr>
        <w:t>’</w:t>
      </w:r>
      <w:r w:rsidR="00F44CA7" w:rsidRPr="00731644">
        <w:rPr>
          <w:lang w:val="fr-CH"/>
        </w:rPr>
        <w:t>usufruitier qui n</w:t>
      </w:r>
      <w:r w:rsidR="00425386" w:rsidRPr="00731644">
        <w:rPr>
          <w:lang w:val="fr-CH"/>
        </w:rPr>
        <w:t>’</w:t>
      </w:r>
      <w:r w:rsidR="00F44CA7" w:rsidRPr="00731644">
        <w:rPr>
          <w:lang w:val="fr-CH"/>
        </w:rPr>
        <w:t>est pas de bonne foi doit indemniser le propriétaire pour avoir utilisé l</w:t>
      </w:r>
      <w:r w:rsidR="00425386" w:rsidRPr="00731644">
        <w:rPr>
          <w:lang w:val="fr-CH"/>
        </w:rPr>
        <w:t>’</w:t>
      </w:r>
      <w:r w:rsidR="00F44CA7" w:rsidRPr="00731644">
        <w:rPr>
          <w:lang w:val="fr-CH"/>
        </w:rPr>
        <w:t>objet</w:t>
      </w:r>
      <w:r w:rsidR="00F31DD5" w:rsidRPr="00731644">
        <w:rPr>
          <w:lang w:val="fr-CH"/>
        </w:rPr>
        <w:t>;</w:t>
      </w:r>
      <w:r w:rsidR="00F44CA7" w:rsidRPr="00731644">
        <w:rPr>
          <w:lang w:val="fr-CH"/>
        </w:rPr>
        <w:t xml:space="preserve"> l</w:t>
      </w:r>
      <w:r w:rsidR="00425386" w:rsidRPr="00731644">
        <w:rPr>
          <w:lang w:val="fr-CH"/>
        </w:rPr>
        <w:t>’</w:t>
      </w:r>
      <w:r w:rsidR="00F44CA7" w:rsidRPr="00731644">
        <w:rPr>
          <w:lang w:val="fr-CH"/>
        </w:rPr>
        <w:t>usufruit</w:t>
      </w:r>
      <w:r w:rsidR="00B27D92" w:rsidRPr="00731644">
        <w:rPr>
          <w:lang w:val="fr-CH"/>
        </w:rPr>
        <w:t>i</w:t>
      </w:r>
      <w:r w:rsidR="00F44CA7" w:rsidRPr="00731644">
        <w:rPr>
          <w:lang w:val="fr-CH"/>
        </w:rPr>
        <w:t>er de bonne foi n</w:t>
      </w:r>
      <w:r w:rsidR="00425386" w:rsidRPr="00731644">
        <w:rPr>
          <w:lang w:val="fr-CH"/>
        </w:rPr>
        <w:t>’</w:t>
      </w:r>
      <w:r w:rsidR="00F44CA7" w:rsidRPr="00731644">
        <w:rPr>
          <w:lang w:val="fr-CH"/>
        </w:rPr>
        <w:t xml:space="preserve">y est pas tenu. </w:t>
      </w:r>
      <w:r w:rsidR="00B27D92" w:rsidRPr="00731644">
        <w:rPr>
          <w:lang w:val="fr-CH"/>
        </w:rPr>
        <w:t>Le droit de porter plainte pour obtenir la restitution d</w:t>
      </w:r>
      <w:r w:rsidR="00425386" w:rsidRPr="00731644">
        <w:rPr>
          <w:lang w:val="fr-CH"/>
        </w:rPr>
        <w:t>’</w:t>
      </w:r>
      <w:r w:rsidR="00B27D92" w:rsidRPr="00731644">
        <w:rPr>
          <w:lang w:val="fr-CH"/>
        </w:rPr>
        <w:t>un objet est imprescriptible, à la différence du droit du propriétaire de demander</w:t>
      </w:r>
      <w:r w:rsidR="00F31DD5" w:rsidRPr="00731644">
        <w:rPr>
          <w:lang w:val="fr-CH"/>
        </w:rPr>
        <w:t xml:space="preserve"> </w:t>
      </w:r>
      <w:r w:rsidR="00B27D92" w:rsidRPr="00731644">
        <w:rPr>
          <w:lang w:val="fr-CH"/>
        </w:rPr>
        <w:t>à l</w:t>
      </w:r>
      <w:r w:rsidR="00425386" w:rsidRPr="00731644">
        <w:rPr>
          <w:lang w:val="fr-CH"/>
        </w:rPr>
        <w:t>’</w:t>
      </w:r>
      <w:r w:rsidR="00B27D92" w:rsidRPr="00731644">
        <w:rPr>
          <w:lang w:val="fr-CH"/>
        </w:rPr>
        <w:t>usufruitier qui n</w:t>
      </w:r>
      <w:r w:rsidR="00425386" w:rsidRPr="00731644">
        <w:rPr>
          <w:lang w:val="fr-CH"/>
        </w:rPr>
        <w:t>’</w:t>
      </w:r>
      <w:r w:rsidR="00B27D92" w:rsidRPr="00731644">
        <w:rPr>
          <w:lang w:val="fr-CH"/>
        </w:rPr>
        <w:t xml:space="preserve">est pas de bonne foi la remise des </w:t>
      </w:r>
      <w:r w:rsidR="00C318CA" w:rsidRPr="00731644">
        <w:rPr>
          <w:lang w:val="fr-CH"/>
        </w:rPr>
        <w:t>fr</w:t>
      </w:r>
      <w:r w:rsidR="00B27D92" w:rsidRPr="00731644">
        <w:rPr>
          <w:lang w:val="fr-CH"/>
        </w:rPr>
        <w:t xml:space="preserve">uits </w:t>
      </w:r>
      <w:r w:rsidR="00C318CA" w:rsidRPr="00731644">
        <w:rPr>
          <w:lang w:val="fr-CH"/>
        </w:rPr>
        <w:t>produits par le</w:t>
      </w:r>
      <w:r w:rsidR="00B27D92" w:rsidRPr="00731644">
        <w:rPr>
          <w:lang w:val="fr-CH"/>
        </w:rPr>
        <w:t xml:space="preserve"> bien et un</w:t>
      </w:r>
      <w:r w:rsidR="006B5B26" w:rsidRPr="00731644">
        <w:rPr>
          <w:lang w:val="fr-CH"/>
        </w:rPr>
        <w:t xml:space="preserve">e indemnisation </w:t>
      </w:r>
      <w:r w:rsidR="00B27D92" w:rsidRPr="00731644">
        <w:rPr>
          <w:lang w:val="fr-CH"/>
        </w:rPr>
        <w:t>équival</w:t>
      </w:r>
      <w:r w:rsidR="006B5B26" w:rsidRPr="00731644">
        <w:rPr>
          <w:lang w:val="fr-CH"/>
        </w:rPr>
        <w:t>e</w:t>
      </w:r>
      <w:r w:rsidR="00B27D92" w:rsidRPr="00731644">
        <w:rPr>
          <w:lang w:val="fr-CH"/>
        </w:rPr>
        <w:t>nt</w:t>
      </w:r>
      <w:r w:rsidR="006B5B26" w:rsidRPr="00731644">
        <w:rPr>
          <w:lang w:val="fr-CH"/>
        </w:rPr>
        <w:t>e</w:t>
      </w:r>
      <w:r w:rsidR="00B27D92" w:rsidRPr="00731644">
        <w:rPr>
          <w:lang w:val="fr-CH"/>
        </w:rPr>
        <w:t xml:space="preserve"> aux </w:t>
      </w:r>
      <w:r w:rsidR="00C318CA" w:rsidRPr="00731644">
        <w:rPr>
          <w:lang w:val="fr-CH"/>
        </w:rPr>
        <w:t>fr</w:t>
      </w:r>
      <w:r w:rsidR="00B27D92" w:rsidRPr="00731644">
        <w:rPr>
          <w:lang w:val="fr-CH"/>
        </w:rPr>
        <w:t>uits qu</w:t>
      </w:r>
      <w:r w:rsidR="00425386" w:rsidRPr="00731644">
        <w:rPr>
          <w:lang w:val="fr-CH"/>
        </w:rPr>
        <w:t>’</w:t>
      </w:r>
      <w:r w:rsidR="00B27D92" w:rsidRPr="00731644">
        <w:rPr>
          <w:lang w:val="fr-CH"/>
        </w:rPr>
        <w:t xml:space="preserve">il a dépensés, aliénés, omis de </w:t>
      </w:r>
      <w:r w:rsidR="00C318CA" w:rsidRPr="00731644">
        <w:rPr>
          <w:lang w:val="fr-CH"/>
        </w:rPr>
        <w:t>récolter</w:t>
      </w:r>
      <w:r w:rsidR="00B27D92" w:rsidRPr="00731644">
        <w:rPr>
          <w:lang w:val="fr-CH"/>
        </w:rPr>
        <w:t xml:space="preserve"> ou détruits, </w:t>
      </w:r>
      <w:r w:rsidR="00781BED" w:rsidRPr="00731644">
        <w:rPr>
          <w:lang w:val="fr-CH"/>
        </w:rPr>
        <w:t>droit qui se prescrit par</w:t>
      </w:r>
      <w:r w:rsidR="00B27D92" w:rsidRPr="00731644">
        <w:rPr>
          <w:lang w:val="fr-CH"/>
        </w:rPr>
        <w:t xml:space="preserve"> trois</w:t>
      </w:r>
      <w:r w:rsidR="00976D48">
        <w:rPr>
          <w:lang w:val="fr-CH"/>
        </w:rPr>
        <w:t> ans</w:t>
      </w:r>
      <w:r w:rsidR="00B27D92" w:rsidRPr="00731644">
        <w:rPr>
          <w:lang w:val="fr-CH"/>
        </w:rPr>
        <w:t xml:space="preserve"> à compter du jour où l</w:t>
      </w:r>
      <w:r w:rsidR="00425386" w:rsidRPr="00731644">
        <w:rPr>
          <w:lang w:val="fr-CH"/>
        </w:rPr>
        <w:t>’</w:t>
      </w:r>
      <w:r w:rsidR="00B27D92" w:rsidRPr="00731644">
        <w:rPr>
          <w:lang w:val="fr-CH"/>
        </w:rPr>
        <w:t xml:space="preserve">objet a changé de mains. </w:t>
      </w:r>
    </w:p>
    <w:p w:rsidR="00EE7A77" w:rsidRPr="00731644" w:rsidRDefault="00F70015" w:rsidP="00C776A4">
      <w:pPr>
        <w:pStyle w:val="SingleTxtG"/>
        <w:rPr>
          <w:i/>
          <w:lang w:val="fr-CH"/>
        </w:rPr>
      </w:pPr>
      <w:r w:rsidRPr="00731644">
        <w:rPr>
          <w:bCs/>
          <w:iCs/>
          <w:lang w:val="fr-CH"/>
        </w:rPr>
        <w:t>136.</w:t>
      </w:r>
      <w:r w:rsidRPr="00731644">
        <w:rPr>
          <w:bCs/>
          <w:i/>
          <w:lang w:val="fr-CH"/>
        </w:rPr>
        <w:tab/>
      </w:r>
      <w:r w:rsidR="001753EC" w:rsidRPr="00731644">
        <w:rPr>
          <w:bCs/>
          <w:lang w:val="fr-CH"/>
        </w:rPr>
        <w:t>L’</w:t>
      </w:r>
      <w:r w:rsidR="001753EC" w:rsidRPr="001753EC">
        <w:rPr>
          <w:bCs/>
          <w:i/>
          <w:lang w:val="fr-CH"/>
        </w:rPr>
        <w:t xml:space="preserve">Actio </w:t>
      </w:r>
      <w:r w:rsidR="00C318CA" w:rsidRPr="001753EC">
        <w:rPr>
          <w:bCs/>
          <w:i/>
          <w:lang w:val="fr-CH"/>
        </w:rPr>
        <w:t>p</w:t>
      </w:r>
      <w:r w:rsidR="00C776A4" w:rsidRPr="001753EC">
        <w:rPr>
          <w:bCs/>
          <w:i/>
          <w:lang w:val="fr-CH"/>
        </w:rPr>
        <w:t>ubliciana</w:t>
      </w:r>
      <w:r w:rsidR="00C776A4" w:rsidRPr="00731644">
        <w:rPr>
          <w:i/>
          <w:lang w:val="fr-CH"/>
        </w:rPr>
        <w:t xml:space="preserve"> </w:t>
      </w:r>
      <w:r w:rsidR="00B27D92" w:rsidRPr="00731644">
        <w:rPr>
          <w:lang w:val="fr-CH"/>
        </w:rPr>
        <w:t xml:space="preserve">est le recours par lequel une personne qui a </w:t>
      </w:r>
      <w:r w:rsidR="00C318CA" w:rsidRPr="00731644">
        <w:rPr>
          <w:lang w:val="fr-CH"/>
        </w:rPr>
        <w:t xml:space="preserve">légalement </w:t>
      </w:r>
      <w:r w:rsidR="00B27D92" w:rsidRPr="00731644">
        <w:rPr>
          <w:lang w:val="fr-CH"/>
        </w:rPr>
        <w:t xml:space="preserve">acquis un objet </w:t>
      </w:r>
      <w:r w:rsidR="00DB63D2" w:rsidRPr="00731644">
        <w:rPr>
          <w:lang w:val="fr-CH"/>
        </w:rPr>
        <w:t xml:space="preserve">bien précis </w:t>
      </w:r>
      <w:r w:rsidR="00B27D92" w:rsidRPr="00731644">
        <w:rPr>
          <w:lang w:val="fr-CH"/>
        </w:rPr>
        <w:t xml:space="preserve">et </w:t>
      </w:r>
      <w:r w:rsidR="00DB63D2" w:rsidRPr="00731644">
        <w:rPr>
          <w:lang w:val="fr-CH"/>
        </w:rPr>
        <w:t>qui ne savait ni ne pouvait savoir qu</w:t>
      </w:r>
      <w:r w:rsidR="00425386" w:rsidRPr="00731644">
        <w:rPr>
          <w:lang w:val="fr-CH"/>
        </w:rPr>
        <w:t>’</w:t>
      </w:r>
      <w:r w:rsidR="00DB63D2" w:rsidRPr="00731644">
        <w:rPr>
          <w:lang w:val="fr-CH"/>
        </w:rPr>
        <w:t>elle n</w:t>
      </w:r>
      <w:r w:rsidR="00425386" w:rsidRPr="00731644">
        <w:rPr>
          <w:lang w:val="fr-CH"/>
        </w:rPr>
        <w:t>’</w:t>
      </w:r>
      <w:r w:rsidR="00DB63D2" w:rsidRPr="00731644">
        <w:rPr>
          <w:lang w:val="fr-CH"/>
        </w:rPr>
        <w:t>en devenait pas propriétaire</w:t>
      </w:r>
      <w:r w:rsidR="00F31DD5" w:rsidRPr="00731644">
        <w:rPr>
          <w:lang w:val="fr-CH"/>
        </w:rPr>
        <w:t xml:space="preserve"> </w:t>
      </w:r>
      <w:r w:rsidR="00DB63D2" w:rsidRPr="00731644">
        <w:rPr>
          <w:lang w:val="fr-CH"/>
        </w:rPr>
        <w:t>peut en demander la restitution, y compris à un usufruitier de bonne foi qui est entré</w:t>
      </w:r>
      <w:r w:rsidR="00C776A4" w:rsidRPr="00731644">
        <w:rPr>
          <w:lang w:val="fr-CH"/>
        </w:rPr>
        <w:t xml:space="preserve"> </w:t>
      </w:r>
      <w:r w:rsidR="00DB63D2" w:rsidRPr="00731644">
        <w:rPr>
          <w:lang w:val="fr-CH"/>
        </w:rPr>
        <w:t xml:space="preserve">en possession de cet objet sans </w:t>
      </w:r>
      <w:r w:rsidR="00584522" w:rsidRPr="00731644">
        <w:rPr>
          <w:lang w:val="fr-CH"/>
        </w:rPr>
        <w:t>justification légale ou sur une</w:t>
      </w:r>
      <w:r w:rsidR="00DB63D2" w:rsidRPr="00731644">
        <w:rPr>
          <w:lang w:val="fr-CH"/>
        </w:rPr>
        <w:t xml:space="preserve"> base </w:t>
      </w:r>
      <w:r w:rsidR="00584522" w:rsidRPr="00731644">
        <w:rPr>
          <w:lang w:val="fr-CH"/>
        </w:rPr>
        <w:t>juridique</w:t>
      </w:r>
      <w:r w:rsidR="00DB63D2" w:rsidRPr="00731644">
        <w:rPr>
          <w:lang w:val="fr-CH"/>
        </w:rPr>
        <w:t xml:space="preserve"> moins solide. La personne à qui son usufruit permet de prétendre à l</w:t>
      </w:r>
      <w:r w:rsidR="00425386" w:rsidRPr="00731644">
        <w:rPr>
          <w:lang w:val="fr-CH"/>
        </w:rPr>
        <w:t>’</w:t>
      </w:r>
      <w:r w:rsidR="00DB63D2" w:rsidRPr="00731644">
        <w:rPr>
          <w:lang w:val="fr-CH"/>
        </w:rPr>
        <w:t>acquisition du bien en vertu d</w:t>
      </w:r>
      <w:r w:rsidR="00425386" w:rsidRPr="00731644">
        <w:rPr>
          <w:lang w:val="fr-CH"/>
        </w:rPr>
        <w:t>’</w:t>
      </w:r>
      <w:r w:rsidR="00DB63D2" w:rsidRPr="00731644">
        <w:rPr>
          <w:lang w:val="fr-CH"/>
        </w:rPr>
        <w:t>une prescription acquisitive extraordinaire</w:t>
      </w:r>
      <w:r w:rsidR="00C776A4" w:rsidRPr="00731644">
        <w:rPr>
          <w:lang w:val="fr-CH"/>
        </w:rPr>
        <w:t xml:space="preserve"> </w:t>
      </w:r>
      <w:r w:rsidR="00DB63D2" w:rsidRPr="00731644">
        <w:rPr>
          <w:lang w:val="fr-CH"/>
        </w:rPr>
        <w:t xml:space="preserve">peut demander la </w:t>
      </w:r>
      <w:r w:rsidR="00C318CA" w:rsidRPr="00731644">
        <w:rPr>
          <w:lang w:val="fr-CH"/>
        </w:rPr>
        <w:t>remise</w:t>
      </w:r>
      <w:r w:rsidR="00DB63D2" w:rsidRPr="00731644">
        <w:rPr>
          <w:lang w:val="fr-CH"/>
        </w:rPr>
        <w:t xml:space="preserve"> </w:t>
      </w:r>
      <w:r w:rsidR="00584522" w:rsidRPr="00731644">
        <w:rPr>
          <w:lang w:val="fr-CH"/>
        </w:rPr>
        <w:t>du bien</w:t>
      </w:r>
      <w:r w:rsidR="00DB63D2" w:rsidRPr="00731644">
        <w:rPr>
          <w:lang w:val="fr-CH"/>
        </w:rPr>
        <w:t xml:space="preserve"> par la personne qui n</w:t>
      </w:r>
      <w:r w:rsidR="00425386" w:rsidRPr="00731644">
        <w:rPr>
          <w:lang w:val="fr-CH"/>
        </w:rPr>
        <w:t>’</w:t>
      </w:r>
      <w:r w:rsidR="00DB63D2" w:rsidRPr="00731644">
        <w:rPr>
          <w:lang w:val="fr-CH"/>
        </w:rPr>
        <w:t xml:space="preserve">a pas le même usufruit. </w:t>
      </w:r>
      <w:r w:rsidR="00584522" w:rsidRPr="00731644">
        <w:rPr>
          <w:lang w:val="fr-CH"/>
        </w:rPr>
        <w:t>Lorsque deux</w:t>
      </w:r>
      <w:r w:rsidR="00CB7658" w:rsidRPr="00731644">
        <w:rPr>
          <w:lang w:val="fr-CH"/>
        </w:rPr>
        <w:t> personnes</w:t>
      </w:r>
      <w:r w:rsidR="00584522" w:rsidRPr="00731644">
        <w:rPr>
          <w:lang w:val="fr-CH"/>
        </w:rPr>
        <w:t xml:space="preserve"> ont </w:t>
      </w:r>
      <w:r w:rsidR="00E132DC" w:rsidRPr="00731644">
        <w:rPr>
          <w:lang w:val="fr-CH"/>
        </w:rPr>
        <w:t>un</w:t>
      </w:r>
      <w:r w:rsidR="00584522" w:rsidRPr="00731644">
        <w:rPr>
          <w:lang w:val="fr-CH"/>
        </w:rPr>
        <w:t xml:space="preserve"> usufruit </w:t>
      </w:r>
      <w:r w:rsidR="00E132DC" w:rsidRPr="00731644">
        <w:rPr>
          <w:lang w:val="fr-CH"/>
        </w:rPr>
        <w:t>équivalent du point de</w:t>
      </w:r>
      <w:r w:rsidR="00584522" w:rsidRPr="00731644">
        <w:rPr>
          <w:lang w:val="fr-CH"/>
        </w:rPr>
        <w:t xml:space="preserve"> vue de </w:t>
      </w:r>
      <w:r w:rsidR="00E132DC" w:rsidRPr="00731644">
        <w:rPr>
          <w:lang w:val="fr-CH"/>
        </w:rPr>
        <w:t>la</w:t>
      </w:r>
      <w:r w:rsidR="00584522" w:rsidRPr="00731644">
        <w:rPr>
          <w:lang w:val="fr-CH"/>
        </w:rPr>
        <w:t xml:space="preserve"> prescription acquisitive, la base juridique</w:t>
      </w:r>
      <w:r w:rsidR="00C776A4" w:rsidRPr="00731644">
        <w:rPr>
          <w:lang w:val="fr-CH"/>
        </w:rPr>
        <w:t xml:space="preserve"> </w:t>
      </w:r>
      <w:r w:rsidR="00584522" w:rsidRPr="00731644">
        <w:rPr>
          <w:lang w:val="fr-CH"/>
        </w:rPr>
        <w:t xml:space="preserve">est plus solide </w:t>
      </w:r>
      <w:r w:rsidR="00E132DC" w:rsidRPr="00731644">
        <w:rPr>
          <w:lang w:val="fr-CH"/>
        </w:rPr>
        <w:t>quand</w:t>
      </w:r>
      <w:r w:rsidR="00584522" w:rsidRPr="00731644">
        <w:rPr>
          <w:lang w:val="fr-CH"/>
        </w:rPr>
        <w:t xml:space="preserve"> le bien </w:t>
      </w:r>
      <w:r w:rsidR="00E132DC" w:rsidRPr="00731644">
        <w:rPr>
          <w:lang w:val="fr-CH"/>
        </w:rPr>
        <w:t xml:space="preserve">a été acquis </w:t>
      </w:r>
      <w:r w:rsidR="00C62B7E" w:rsidRPr="00731644">
        <w:rPr>
          <w:lang w:val="fr-CH"/>
        </w:rPr>
        <w:t>par voie d</w:t>
      </w:r>
      <w:r w:rsidR="00425386" w:rsidRPr="00731644">
        <w:rPr>
          <w:lang w:val="fr-CH"/>
        </w:rPr>
        <w:t>’</w:t>
      </w:r>
      <w:r w:rsidR="00C62B7E" w:rsidRPr="00731644">
        <w:rPr>
          <w:lang w:val="fr-CH"/>
        </w:rPr>
        <w:t>exécution</w:t>
      </w:r>
      <w:r w:rsidR="00584522" w:rsidRPr="00731644">
        <w:rPr>
          <w:lang w:val="fr-CH"/>
        </w:rPr>
        <w:t xml:space="preserve"> d</w:t>
      </w:r>
      <w:r w:rsidR="00425386" w:rsidRPr="00731644">
        <w:rPr>
          <w:lang w:val="fr-CH"/>
        </w:rPr>
        <w:t>’</w:t>
      </w:r>
      <w:r w:rsidR="00584522" w:rsidRPr="00731644">
        <w:rPr>
          <w:lang w:val="fr-CH"/>
        </w:rPr>
        <w:t>une hypothèque que lorsque l</w:t>
      </w:r>
      <w:r w:rsidR="00425386" w:rsidRPr="00731644">
        <w:rPr>
          <w:lang w:val="fr-CH"/>
        </w:rPr>
        <w:t>’</w:t>
      </w:r>
      <w:r w:rsidR="00584522" w:rsidRPr="00731644">
        <w:rPr>
          <w:lang w:val="fr-CH"/>
        </w:rPr>
        <w:t>acquisition s</w:t>
      </w:r>
      <w:r w:rsidR="00425386" w:rsidRPr="00731644">
        <w:rPr>
          <w:lang w:val="fr-CH"/>
        </w:rPr>
        <w:t>’</w:t>
      </w:r>
      <w:r w:rsidR="00584522" w:rsidRPr="00731644">
        <w:rPr>
          <w:lang w:val="fr-CH"/>
        </w:rPr>
        <w:t>est faite sans sûreté.</w:t>
      </w:r>
      <w:r w:rsidR="00C776A4" w:rsidRPr="00731644">
        <w:rPr>
          <w:lang w:val="fr-CH"/>
        </w:rPr>
        <w:t xml:space="preserve"> </w:t>
      </w:r>
      <w:r w:rsidR="00584522" w:rsidRPr="00731644">
        <w:rPr>
          <w:lang w:val="fr-CH"/>
        </w:rPr>
        <w:t>Si les bases juridiques sont également solides, la personne qui est en possession du bien l</w:t>
      </w:r>
      <w:r w:rsidR="00425386" w:rsidRPr="00731644">
        <w:rPr>
          <w:lang w:val="fr-CH"/>
        </w:rPr>
        <w:t>’</w:t>
      </w:r>
      <w:r w:rsidR="00584522" w:rsidRPr="00731644">
        <w:rPr>
          <w:lang w:val="fr-CH"/>
        </w:rPr>
        <w:t>emporte sur l</w:t>
      </w:r>
      <w:r w:rsidR="00425386" w:rsidRPr="00731644">
        <w:rPr>
          <w:lang w:val="fr-CH"/>
        </w:rPr>
        <w:t>’</w:t>
      </w:r>
      <w:r w:rsidR="00584522" w:rsidRPr="00731644">
        <w:rPr>
          <w:lang w:val="fr-CH"/>
        </w:rPr>
        <w:t>autre</w:t>
      </w:r>
      <w:r w:rsidR="00C776A4" w:rsidRPr="00731644">
        <w:rPr>
          <w:lang w:val="fr-CH"/>
        </w:rPr>
        <w:t xml:space="preserve">. </w:t>
      </w:r>
      <w:r w:rsidR="00584522" w:rsidRPr="00731644">
        <w:rPr>
          <w:lang w:val="fr-CH"/>
        </w:rPr>
        <w:t>Pour ce qui est des</w:t>
      </w:r>
      <w:r w:rsidR="00C776A4" w:rsidRPr="00731644">
        <w:rPr>
          <w:lang w:val="fr-CH"/>
        </w:rPr>
        <w:t xml:space="preserve"> conditions </w:t>
      </w:r>
      <w:r w:rsidR="00584522" w:rsidRPr="00731644">
        <w:rPr>
          <w:lang w:val="fr-CH"/>
        </w:rPr>
        <w:t>dans lesquelles un usufruitier de bonne foi peut demander la restitution d</w:t>
      </w:r>
      <w:r w:rsidR="00425386" w:rsidRPr="00731644">
        <w:rPr>
          <w:lang w:val="fr-CH"/>
        </w:rPr>
        <w:t>’</w:t>
      </w:r>
      <w:r w:rsidR="00584522" w:rsidRPr="00731644">
        <w:rPr>
          <w:lang w:val="fr-CH"/>
        </w:rPr>
        <w:t xml:space="preserve">un bien </w:t>
      </w:r>
      <w:r w:rsidR="00EE7A77" w:rsidRPr="00731644">
        <w:rPr>
          <w:lang w:val="fr-CH"/>
        </w:rPr>
        <w:t xml:space="preserve">et de ses </w:t>
      </w:r>
      <w:r w:rsidR="00746767" w:rsidRPr="00731644">
        <w:rPr>
          <w:lang w:val="fr-CH"/>
        </w:rPr>
        <w:t>fr</w:t>
      </w:r>
      <w:r w:rsidR="00EE7A77" w:rsidRPr="00731644">
        <w:rPr>
          <w:lang w:val="fr-CH"/>
        </w:rPr>
        <w:t>uits, et de celles dans lesquelles l</w:t>
      </w:r>
      <w:r w:rsidR="00425386" w:rsidRPr="00731644">
        <w:rPr>
          <w:lang w:val="fr-CH"/>
        </w:rPr>
        <w:t>’</w:t>
      </w:r>
      <w:r w:rsidR="00EE7A77" w:rsidRPr="00731644">
        <w:rPr>
          <w:lang w:val="fr-CH"/>
        </w:rPr>
        <w:t xml:space="preserve">usufruitier peut requérir une indemnisation pour les dépenses encourues </w:t>
      </w:r>
      <w:r w:rsidR="00660131" w:rsidRPr="00731644">
        <w:rPr>
          <w:lang w:val="fr-CH"/>
        </w:rPr>
        <w:t>aux fins</w:t>
      </w:r>
      <w:r w:rsidR="00EE7A77" w:rsidRPr="00731644">
        <w:rPr>
          <w:lang w:val="fr-CH"/>
        </w:rPr>
        <w:t xml:space="preserve"> de l</w:t>
      </w:r>
      <w:r w:rsidR="00425386" w:rsidRPr="00731644">
        <w:rPr>
          <w:lang w:val="fr-CH"/>
        </w:rPr>
        <w:t>’</w:t>
      </w:r>
      <w:r w:rsidR="00EE7A77" w:rsidRPr="00731644">
        <w:rPr>
          <w:lang w:val="fr-CH"/>
        </w:rPr>
        <w:t>entretien du bien</w:t>
      </w:r>
      <w:r w:rsidR="00C776A4" w:rsidRPr="00731644">
        <w:rPr>
          <w:lang w:val="fr-CH"/>
        </w:rPr>
        <w:t xml:space="preserve">, </w:t>
      </w:r>
      <w:r w:rsidR="00EE7A77" w:rsidRPr="00731644">
        <w:rPr>
          <w:lang w:val="fr-CH"/>
        </w:rPr>
        <w:t xml:space="preserve">les dispositions applicables sont, </w:t>
      </w:r>
      <w:r w:rsidR="00C776A4" w:rsidRPr="001753EC">
        <w:rPr>
          <w:i/>
          <w:lang w:val="fr-CH"/>
        </w:rPr>
        <w:t>mutatis mutandis</w:t>
      </w:r>
      <w:r w:rsidR="00EE7A77" w:rsidRPr="00731644">
        <w:rPr>
          <w:lang w:val="fr-CH"/>
        </w:rPr>
        <w:t xml:space="preserve">, les mêmes que celles qui ont trait à la </w:t>
      </w:r>
      <w:r w:rsidR="00C62B7E" w:rsidRPr="00731644">
        <w:rPr>
          <w:lang w:val="fr-CH"/>
        </w:rPr>
        <w:t>requê</w:t>
      </w:r>
      <w:r w:rsidR="00EE7A77" w:rsidRPr="00731644">
        <w:rPr>
          <w:lang w:val="fr-CH"/>
        </w:rPr>
        <w:t>te en restitution du propriétaire d</w:t>
      </w:r>
      <w:r w:rsidR="00425386" w:rsidRPr="00731644">
        <w:rPr>
          <w:lang w:val="fr-CH"/>
        </w:rPr>
        <w:t>’</w:t>
      </w:r>
      <w:r w:rsidR="00EE7A77" w:rsidRPr="00731644">
        <w:rPr>
          <w:lang w:val="fr-CH"/>
        </w:rPr>
        <w:t>un bien.</w:t>
      </w:r>
      <w:r w:rsidR="00F31DD5" w:rsidRPr="00731644">
        <w:rPr>
          <w:lang w:val="fr-CH"/>
        </w:rPr>
        <w:t xml:space="preserve"> </w:t>
      </w:r>
    </w:p>
    <w:p w:rsidR="00C776A4" w:rsidRPr="00731644" w:rsidRDefault="00F70015" w:rsidP="00C776A4">
      <w:pPr>
        <w:pStyle w:val="SingleTxtG"/>
        <w:rPr>
          <w:lang w:val="fr-CH"/>
        </w:rPr>
      </w:pPr>
      <w:r w:rsidRPr="00731644">
        <w:rPr>
          <w:bCs/>
          <w:lang w:val="fr-CH"/>
        </w:rPr>
        <w:t>137</w:t>
      </w:r>
      <w:r w:rsidRPr="00731644">
        <w:rPr>
          <w:bCs/>
          <w:i/>
          <w:lang w:val="fr-CH"/>
        </w:rPr>
        <w:t>.</w:t>
      </w:r>
      <w:r w:rsidRPr="00731644">
        <w:rPr>
          <w:bCs/>
          <w:i/>
          <w:lang w:val="fr-CH"/>
        </w:rPr>
        <w:tab/>
      </w:r>
      <w:r w:rsidR="00C62B7E" w:rsidRPr="00731644">
        <w:rPr>
          <w:bCs/>
          <w:lang w:val="fr-CH"/>
        </w:rPr>
        <w:t>L</w:t>
      </w:r>
      <w:r w:rsidR="00F42C76" w:rsidRPr="00731644">
        <w:rPr>
          <w:bCs/>
          <w:lang w:val="fr-CH"/>
        </w:rPr>
        <w:t>a pla</w:t>
      </w:r>
      <w:r w:rsidR="00C62B7E" w:rsidRPr="00731644">
        <w:rPr>
          <w:bCs/>
          <w:lang w:val="fr-CH"/>
        </w:rPr>
        <w:t>inte pour trouble de jouissance</w:t>
      </w:r>
      <w:r w:rsidR="00F42C76" w:rsidRPr="00731644">
        <w:rPr>
          <w:bCs/>
          <w:lang w:val="fr-CH"/>
        </w:rPr>
        <w:t xml:space="preserve"> peut être déposée au tribunal par le propriétaire ou le possesseur (l</w:t>
      </w:r>
      <w:r w:rsidR="00425386" w:rsidRPr="00731644">
        <w:rPr>
          <w:bCs/>
          <w:lang w:val="fr-CH"/>
        </w:rPr>
        <w:t>’</w:t>
      </w:r>
      <w:r w:rsidR="00F42C76" w:rsidRPr="00731644">
        <w:rPr>
          <w:bCs/>
          <w:lang w:val="fr-CH"/>
        </w:rPr>
        <w:t>usufruitier) d</w:t>
      </w:r>
      <w:r w:rsidR="00425386" w:rsidRPr="00731644">
        <w:rPr>
          <w:bCs/>
          <w:lang w:val="fr-CH"/>
        </w:rPr>
        <w:t>’</w:t>
      </w:r>
      <w:r w:rsidR="00F42C76" w:rsidRPr="00731644">
        <w:rPr>
          <w:bCs/>
          <w:lang w:val="fr-CH"/>
        </w:rPr>
        <w:t>un bien lorsqu</w:t>
      </w:r>
      <w:r w:rsidR="00425386" w:rsidRPr="00731644">
        <w:rPr>
          <w:bCs/>
          <w:lang w:val="fr-CH"/>
        </w:rPr>
        <w:t>’</w:t>
      </w:r>
      <w:r w:rsidR="00F42C76" w:rsidRPr="00731644">
        <w:rPr>
          <w:bCs/>
          <w:lang w:val="fr-CH"/>
        </w:rPr>
        <w:t>un tiers lui occasionne une gêne injustifiable</w:t>
      </w:r>
      <w:r w:rsidR="00F31DD5" w:rsidRPr="00731644">
        <w:rPr>
          <w:bCs/>
          <w:lang w:val="fr-CH"/>
        </w:rPr>
        <w:t>;</w:t>
      </w:r>
      <w:r w:rsidR="00F42C76" w:rsidRPr="00731644">
        <w:rPr>
          <w:bCs/>
          <w:lang w:val="fr-CH"/>
        </w:rPr>
        <w:t xml:space="preserve"> le propriétaire ou l</w:t>
      </w:r>
      <w:r w:rsidR="00425386" w:rsidRPr="00731644">
        <w:rPr>
          <w:bCs/>
          <w:lang w:val="fr-CH"/>
        </w:rPr>
        <w:t>’</w:t>
      </w:r>
      <w:r w:rsidR="00F42C76" w:rsidRPr="00731644">
        <w:rPr>
          <w:bCs/>
          <w:lang w:val="fr-CH"/>
        </w:rPr>
        <w:t>usufruitier peut alors demander qu</w:t>
      </w:r>
      <w:r w:rsidR="00425386" w:rsidRPr="00731644">
        <w:rPr>
          <w:bCs/>
          <w:lang w:val="fr-CH"/>
        </w:rPr>
        <w:t>’</w:t>
      </w:r>
      <w:r w:rsidR="00F42C76" w:rsidRPr="00731644">
        <w:rPr>
          <w:bCs/>
          <w:lang w:val="fr-CH"/>
        </w:rPr>
        <w:t>il soit mis fin</w:t>
      </w:r>
      <w:r w:rsidR="00F31DD5" w:rsidRPr="00731644">
        <w:rPr>
          <w:bCs/>
          <w:lang w:val="fr-CH"/>
        </w:rPr>
        <w:t xml:space="preserve"> </w:t>
      </w:r>
      <w:r w:rsidR="00F42C76" w:rsidRPr="00731644">
        <w:rPr>
          <w:bCs/>
          <w:lang w:val="fr-CH"/>
        </w:rPr>
        <w:t>à ce trouble de jouissance.</w:t>
      </w:r>
      <w:r w:rsidR="00F31DD5" w:rsidRPr="00731644">
        <w:rPr>
          <w:bCs/>
          <w:lang w:val="fr-CH"/>
        </w:rPr>
        <w:t xml:space="preserve"> </w:t>
      </w:r>
      <w:r w:rsidR="00F42C76" w:rsidRPr="00731644">
        <w:rPr>
          <w:bCs/>
          <w:lang w:val="fr-CH"/>
        </w:rPr>
        <w:t>La bonne foi du possesseur et la légalité de l</w:t>
      </w:r>
      <w:r w:rsidR="00425386" w:rsidRPr="00731644">
        <w:rPr>
          <w:bCs/>
          <w:lang w:val="fr-CH"/>
        </w:rPr>
        <w:t>’</w:t>
      </w:r>
      <w:r w:rsidR="00F42C76" w:rsidRPr="00731644">
        <w:rPr>
          <w:bCs/>
          <w:lang w:val="fr-CH"/>
        </w:rPr>
        <w:t>usufruit sont</w:t>
      </w:r>
      <w:r w:rsidR="00F31DD5" w:rsidRPr="00731644">
        <w:rPr>
          <w:bCs/>
          <w:lang w:val="fr-CH"/>
        </w:rPr>
        <w:t xml:space="preserve"> </w:t>
      </w:r>
      <w:r w:rsidR="00F42C76" w:rsidRPr="00731644">
        <w:rPr>
          <w:bCs/>
          <w:lang w:val="fr-CH"/>
        </w:rPr>
        <w:t>présumé</w:t>
      </w:r>
      <w:r w:rsidR="001E4DB6" w:rsidRPr="00731644">
        <w:rPr>
          <w:bCs/>
          <w:lang w:val="fr-CH"/>
        </w:rPr>
        <w:t>e</w:t>
      </w:r>
      <w:r w:rsidR="00F42C76" w:rsidRPr="00731644">
        <w:rPr>
          <w:bCs/>
          <w:lang w:val="fr-CH"/>
        </w:rPr>
        <w:t xml:space="preserve">s. Le défendeur doit prouver </w:t>
      </w:r>
      <w:r w:rsidR="00660131" w:rsidRPr="00731644">
        <w:rPr>
          <w:bCs/>
          <w:lang w:val="fr-CH"/>
        </w:rPr>
        <w:t>l</w:t>
      </w:r>
      <w:r w:rsidR="00425386" w:rsidRPr="00731644">
        <w:rPr>
          <w:bCs/>
          <w:lang w:val="fr-CH"/>
        </w:rPr>
        <w:t>’</w:t>
      </w:r>
      <w:r w:rsidR="00660131" w:rsidRPr="00731644">
        <w:rPr>
          <w:bCs/>
          <w:lang w:val="fr-CH"/>
        </w:rPr>
        <w:t>existence du</w:t>
      </w:r>
      <w:r w:rsidR="00F42C76" w:rsidRPr="00731644">
        <w:rPr>
          <w:bCs/>
          <w:lang w:val="fr-CH"/>
        </w:rPr>
        <w:t xml:space="preserve"> droit dont l</w:t>
      </w:r>
      <w:r w:rsidR="00425386" w:rsidRPr="00731644">
        <w:rPr>
          <w:bCs/>
          <w:lang w:val="fr-CH"/>
        </w:rPr>
        <w:t>’</w:t>
      </w:r>
      <w:r w:rsidR="00F42C76" w:rsidRPr="00731644">
        <w:rPr>
          <w:bCs/>
          <w:lang w:val="fr-CH"/>
        </w:rPr>
        <w:t>exercice est à l</w:t>
      </w:r>
      <w:r w:rsidR="00425386" w:rsidRPr="00731644">
        <w:rPr>
          <w:bCs/>
          <w:lang w:val="fr-CH"/>
        </w:rPr>
        <w:t>’</w:t>
      </w:r>
      <w:r w:rsidR="00F42C76" w:rsidRPr="00731644">
        <w:rPr>
          <w:bCs/>
          <w:lang w:val="fr-CH"/>
        </w:rPr>
        <w:t>origine de la gêne subie par le propriétaire</w:t>
      </w:r>
      <w:r w:rsidR="00C776A4" w:rsidRPr="00731644">
        <w:rPr>
          <w:lang w:val="fr-CH"/>
        </w:rPr>
        <w:t>.</w:t>
      </w:r>
      <w:r w:rsidR="00F42C76" w:rsidRPr="00731644">
        <w:rPr>
          <w:lang w:val="fr-CH"/>
        </w:rPr>
        <w:t xml:space="preserve"> L</w:t>
      </w:r>
      <w:r w:rsidR="00425386" w:rsidRPr="00731644">
        <w:rPr>
          <w:lang w:val="fr-CH"/>
        </w:rPr>
        <w:t>’</w:t>
      </w:r>
      <w:r w:rsidR="00F42C76" w:rsidRPr="00731644">
        <w:rPr>
          <w:lang w:val="fr-CH"/>
        </w:rPr>
        <w:t>inscription au registre public (le cadastre des biens fonciers)</w:t>
      </w:r>
      <w:r w:rsidR="00C776A4" w:rsidRPr="00731644">
        <w:rPr>
          <w:lang w:val="fr-CH"/>
        </w:rPr>
        <w:t xml:space="preserve"> </w:t>
      </w:r>
      <w:r w:rsidR="00F42C76" w:rsidRPr="00731644">
        <w:rPr>
          <w:lang w:val="fr-CH"/>
        </w:rPr>
        <w:t>atteste l</w:t>
      </w:r>
      <w:r w:rsidR="00425386" w:rsidRPr="00731644">
        <w:rPr>
          <w:lang w:val="fr-CH"/>
        </w:rPr>
        <w:t>’</w:t>
      </w:r>
      <w:r w:rsidR="00F42C76" w:rsidRPr="00731644">
        <w:rPr>
          <w:lang w:val="fr-CH"/>
        </w:rPr>
        <w:t>existence d</w:t>
      </w:r>
      <w:r w:rsidR="00425386" w:rsidRPr="00731644">
        <w:rPr>
          <w:lang w:val="fr-CH"/>
        </w:rPr>
        <w:t>’</w:t>
      </w:r>
      <w:r w:rsidR="00F42C76" w:rsidRPr="00731644">
        <w:rPr>
          <w:lang w:val="fr-CH"/>
        </w:rPr>
        <w:t>un certain droit du défendeur sur l</w:t>
      </w:r>
      <w:r w:rsidR="00425386" w:rsidRPr="00731644">
        <w:rPr>
          <w:lang w:val="fr-CH"/>
        </w:rPr>
        <w:t>’</w:t>
      </w:r>
      <w:r w:rsidR="00F42C76" w:rsidRPr="00731644">
        <w:rPr>
          <w:lang w:val="fr-CH"/>
        </w:rPr>
        <w:t>immeuble</w:t>
      </w:r>
      <w:r w:rsidR="00C776A4" w:rsidRPr="00731644">
        <w:rPr>
          <w:lang w:val="fr-CH"/>
        </w:rPr>
        <w:t xml:space="preserve">. </w:t>
      </w:r>
      <w:r w:rsidR="00F42C76" w:rsidRPr="00731644">
        <w:rPr>
          <w:lang w:val="fr-CH"/>
        </w:rPr>
        <w:t>Lorsqu</w:t>
      </w:r>
      <w:r w:rsidR="002C100B" w:rsidRPr="00731644">
        <w:rPr>
          <w:lang w:val="fr-CH"/>
        </w:rPr>
        <w:t xml:space="preserve">e le trouble de jouissance a entraîné </w:t>
      </w:r>
      <w:r w:rsidR="00F42C76" w:rsidRPr="00731644">
        <w:rPr>
          <w:lang w:val="fr-CH"/>
        </w:rPr>
        <w:t xml:space="preserve">un </w:t>
      </w:r>
      <w:r w:rsidR="006B5B26" w:rsidRPr="00731644">
        <w:rPr>
          <w:lang w:val="fr-CH"/>
        </w:rPr>
        <w:t>préjudic</w:t>
      </w:r>
      <w:r w:rsidR="00F42C76" w:rsidRPr="00731644">
        <w:rPr>
          <w:lang w:val="fr-CH"/>
        </w:rPr>
        <w:t>e</w:t>
      </w:r>
      <w:r w:rsidR="002C100B" w:rsidRPr="00731644">
        <w:rPr>
          <w:lang w:val="fr-CH"/>
        </w:rPr>
        <w:t>, le proprié</w:t>
      </w:r>
      <w:r w:rsidR="001E4DB6" w:rsidRPr="00731644">
        <w:rPr>
          <w:lang w:val="fr-CH"/>
        </w:rPr>
        <w:t>taire peut demander réparation</w:t>
      </w:r>
      <w:r w:rsidR="00660131" w:rsidRPr="00731644">
        <w:rPr>
          <w:lang w:val="fr-CH"/>
        </w:rPr>
        <w:t xml:space="preserve"> </w:t>
      </w:r>
      <w:r w:rsidR="002C100B" w:rsidRPr="00731644">
        <w:rPr>
          <w:lang w:val="fr-CH"/>
        </w:rPr>
        <w:t>conformément aux règles générales en la matière.</w:t>
      </w:r>
      <w:r w:rsidR="00F31DD5" w:rsidRPr="00731644">
        <w:rPr>
          <w:lang w:val="fr-CH"/>
        </w:rPr>
        <w:t xml:space="preserve"> </w:t>
      </w:r>
      <w:r w:rsidR="002C100B" w:rsidRPr="00731644">
        <w:rPr>
          <w:lang w:val="fr-CH"/>
        </w:rPr>
        <w:t>Le droit de porter plainte pour trouble de jouissance est imprescriptible.</w:t>
      </w:r>
    </w:p>
    <w:p w:rsidR="00C776A4" w:rsidRPr="00731644" w:rsidRDefault="00B14EC3" w:rsidP="00C776A4">
      <w:pPr>
        <w:pStyle w:val="SingleTxtG"/>
        <w:rPr>
          <w:lang w:val="fr-CH"/>
        </w:rPr>
      </w:pPr>
      <w:r w:rsidRPr="00731644">
        <w:rPr>
          <w:lang w:val="fr-CH"/>
        </w:rPr>
        <w:t>138.</w:t>
      </w:r>
      <w:r w:rsidRPr="00731644">
        <w:rPr>
          <w:lang w:val="fr-CH"/>
        </w:rPr>
        <w:tab/>
      </w:r>
      <w:r w:rsidR="001E4DB6" w:rsidRPr="00731644">
        <w:rPr>
          <w:lang w:val="fr-CH"/>
        </w:rPr>
        <w:t>L</w:t>
      </w:r>
      <w:r w:rsidR="002C100B" w:rsidRPr="00731644">
        <w:rPr>
          <w:lang w:val="fr-CH"/>
        </w:rPr>
        <w:t xml:space="preserve">a </w:t>
      </w:r>
      <w:r w:rsidR="002C100B" w:rsidRPr="007C7FD6">
        <w:rPr>
          <w:iCs/>
          <w:lang w:val="fr-CH"/>
        </w:rPr>
        <w:t xml:space="preserve">loi relative aux relations patrimoniales </w:t>
      </w:r>
      <w:r w:rsidR="001E4DB6" w:rsidRPr="00731644">
        <w:rPr>
          <w:lang w:val="fr-CH"/>
        </w:rPr>
        <w:t>trait</w:t>
      </w:r>
      <w:r w:rsidR="002C100B" w:rsidRPr="00731644">
        <w:rPr>
          <w:lang w:val="fr-CH"/>
        </w:rPr>
        <w:t xml:space="preserve">e également </w:t>
      </w:r>
      <w:r w:rsidR="001E4DB6" w:rsidRPr="00731644">
        <w:rPr>
          <w:lang w:val="fr-CH"/>
        </w:rPr>
        <w:t xml:space="preserve">de </w:t>
      </w:r>
      <w:r w:rsidR="002C100B" w:rsidRPr="00731644">
        <w:rPr>
          <w:lang w:val="fr-CH"/>
        </w:rPr>
        <w:t xml:space="preserve">la </w:t>
      </w:r>
      <w:r w:rsidR="00C776A4" w:rsidRPr="00731644">
        <w:rPr>
          <w:lang w:val="fr-CH"/>
        </w:rPr>
        <w:t xml:space="preserve">protection </w:t>
      </w:r>
      <w:r w:rsidR="002C100B" w:rsidRPr="00731644">
        <w:rPr>
          <w:lang w:val="fr-CH"/>
        </w:rPr>
        <w:t xml:space="preserve">de la </w:t>
      </w:r>
      <w:r w:rsidR="00A66512" w:rsidRPr="00731644">
        <w:rPr>
          <w:lang w:val="fr-CH"/>
        </w:rPr>
        <w:t>copropriété</w:t>
      </w:r>
      <w:r w:rsidR="002C100B" w:rsidRPr="00731644">
        <w:rPr>
          <w:lang w:val="fr-CH"/>
        </w:rPr>
        <w:t xml:space="preserve"> et de la propriété indivise. Dans la pratique, les juridictions ordinaires sont</w:t>
      </w:r>
      <w:r w:rsidR="00F31DD5" w:rsidRPr="00731644">
        <w:rPr>
          <w:lang w:val="fr-CH"/>
        </w:rPr>
        <w:t xml:space="preserve"> </w:t>
      </w:r>
      <w:r w:rsidR="002C100B" w:rsidRPr="00731644">
        <w:rPr>
          <w:lang w:val="fr-CH"/>
        </w:rPr>
        <w:t xml:space="preserve">compétentes pour trancher les différends qui </w:t>
      </w:r>
      <w:r w:rsidR="00360603" w:rsidRPr="00731644">
        <w:rPr>
          <w:lang w:val="fr-CH"/>
        </w:rPr>
        <w:t>se rapportent</w:t>
      </w:r>
      <w:r w:rsidR="002C100B" w:rsidRPr="00731644">
        <w:rPr>
          <w:lang w:val="fr-CH"/>
        </w:rPr>
        <w:t xml:space="preserve"> aux droits de propr</w:t>
      </w:r>
      <w:r w:rsidR="001753EC">
        <w:rPr>
          <w:lang w:val="fr-CH"/>
        </w:rPr>
        <w:t xml:space="preserve">iété et aux autres droits réels </w:t>
      </w:r>
      <w:r w:rsidR="000A684B" w:rsidRPr="00731644">
        <w:rPr>
          <w:lang w:val="fr-CH"/>
        </w:rPr>
        <w:t>sur des biens meubles</w:t>
      </w:r>
      <w:r w:rsidR="00F31DD5" w:rsidRPr="00731644">
        <w:rPr>
          <w:lang w:val="fr-CH"/>
        </w:rPr>
        <w:t>;</w:t>
      </w:r>
      <w:r w:rsidR="006443F6" w:rsidRPr="00731644">
        <w:rPr>
          <w:lang w:val="fr-CH"/>
        </w:rPr>
        <w:t xml:space="preserve"> </w:t>
      </w:r>
      <w:r w:rsidR="002C100B" w:rsidRPr="00731644">
        <w:rPr>
          <w:lang w:val="fr-CH"/>
        </w:rPr>
        <w:t>pour ce qui est des droits de propriété et aut</w:t>
      </w:r>
      <w:r w:rsidR="00360603" w:rsidRPr="00731644">
        <w:rPr>
          <w:lang w:val="fr-CH"/>
        </w:rPr>
        <w:t>r</w:t>
      </w:r>
      <w:r w:rsidR="002C100B" w:rsidRPr="00731644">
        <w:rPr>
          <w:lang w:val="fr-CH"/>
        </w:rPr>
        <w:t xml:space="preserve">es droits réels sur des immeubles, des différends </w:t>
      </w:r>
      <w:r w:rsidR="00360603" w:rsidRPr="00731644">
        <w:rPr>
          <w:lang w:val="fr-CH"/>
        </w:rPr>
        <w:t>lié</w:t>
      </w:r>
      <w:r w:rsidR="002C100B" w:rsidRPr="00731644">
        <w:rPr>
          <w:lang w:val="fr-CH"/>
        </w:rPr>
        <w:t>s à un trouble de jouissance d</w:t>
      </w:r>
      <w:r w:rsidR="00425386" w:rsidRPr="00731644">
        <w:rPr>
          <w:lang w:val="fr-CH"/>
        </w:rPr>
        <w:t>’</w:t>
      </w:r>
      <w:r w:rsidR="002C100B" w:rsidRPr="00731644">
        <w:rPr>
          <w:lang w:val="fr-CH"/>
        </w:rPr>
        <w:t xml:space="preserve">un bien immeuble, et des litiges afférents aux baux, </w:t>
      </w:r>
      <w:r w:rsidR="000A684B" w:rsidRPr="00731644">
        <w:rPr>
          <w:lang w:val="fr-CH"/>
        </w:rPr>
        <w:t>seul le</w:t>
      </w:r>
      <w:r w:rsidR="002C100B" w:rsidRPr="00731644">
        <w:rPr>
          <w:lang w:val="fr-CH"/>
        </w:rPr>
        <w:t xml:space="preserve"> tribunal dans le ressort duquel </w:t>
      </w:r>
      <w:r w:rsidR="000A684B" w:rsidRPr="00731644">
        <w:rPr>
          <w:lang w:val="fr-CH"/>
        </w:rPr>
        <w:t xml:space="preserve">se trouve </w:t>
      </w:r>
      <w:r w:rsidR="002C100B" w:rsidRPr="00731644">
        <w:rPr>
          <w:lang w:val="fr-CH"/>
        </w:rPr>
        <w:t>l</w:t>
      </w:r>
      <w:r w:rsidR="00425386" w:rsidRPr="00731644">
        <w:rPr>
          <w:lang w:val="fr-CH"/>
        </w:rPr>
        <w:t>’</w:t>
      </w:r>
      <w:r w:rsidR="002C100B" w:rsidRPr="00731644">
        <w:rPr>
          <w:lang w:val="fr-CH"/>
        </w:rPr>
        <w:t xml:space="preserve">immeuble </w:t>
      </w:r>
      <w:r w:rsidR="000A684B" w:rsidRPr="00731644">
        <w:rPr>
          <w:lang w:val="fr-CH"/>
        </w:rPr>
        <w:t xml:space="preserve">est compétent. Si </w:t>
      </w:r>
      <w:r w:rsidR="00360603" w:rsidRPr="00731644">
        <w:rPr>
          <w:lang w:val="fr-CH"/>
        </w:rPr>
        <w:t>l</w:t>
      </w:r>
      <w:r w:rsidR="00425386" w:rsidRPr="00731644">
        <w:rPr>
          <w:lang w:val="fr-CH"/>
        </w:rPr>
        <w:t>’</w:t>
      </w:r>
      <w:r w:rsidR="000A684B" w:rsidRPr="00731644">
        <w:rPr>
          <w:lang w:val="fr-CH"/>
        </w:rPr>
        <w:t>immeuble</w:t>
      </w:r>
      <w:r w:rsidR="00360603" w:rsidRPr="00731644">
        <w:rPr>
          <w:lang w:val="fr-CH"/>
        </w:rPr>
        <w:t xml:space="preserve"> est</w:t>
      </w:r>
      <w:r w:rsidR="000A684B" w:rsidRPr="00731644">
        <w:rPr>
          <w:lang w:val="fr-CH"/>
        </w:rPr>
        <w:t xml:space="preserve"> situé dans </w:t>
      </w:r>
      <w:r w:rsidR="00360603" w:rsidRPr="00731644">
        <w:rPr>
          <w:lang w:val="fr-CH"/>
        </w:rPr>
        <w:t>une</w:t>
      </w:r>
      <w:r w:rsidR="000A684B" w:rsidRPr="00731644">
        <w:rPr>
          <w:lang w:val="fr-CH"/>
        </w:rPr>
        <w:t xml:space="preserve"> zone du ressort de plusieurs tribunaux, </w:t>
      </w:r>
      <w:r w:rsidR="00360603" w:rsidRPr="00731644">
        <w:rPr>
          <w:lang w:val="fr-CH"/>
        </w:rPr>
        <w:t>ils</w:t>
      </w:r>
      <w:r w:rsidR="000A684B" w:rsidRPr="00731644">
        <w:rPr>
          <w:lang w:val="fr-CH"/>
        </w:rPr>
        <w:t xml:space="preserve"> sont tous compétents.</w:t>
      </w:r>
      <w:r w:rsidR="00F31DD5" w:rsidRPr="00731644">
        <w:rPr>
          <w:lang w:val="fr-CH"/>
        </w:rPr>
        <w:t xml:space="preserve"> </w:t>
      </w:r>
    </w:p>
    <w:p w:rsidR="00C776A4" w:rsidRPr="00731644" w:rsidRDefault="00B14EC3" w:rsidP="00D53B48">
      <w:pPr>
        <w:pStyle w:val="SingleTxtG"/>
        <w:rPr>
          <w:lang w:val="fr-CH"/>
        </w:rPr>
      </w:pPr>
      <w:r w:rsidRPr="00731644">
        <w:rPr>
          <w:lang w:val="fr-CH"/>
        </w:rPr>
        <w:t>139.</w:t>
      </w:r>
      <w:r w:rsidRPr="00731644">
        <w:rPr>
          <w:lang w:val="fr-CH"/>
        </w:rPr>
        <w:tab/>
      </w:r>
      <w:r w:rsidR="000A684B" w:rsidRPr="00731644">
        <w:rPr>
          <w:lang w:val="fr-CH"/>
        </w:rPr>
        <w:t>La protection des biens est également assurée par la législation pénale. Un certain nombre d</w:t>
      </w:r>
      <w:r w:rsidR="00425386" w:rsidRPr="00731644">
        <w:rPr>
          <w:lang w:val="fr-CH"/>
        </w:rPr>
        <w:t>’</w:t>
      </w:r>
      <w:r w:rsidR="000A684B" w:rsidRPr="00731644">
        <w:rPr>
          <w:lang w:val="fr-CH"/>
        </w:rPr>
        <w:t xml:space="preserve">infractions sont réprimées par les </w:t>
      </w:r>
      <w:r w:rsidR="00CB7658" w:rsidRPr="00731644">
        <w:rPr>
          <w:lang w:val="fr-CH"/>
        </w:rPr>
        <w:t>articles </w:t>
      </w:r>
      <w:r w:rsidR="000A684B" w:rsidRPr="00731644">
        <w:rPr>
          <w:lang w:val="fr-CH"/>
        </w:rPr>
        <w:t xml:space="preserve">239 </w:t>
      </w:r>
      <w:r w:rsidR="00660131" w:rsidRPr="00731644">
        <w:rPr>
          <w:lang w:val="fr-CH"/>
        </w:rPr>
        <w:t>à</w:t>
      </w:r>
      <w:r w:rsidR="000A684B" w:rsidRPr="00731644">
        <w:rPr>
          <w:lang w:val="fr-CH"/>
        </w:rPr>
        <w:t xml:space="preserve"> 257 (titre XXII) du Code pénal.</w:t>
      </w:r>
    </w:p>
    <w:p w:rsidR="00C776A4" w:rsidRPr="00731644" w:rsidRDefault="00B14EC3" w:rsidP="00C776A4">
      <w:pPr>
        <w:pStyle w:val="SingleTxtG"/>
        <w:rPr>
          <w:lang w:val="fr-CH"/>
        </w:rPr>
      </w:pPr>
      <w:r w:rsidRPr="00731644">
        <w:rPr>
          <w:lang w:val="fr-CH"/>
        </w:rPr>
        <w:t>140.</w:t>
      </w:r>
      <w:r w:rsidRPr="00731644">
        <w:rPr>
          <w:lang w:val="fr-CH"/>
        </w:rPr>
        <w:tab/>
      </w:r>
      <w:r w:rsidR="000A684B" w:rsidRPr="00731644">
        <w:rPr>
          <w:lang w:val="fr-CH"/>
        </w:rPr>
        <w:t>Il peut y avoir restriction ou privation du droit de propriété si l</w:t>
      </w:r>
      <w:r w:rsidR="00425386" w:rsidRPr="00731644">
        <w:rPr>
          <w:lang w:val="fr-CH"/>
        </w:rPr>
        <w:t>’</w:t>
      </w:r>
      <w:r w:rsidR="000A684B" w:rsidRPr="00731644">
        <w:rPr>
          <w:lang w:val="fr-CH"/>
        </w:rPr>
        <w:t>organe compétent décide que l</w:t>
      </w:r>
      <w:r w:rsidR="00425386" w:rsidRPr="00731644">
        <w:rPr>
          <w:lang w:val="fr-CH"/>
        </w:rPr>
        <w:t>’</w:t>
      </w:r>
      <w:r w:rsidR="000A684B" w:rsidRPr="00731644">
        <w:rPr>
          <w:lang w:val="fr-CH"/>
        </w:rPr>
        <w:t>intérêt public justifie cette restriction ou cette privation au bénéfice d</w:t>
      </w:r>
      <w:r w:rsidR="00425386" w:rsidRPr="00731644">
        <w:rPr>
          <w:lang w:val="fr-CH"/>
        </w:rPr>
        <w:t>’</w:t>
      </w:r>
      <w:r w:rsidR="000A684B" w:rsidRPr="00731644">
        <w:rPr>
          <w:lang w:val="fr-CH"/>
        </w:rPr>
        <w:t>une personne</w:t>
      </w:r>
      <w:r w:rsidR="00660131" w:rsidRPr="00731644">
        <w:rPr>
          <w:lang w:val="fr-CH"/>
        </w:rPr>
        <w:t>,</w:t>
      </w:r>
      <w:r w:rsidR="00C867DF" w:rsidRPr="00731644">
        <w:rPr>
          <w:lang w:val="fr-CH"/>
        </w:rPr>
        <w:t xml:space="preserve"> ou s</w:t>
      </w:r>
      <w:r w:rsidR="00425386" w:rsidRPr="00731644">
        <w:rPr>
          <w:lang w:val="fr-CH"/>
        </w:rPr>
        <w:t>’</w:t>
      </w:r>
      <w:r w:rsidR="00C867DF" w:rsidRPr="00731644">
        <w:rPr>
          <w:lang w:val="fr-CH"/>
        </w:rPr>
        <w:t xml:space="preserve">il est prescrit que le type de bien considéré ne peut pas </w:t>
      </w:r>
      <w:r w:rsidR="00660131" w:rsidRPr="00731644">
        <w:rPr>
          <w:lang w:val="fr-CH"/>
        </w:rPr>
        <w:t>faire</w:t>
      </w:r>
      <w:r w:rsidR="00C867DF" w:rsidRPr="00731644">
        <w:rPr>
          <w:lang w:val="fr-CH"/>
        </w:rPr>
        <w:t xml:space="preserve"> l</w:t>
      </w:r>
      <w:r w:rsidR="00425386" w:rsidRPr="00731644">
        <w:rPr>
          <w:lang w:val="fr-CH"/>
        </w:rPr>
        <w:t>’</w:t>
      </w:r>
      <w:r w:rsidR="00C867DF" w:rsidRPr="00731644">
        <w:rPr>
          <w:lang w:val="fr-CH"/>
        </w:rPr>
        <w:t>objet d</w:t>
      </w:r>
      <w:r w:rsidR="00425386" w:rsidRPr="00731644">
        <w:rPr>
          <w:lang w:val="fr-CH"/>
        </w:rPr>
        <w:t>’</w:t>
      </w:r>
      <w:r w:rsidR="00C867DF" w:rsidRPr="00731644">
        <w:rPr>
          <w:lang w:val="fr-CH"/>
        </w:rPr>
        <w:t xml:space="preserve">une appropriation. En application de la </w:t>
      </w:r>
      <w:r w:rsidR="00C867DF" w:rsidRPr="00DA0274">
        <w:rPr>
          <w:iCs/>
          <w:lang w:val="fr-CH"/>
        </w:rPr>
        <w:t>loi relative à l</w:t>
      </w:r>
      <w:r w:rsidR="00425386" w:rsidRPr="00DA0274">
        <w:rPr>
          <w:iCs/>
          <w:lang w:val="fr-CH"/>
        </w:rPr>
        <w:t>’</w:t>
      </w:r>
      <w:r w:rsidR="00C867DF" w:rsidRPr="00DA0274">
        <w:rPr>
          <w:iCs/>
          <w:lang w:val="fr-CH"/>
        </w:rPr>
        <w:t xml:space="preserve">expropriation </w:t>
      </w:r>
      <w:r w:rsidR="00C776A4"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5072A0">
        <w:rPr>
          <w:lang w:val="fr-CH"/>
        </w:rPr>
        <w:t>n</w:t>
      </w:r>
      <w:r w:rsidR="005072A0" w:rsidRPr="005072A0">
        <w:rPr>
          <w:vertAlign w:val="superscript"/>
          <w:lang w:val="fr-CH"/>
        </w:rPr>
        <w:t>o</w:t>
      </w:r>
      <w:r w:rsidR="00F47A90">
        <w:rPr>
          <w:vertAlign w:val="superscript"/>
          <w:lang w:val="fr-CH"/>
        </w:rPr>
        <w:t>s</w:t>
      </w:r>
      <w:r w:rsidR="005072A0">
        <w:rPr>
          <w:lang w:val="fr-CH"/>
        </w:rPr>
        <w:t> </w:t>
      </w:r>
      <w:r w:rsidR="00C776A4" w:rsidRPr="00731644">
        <w:rPr>
          <w:lang w:val="fr-CH"/>
        </w:rPr>
        <w:t xml:space="preserve">55/00 </w:t>
      </w:r>
      <w:r w:rsidR="00C867DF" w:rsidRPr="00731644">
        <w:rPr>
          <w:lang w:val="fr-CH"/>
        </w:rPr>
        <w:t xml:space="preserve">et </w:t>
      </w:r>
      <w:r w:rsidR="00C776A4" w:rsidRPr="00731644">
        <w:rPr>
          <w:lang w:val="fr-CH"/>
        </w:rPr>
        <w:t xml:space="preserve">21/08), </w:t>
      </w:r>
      <w:r w:rsidR="00C867DF" w:rsidRPr="00731644">
        <w:rPr>
          <w:lang w:val="fr-CH"/>
        </w:rPr>
        <w:t>des restrictions sont apportées au droit de propriété lorsque l</w:t>
      </w:r>
      <w:r w:rsidR="00425386" w:rsidRPr="00731644">
        <w:rPr>
          <w:lang w:val="fr-CH"/>
        </w:rPr>
        <w:t>’</w:t>
      </w:r>
      <w:r w:rsidR="00C867DF" w:rsidRPr="00731644">
        <w:rPr>
          <w:lang w:val="fr-CH"/>
        </w:rPr>
        <w:t>intérêt public l</w:t>
      </w:r>
      <w:r w:rsidR="00425386" w:rsidRPr="00731644">
        <w:rPr>
          <w:lang w:val="fr-CH"/>
        </w:rPr>
        <w:t>’</w:t>
      </w:r>
      <w:r w:rsidR="00C867DF" w:rsidRPr="00731644">
        <w:rPr>
          <w:lang w:val="fr-CH"/>
        </w:rPr>
        <w:t xml:space="preserve">exige, moyennant une </w:t>
      </w:r>
      <w:r w:rsidR="00C776A4" w:rsidRPr="00731644">
        <w:rPr>
          <w:lang w:val="fr-CH"/>
        </w:rPr>
        <w:t>compensation</w:t>
      </w:r>
      <w:r w:rsidR="00C867DF" w:rsidRPr="00731644">
        <w:rPr>
          <w:lang w:val="fr-CH"/>
        </w:rPr>
        <w:t xml:space="preserve"> équitable</w:t>
      </w:r>
      <w:r w:rsidR="00C776A4" w:rsidRPr="00731644">
        <w:rPr>
          <w:lang w:val="fr-CH"/>
        </w:rPr>
        <w:t>.</w:t>
      </w:r>
    </w:p>
    <w:p w:rsidR="00C776A4" w:rsidRPr="00731644" w:rsidRDefault="00B14EC3" w:rsidP="00C776A4">
      <w:pPr>
        <w:pStyle w:val="SingleTxtG"/>
        <w:rPr>
          <w:lang w:val="fr-CH"/>
        </w:rPr>
      </w:pPr>
      <w:r w:rsidRPr="00731644">
        <w:rPr>
          <w:lang w:val="fr-CH"/>
        </w:rPr>
        <w:t>141.</w:t>
      </w:r>
      <w:r w:rsidRPr="00731644">
        <w:rPr>
          <w:lang w:val="fr-CH"/>
        </w:rPr>
        <w:tab/>
      </w:r>
      <w:r w:rsidR="00C867DF" w:rsidRPr="00731644">
        <w:rPr>
          <w:lang w:val="fr-CH"/>
        </w:rPr>
        <w:t>L</w:t>
      </w:r>
      <w:r w:rsidR="00425386" w:rsidRPr="00731644">
        <w:rPr>
          <w:lang w:val="fr-CH"/>
        </w:rPr>
        <w:t>’</w:t>
      </w:r>
      <w:r w:rsidR="00C867DF" w:rsidRPr="00731644">
        <w:rPr>
          <w:lang w:val="fr-CH"/>
        </w:rPr>
        <w:t>existence d</w:t>
      </w:r>
      <w:r w:rsidR="00425386" w:rsidRPr="00731644">
        <w:rPr>
          <w:lang w:val="fr-CH"/>
        </w:rPr>
        <w:t>’</w:t>
      </w:r>
      <w:r w:rsidR="00C867DF" w:rsidRPr="00731644">
        <w:rPr>
          <w:lang w:val="fr-CH"/>
        </w:rPr>
        <w:t>un intérêt public justifiant l</w:t>
      </w:r>
      <w:r w:rsidR="00425386" w:rsidRPr="00731644">
        <w:rPr>
          <w:lang w:val="fr-CH"/>
        </w:rPr>
        <w:t>’</w:t>
      </w:r>
      <w:r w:rsidR="00C867DF" w:rsidRPr="00731644">
        <w:rPr>
          <w:lang w:val="fr-CH"/>
        </w:rPr>
        <w:t>expropriation d</w:t>
      </w:r>
      <w:r w:rsidR="00425386" w:rsidRPr="00731644">
        <w:rPr>
          <w:lang w:val="fr-CH"/>
        </w:rPr>
        <w:t>’</w:t>
      </w:r>
      <w:r w:rsidR="00C867DF" w:rsidRPr="00731644">
        <w:rPr>
          <w:lang w:val="fr-CH"/>
        </w:rPr>
        <w:t>un immeuble est établie par la loi. L</w:t>
      </w:r>
      <w:r w:rsidR="00425386" w:rsidRPr="00731644">
        <w:rPr>
          <w:lang w:val="fr-CH"/>
        </w:rPr>
        <w:t>’</w:t>
      </w:r>
      <w:r w:rsidR="00C867DF" w:rsidRPr="00731644">
        <w:rPr>
          <w:lang w:val="fr-CH"/>
        </w:rPr>
        <w:t>e</w:t>
      </w:r>
      <w:r w:rsidR="00C776A4" w:rsidRPr="00731644">
        <w:rPr>
          <w:lang w:val="fr-CH"/>
        </w:rPr>
        <w:t xml:space="preserve">xpropriation </w:t>
      </w:r>
      <w:r w:rsidR="00C867DF" w:rsidRPr="00731644">
        <w:rPr>
          <w:lang w:val="fr-CH"/>
        </w:rPr>
        <w:t>peut être totale, lorsque le bien immeuble exproprié change de propriétaire, ou partielle, lorsqu</w:t>
      </w:r>
      <w:r w:rsidR="00425386" w:rsidRPr="00731644">
        <w:rPr>
          <w:lang w:val="fr-CH"/>
        </w:rPr>
        <w:t>’</w:t>
      </w:r>
      <w:r w:rsidR="00C867DF" w:rsidRPr="00731644">
        <w:rPr>
          <w:lang w:val="fr-CH"/>
        </w:rPr>
        <w:t>il est possible d</w:t>
      </w:r>
      <w:r w:rsidR="00425386" w:rsidRPr="00731644">
        <w:rPr>
          <w:lang w:val="fr-CH"/>
        </w:rPr>
        <w:t>’</w:t>
      </w:r>
      <w:r w:rsidR="00C867DF" w:rsidRPr="00731644">
        <w:rPr>
          <w:lang w:val="fr-CH"/>
        </w:rPr>
        <w:t>établir une servitude sur un bien foncier et de le donner à bail pour une durée déterminée</w:t>
      </w:r>
      <w:r w:rsidR="00C776A4" w:rsidRPr="00731644">
        <w:rPr>
          <w:lang w:val="fr-CH"/>
        </w:rPr>
        <w:t>.</w:t>
      </w:r>
    </w:p>
    <w:p w:rsidR="00C776A4" w:rsidRPr="00731644" w:rsidRDefault="00B14EC3" w:rsidP="00C776A4">
      <w:pPr>
        <w:pStyle w:val="SingleTxtG"/>
        <w:rPr>
          <w:lang w:val="fr-CH"/>
        </w:rPr>
      </w:pPr>
      <w:r w:rsidRPr="00731644">
        <w:rPr>
          <w:lang w:val="fr-CH"/>
        </w:rPr>
        <w:t>142.</w:t>
      </w:r>
      <w:r w:rsidRPr="00731644">
        <w:rPr>
          <w:lang w:val="fr-CH"/>
        </w:rPr>
        <w:tab/>
      </w:r>
      <w:r w:rsidR="00C867DF" w:rsidRPr="00731644">
        <w:rPr>
          <w:lang w:val="fr-CH"/>
        </w:rPr>
        <w:t>Lorsque l</w:t>
      </w:r>
      <w:r w:rsidR="00425386" w:rsidRPr="00731644">
        <w:rPr>
          <w:lang w:val="fr-CH"/>
        </w:rPr>
        <w:t>’</w:t>
      </w:r>
      <w:r w:rsidR="00C776A4" w:rsidRPr="00731644">
        <w:rPr>
          <w:lang w:val="fr-CH"/>
        </w:rPr>
        <w:t xml:space="preserve">expropriation </w:t>
      </w:r>
      <w:r w:rsidR="00C867DF" w:rsidRPr="00731644">
        <w:rPr>
          <w:lang w:val="fr-CH"/>
        </w:rPr>
        <w:t>d</w:t>
      </w:r>
      <w:r w:rsidR="00425386" w:rsidRPr="00731644">
        <w:rPr>
          <w:lang w:val="fr-CH"/>
        </w:rPr>
        <w:t>’</w:t>
      </w:r>
      <w:r w:rsidR="00C867DF" w:rsidRPr="00731644">
        <w:rPr>
          <w:lang w:val="fr-CH"/>
        </w:rPr>
        <w:t>un bien immeuble est reconnue d</w:t>
      </w:r>
      <w:r w:rsidR="00425386" w:rsidRPr="00731644">
        <w:rPr>
          <w:lang w:val="fr-CH"/>
        </w:rPr>
        <w:t>’</w:t>
      </w:r>
      <w:r w:rsidR="00C867DF" w:rsidRPr="00731644">
        <w:rPr>
          <w:lang w:val="fr-CH"/>
        </w:rPr>
        <w:t xml:space="preserve">intérêt public, la procédure est menée par </w:t>
      </w:r>
      <w:r w:rsidR="00153333" w:rsidRPr="00731644">
        <w:rPr>
          <w:lang w:val="fr-CH"/>
        </w:rPr>
        <w:t>l</w:t>
      </w:r>
      <w:r w:rsidR="00425386" w:rsidRPr="00731644">
        <w:rPr>
          <w:lang w:val="fr-CH"/>
        </w:rPr>
        <w:t>’</w:t>
      </w:r>
      <w:r w:rsidR="00153333" w:rsidRPr="00731644">
        <w:rPr>
          <w:lang w:val="fr-CH"/>
        </w:rPr>
        <w:t xml:space="preserve">organe compétent de </w:t>
      </w:r>
      <w:r w:rsidR="00C867DF" w:rsidRPr="00731644">
        <w:rPr>
          <w:lang w:val="fr-CH"/>
        </w:rPr>
        <w:t>l</w:t>
      </w:r>
      <w:r w:rsidR="00425386" w:rsidRPr="00731644">
        <w:rPr>
          <w:lang w:val="fr-CH"/>
        </w:rPr>
        <w:t>’</w:t>
      </w:r>
      <w:r w:rsidR="00C867DF" w:rsidRPr="00731644">
        <w:rPr>
          <w:lang w:val="fr-CH"/>
        </w:rPr>
        <w:t xml:space="preserve">administration </w:t>
      </w:r>
      <w:r w:rsidR="00153333" w:rsidRPr="00731644">
        <w:rPr>
          <w:lang w:val="fr-CH"/>
        </w:rPr>
        <w:t>publique. Une fois cet intérêt établi, le bénéficiaire de l</w:t>
      </w:r>
      <w:r w:rsidR="00425386" w:rsidRPr="00731644">
        <w:rPr>
          <w:lang w:val="fr-CH"/>
        </w:rPr>
        <w:t>’</w:t>
      </w:r>
      <w:r w:rsidR="00C776A4" w:rsidRPr="00731644">
        <w:rPr>
          <w:lang w:val="fr-CH"/>
        </w:rPr>
        <w:t xml:space="preserve">expropriation </w:t>
      </w:r>
      <w:r w:rsidR="00153333" w:rsidRPr="00731644">
        <w:rPr>
          <w:lang w:val="fr-CH"/>
        </w:rPr>
        <w:t>peut présenter une proposition d</w:t>
      </w:r>
      <w:r w:rsidR="00425386" w:rsidRPr="00731644">
        <w:rPr>
          <w:lang w:val="fr-CH"/>
        </w:rPr>
        <w:t>’</w:t>
      </w:r>
      <w:r w:rsidR="00153333" w:rsidRPr="00731644">
        <w:rPr>
          <w:lang w:val="fr-CH"/>
        </w:rPr>
        <w:t>expropriation, qui doit indiquer le nom du bénéficiaire et l</w:t>
      </w:r>
      <w:r w:rsidR="00425386" w:rsidRPr="00731644">
        <w:rPr>
          <w:lang w:val="fr-CH"/>
        </w:rPr>
        <w:t>’</w:t>
      </w:r>
      <w:r w:rsidR="00153333" w:rsidRPr="00731644">
        <w:rPr>
          <w:lang w:val="fr-CH"/>
        </w:rPr>
        <w:t xml:space="preserve">adresse de son siège, les biens immeubles à exproprier et leur localisation, les </w:t>
      </w:r>
      <w:r w:rsidR="00BA3EB5" w:rsidRPr="00731644">
        <w:rPr>
          <w:lang w:val="fr-CH"/>
        </w:rPr>
        <w:t xml:space="preserve">nom et adresse de leur </w:t>
      </w:r>
      <w:r w:rsidR="00153333" w:rsidRPr="00731644">
        <w:rPr>
          <w:lang w:val="fr-CH"/>
        </w:rPr>
        <w:t>propriétaire et les fins auxquelles l</w:t>
      </w:r>
      <w:r w:rsidR="00425386" w:rsidRPr="00731644">
        <w:rPr>
          <w:lang w:val="fr-CH"/>
        </w:rPr>
        <w:t>’</w:t>
      </w:r>
      <w:r w:rsidR="00153333" w:rsidRPr="00731644">
        <w:rPr>
          <w:lang w:val="fr-CH"/>
        </w:rPr>
        <w:t xml:space="preserve">expropriation est </w:t>
      </w:r>
      <w:r w:rsidR="00A66512" w:rsidRPr="00731644">
        <w:rPr>
          <w:lang w:val="fr-CH"/>
        </w:rPr>
        <w:t>envisagée</w:t>
      </w:r>
      <w:r w:rsidR="00153333" w:rsidRPr="00731644">
        <w:rPr>
          <w:lang w:val="fr-CH"/>
        </w:rPr>
        <w:t>.</w:t>
      </w:r>
    </w:p>
    <w:p w:rsidR="00C776A4" w:rsidRPr="00731644" w:rsidRDefault="00B14EC3" w:rsidP="00D53B48">
      <w:pPr>
        <w:pStyle w:val="SingleTxtG"/>
        <w:rPr>
          <w:lang w:val="fr-CH"/>
        </w:rPr>
      </w:pPr>
      <w:r w:rsidRPr="00731644">
        <w:rPr>
          <w:lang w:val="fr-CH"/>
        </w:rPr>
        <w:t>143.</w:t>
      </w:r>
      <w:r w:rsidRPr="00731644">
        <w:rPr>
          <w:lang w:val="fr-CH"/>
        </w:rPr>
        <w:tab/>
      </w:r>
      <w:r w:rsidR="00153333" w:rsidRPr="00731644">
        <w:rPr>
          <w:lang w:val="fr-CH"/>
        </w:rPr>
        <w:t>Une fois la procédure d</w:t>
      </w:r>
      <w:r w:rsidR="00425386" w:rsidRPr="00731644">
        <w:rPr>
          <w:lang w:val="fr-CH"/>
        </w:rPr>
        <w:t>’</w:t>
      </w:r>
      <w:r w:rsidR="00153333" w:rsidRPr="00731644">
        <w:rPr>
          <w:lang w:val="fr-CH"/>
        </w:rPr>
        <w:t xml:space="preserve">expropriation </w:t>
      </w:r>
      <w:r w:rsidR="00251DAF" w:rsidRPr="00731644">
        <w:rPr>
          <w:lang w:val="fr-CH"/>
        </w:rPr>
        <w:t>terminée, l</w:t>
      </w:r>
      <w:r w:rsidR="00425386" w:rsidRPr="00731644">
        <w:rPr>
          <w:lang w:val="fr-CH"/>
        </w:rPr>
        <w:t>’</w:t>
      </w:r>
      <w:r w:rsidR="00251DAF" w:rsidRPr="00731644">
        <w:rPr>
          <w:lang w:val="fr-CH"/>
        </w:rPr>
        <w:t>organe administratif compétent, agissant en première instance, prend la décision d</w:t>
      </w:r>
      <w:r w:rsidR="00425386" w:rsidRPr="00731644">
        <w:rPr>
          <w:lang w:val="fr-CH"/>
        </w:rPr>
        <w:t>’</w:t>
      </w:r>
      <w:r w:rsidR="00251DAF" w:rsidRPr="00731644">
        <w:rPr>
          <w:lang w:val="fr-CH"/>
        </w:rPr>
        <w:t>expropriation</w:t>
      </w:r>
      <w:r w:rsidR="00F31DD5" w:rsidRPr="00731644">
        <w:rPr>
          <w:lang w:val="fr-CH"/>
        </w:rPr>
        <w:t>;</w:t>
      </w:r>
      <w:r w:rsidR="00251DAF" w:rsidRPr="00731644">
        <w:rPr>
          <w:lang w:val="fr-CH"/>
        </w:rPr>
        <w:t xml:space="preserve"> en cas de désaccord, il est possible de recourir à l</w:t>
      </w:r>
      <w:r w:rsidR="00425386" w:rsidRPr="00731644">
        <w:rPr>
          <w:lang w:val="fr-CH"/>
        </w:rPr>
        <w:t>’</w:t>
      </w:r>
      <w:r w:rsidR="00251DAF" w:rsidRPr="00731644">
        <w:rPr>
          <w:lang w:val="fr-CH"/>
        </w:rPr>
        <w:t>organisme de deuxième instance, c</w:t>
      </w:r>
      <w:r w:rsidR="00425386" w:rsidRPr="00731644">
        <w:rPr>
          <w:lang w:val="fr-CH"/>
        </w:rPr>
        <w:t>’</w:t>
      </w:r>
      <w:r w:rsidR="00251DAF" w:rsidRPr="00731644">
        <w:rPr>
          <w:lang w:val="fr-CH"/>
        </w:rPr>
        <w:t>est-à-dire au Ministère des fi</w:t>
      </w:r>
      <w:r w:rsidR="00BA3EB5" w:rsidRPr="00731644">
        <w:rPr>
          <w:lang w:val="fr-CH"/>
        </w:rPr>
        <w:t>n</w:t>
      </w:r>
      <w:r w:rsidR="00251DAF" w:rsidRPr="00731644">
        <w:rPr>
          <w:lang w:val="fr-CH"/>
        </w:rPr>
        <w:t>ances. Le coût de l</w:t>
      </w:r>
      <w:r w:rsidR="00425386" w:rsidRPr="00731644">
        <w:rPr>
          <w:lang w:val="fr-CH"/>
        </w:rPr>
        <w:t>’</w:t>
      </w:r>
      <w:r w:rsidR="00251DAF" w:rsidRPr="00731644">
        <w:rPr>
          <w:lang w:val="fr-CH"/>
        </w:rPr>
        <w:t>expropriation est à la charge du bénéficiaire de celle-ci.</w:t>
      </w:r>
      <w:r w:rsidR="006443F6" w:rsidRPr="00731644">
        <w:rPr>
          <w:lang w:val="fr-CH"/>
        </w:rPr>
        <w:t xml:space="preserve"> </w:t>
      </w:r>
      <w:r w:rsidR="00251DAF" w:rsidRPr="00731644">
        <w:rPr>
          <w:lang w:val="fr-CH"/>
        </w:rPr>
        <w:t>Sur la base de la proposition d</w:t>
      </w:r>
      <w:r w:rsidR="00425386" w:rsidRPr="00731644">
        <w:rPr>
          <w:lang w:val="fr-CH"/>
        </w:rPr>
        <w:t>’</w:t>
      </w:r>
      <w:r w:rsidR="00251DAF" w:rsidRPr="00731644">
        <w:rPr>
          <w:lang w:val="fr-CH"/>
        </w:rPr>
        <w:t>expropriation, l</w:t>
      </w:r>
      <w:r w:rsidR="00425386" w:rsidRPr="00731644">
        <w:rPr>
          <w:lang w:val="fr-CH"/>
        </w:rPr>
        <w:t>’</w:t>
      </w:r>
      <w:r w:rsidR="00251DAF" w:rsidRPr="00731644">
        <w:rPr>
          <w:lang w:val="fr-CH"/>
        </w:rPr>
        <w:t>organe compétent de l</w:t>
      </w:r>
      <w:r w:rsidR="00425386" w:rsidRPr="00731644">
        <w:rPr>
          <w:lang w:val="fr-CH"/>
        </w:rPr>
        <w:t>’</w:t>
      </w:r>
      <w:r w:rsidR="00251DAF" w:rsidRPr="00731644">
        <w:rPr>
          <w:lang w:val="fr-CH"/>
        </w:rPr>
        <w:t>administration publique inscrit</w:t>
      </w:r>
      <w:r w:rsidR="00F31DD5" w:rsidRPr="00731644">
        <w:rPr>
          <w:lang w:val="fr-CH"/>
        </w:rPr>
        <w:t xml:space="preserve"> </w:t>
      </w:r>
      <w:r w:rsidR="00251DAF" w:rsidRPr="00731644">
        <w:rPr>
          <w:lang w:val="fr-CH"/>
        </w:rPr>
        <w:t>dans le cadastre des biens fonciers la notification de l</w:t>
      </w:r>
      <w:r w:rsidR="00425386" w:rsidRPr="00731644">
        <w:rPr>
          <w:lang w:val="fr-CH"/>
        </w:rPr>
        <w:t>’</w:t>
      </w:r>
      <w:r w:rsidR="00251DAF" w:rsidRPr="00731644">
        <w:rPr>
          <w:lang w:val="fr-CH"/>
        </w:rPr>
        <w:t>expropriation. Le jour où la décision d</w:t>
      </w:r>
      <w:r w:rsidR="00425386" w:rsidRPr="00731644">
        <w:rPr>
          <w:lang w:val="fr-CH"/>
        </w:rPr>
        <w:t>’</w:t>
      </w:r>
      <w:r w:rsidR="00251DAF" w:rsidRPr="00731644">
        <w:rPr>
          <w:lang w:val="fr-CH"/>
        </w:rPr>
        <w:t>expropriation prend effet, le bénéficiaire acquiert l</w:t>
      </w:r>
      <w:r w:rsidR="00BA3EB5" w:rsidRPr="00731644">
        <w:rPr>
          <w:lang w:val="fr-CH"/>
        </w:rPr>
        <w:t>e droit de prendre possession du</w:t>
      </w:r>
      <w:r w:rsidR="00251DAF" w:rsidRPr="00731644">
        <w:rPr>
          <w:lang w:val="fr-CH"/>
        </w:rPr>
        <w:t xml:space="preserve"> bien immeuble exproprié. Jusqu</w:t>
      </w:r>
      <w:r w:rsidR="00425386" w:rsidRPr="00731644">
        <w:rPr>
          <w:lang w:val="fr-CH"/>
        </w:rPr>
        <w:t>’</w:t>
      </w:r>
      <w:r w:rsidR="00251DAF" w:rsidRPr="00731644">
        <w:rPr>
          <w:lang w:val="fr-CH"/>
        </w:rPr>
        <w:t>à cette date, il peut renoncer à la proposition d</w:t>
      </w:r>
      <w:r w:rsidR="00425386" w:rsidRPr="00731644">
        <w:rPr>
          <w:lang w:val="fr-CH"/>
        </w:rPr>
        <w:t>’</w:t>
      </w:r>
      <w:r w:rsidR="00251DAF" w:rsidRPr="00731644">
        <w:rPr>
          <w:lang w:val="fr-CH"/>
        </w:rPr>
        <w:t xml:space="preserve">expropriation. </w:t>
      </w:r>
      <w:r w:rsidR="00657A77" w:rsidRPr="00731644">
        <w:rPr>
          <w:lang w:val="fr-CH"/>
        </w:rPr>
        <w:t>En cas de différend, les relations patrimoniales entre le bénéficiaire de l</w:t>
      </w:r>
      <w:r w:rsidR="00425386" w:rsidRPr="00731644">
        <w:rPr>
          <w:lang w:val="fr-CH"/>
        </w:rPr>
        <w:t>’</w:t>
      </w:r>
      <w:r w:rsidR="00657A77" w:rsidRPr="00731644">
        <w:rPr>
          <w:lang w:val="fr-CH"/>
        </w:rPr>
        <w:t>expropriation et le propriétaire des biens immeubles son</w:t>
      </w:r>
      <w:r w:rsidR="00BA3EB5" w:rsidRPr="00731644">
        <w:rPr>
          <w:lang w:val="fr-CH"/>
        </w:rPr>
        <w:t>t</w:t>
      </w:r>
      <w:r w:rsidR="00657A77" w:rsidRPr="00731644">
        <w:rPr>
          <w:lang w:val="fr-CH"/>
        </w:rPr>
        <w:t xml:space="preserve"> réglées par un tribunal ordinaire.</w:t>
      </w:r>
      <w:r w:rsidR="00F31DD5" w:rsidRPr="00731644">
        <w:rPr>
          <w:lang w:val="fr-CH"/>
        </w:rPr>
        <w:t xml:space="preserve"> </w:t>
      </w:r>
    </w:p>
    <w:p w:rsidR="00C776A4" w:rsidRPr="00731644" w:rsidRDefault="00B14EC3" w:rsidP="007A429C">
      <w:pPr>
        <w:pStyle w:val="SingleTxtG"/>
        <w:rPr>
          <w:lang w:val="fr-CH"/>
        </w:rPr>
      </w:pPr>
      <w:r w:rsidRPr="00731644">
        <w:rPr>
          <w:lang w:val="fr-CH"/>
        </w:rPr>
        <w:t>144.</w:t>
      </w:r>
      <w:r w:rsidRPr="00731644">
        <w:rPr>
          <w:lang w:val="fr-CH"/>
        </w:rPr>
        <w:tab/>
      </w:r>
      <w:r w:rsidR="00657A77" w:rsidRPr="00731644">
        <w:rPr>
          <w:lang w:val="fr-CH"/>
        </w:rPr>
        <w:t xml:space="preserve">Les droits de propriété peuvent également être restreints </w:t>
      </w:r>
      <w:r w:rsidR="00BA3EB5" w:rsidRPr="00731644">
        <w:rPr>
          <w:lang w:val="fr-CH"/>
        </w:rPr>
        <w:t>en vue</w:t>
      </w:r>
      <w:r w:rsidR="00657A77" w:rsidRPr="00731644">
        <w:rPr>
          <w:lang w:val="fr-CH"/>
        </w:rPr>
        <w:t xml:space="preserve"> de la protection de l</w:t>
      </w:r>
      <w:r w:rsidR="00425386" w:rsidRPr="00731644">
        <w:rPr>
          <w:lang w:val="fr-CH"/>
        </w:rPr>
        <w:t>’</w:t>
      </w:r>
      <w:r w:rsidR="00657A77" w:rsidRPr="00731644">
        <w:rPr>
          <w:lang w:val="fr-CH"/>
        </w:rPr>
        <w:t>environnement, de la défense, de la sécurité de l</w:t>
      </w:r>
      <w:r w:rsidR="00425386" w:rsidRPr="00731644">
        <w:rPr>
          <w:lang w:val="fr-CH"/>
        </w:rPr>
        <w:t>’</w:t>
      </w:r>
      <w:r w:rsidR="00657A77" w:rsidRPr="00731644">
        <w:rPr>
          <w:lang w:val="fr-CH"/>
        </w:rPr>
        <w:t xml:space="preserve">État </w:t>
      </w:r>
      <w:r w:rsidR="00944143" w:rsidRPr="00731644">
        <w:rPr>
          <w:lang w:val="fr-CH"/>
        </w:rPr>
        <w:t>ou</w:t>
      </w:r>
      <w:r w:rsidR="00657A77" w:rsidRPr="00731644">
        <w:rPr>
          <w:lang w:val="fr-CH"/>
        </w:rPr>
        <w:t xml:space="preserve"> de la protection de la santé humaine ou animale, ou lorsqu</w:t>
      </w:r>
      <w:r w:rsidR="00425386" w:rsidRPr="00731644">
        <w:rPr>
          <w:lang w:val="fr-CH"/>
        </w:rPr>
        <w:t>’</w:t>
      </w:r>
      <w:r w:rsidR="00657A77" w:rsidRPr="00731644">
        <w:rPr>
          <w:lang w:val="fr-CH"/>
        </w:rPr>
        <w:t>il s</w:t>
      </w:r>
      <w:r w:rsidR="00425386" w:rsidRPr="00731644">
        <w:rPr>
          <w:lang w:val="fr-CH"/>
        </w:rPr>
        <w:t>’</w:t>
      </w:r>
      <w:r w:rsidR="00657A77" w:rsidRPr="00731644">
        <w:rPr>
          <w:lang w:val="fr-CH"/>
        </w:rPr>
        <w:t>agit de biens historiques, culturels ou autres dont l</w:t>
      </w:r>
      <w:r w:rsidR="00425386" w:rsidRPr="00731644">
        <w:rPr>
          <w:lang w:val="fr-CH"/>
        </w:rPr>
        <w:t>’</w:t>
      </w:r>
      <w:r w:rsidR="00657A77" w:rsidRPr="00731644">
        <w:rPr>
          <w:lang w:val="fr-CH"/>
        </w:rPr>
        <w:t xml:space="preserve">importance justifie </w:t>
      </w:r>
      <w:r w:rsidR="00BA3EB5" w:rsidRPr="00731644">
        <w:rPr>
          <w:lang w:val="fr-CH"/>
        </w:rPr>
        <w:t>que</w:t>
      </w:r>
      <w:r w:rsidR="00657A77" w:rsidRPr="00731644">
        <w:rPr>
          <w:lang w:val="fr-CH"/>
        </w:rPr>
        <w:t xml:space="preserve"> de</w:t>
      </w:r>
      <w:r w:rsidR="00BA3EB5" w:rsidRPr="00731644">
        <w:rPr>
          <w:lang w:val="fr-CH"/>
        </w:rPr>
        <w:t>s</w:t>
      </w:r>
      <w:r w:rsidR="00657A77" w:rsidRPr="00731644">
        <w:rPr>
          <w:lang w:val="fr-CH"/>
        </w:rPr>
        <w:t xml:space="preserve"> modalités </w:t>
      </w:r>
      <w:r w:rsidR="00BA3EB5" w:rsidRPr="00731644">
        <w:rPr>
          <w:lang w:val="fr-CH"/>
        </w:rPr>
        <w:t>particulières</w:t>
      </w:r>
      <w:r w:rsidR="00657A77" w:rsidRPr="00731644">
        <w:rPr>
          <w:lang w:val="fr-CH"/>
        </w:rPr>
        <w:t xml:space="preserve"> d</w:t>
      </w:r>
      <w:r w:rsidR="00425386" w:rsidRPr="00731644">
        <w:rPr>
          <w:lang w:val="fr-CH"/>
        </w:rPr>
        <w:t>’</w:t>
      </w:r>
      <w:r w:rsidR="00657A77" w:rsidRPr="00731644">
        <w:rPr>
          <w:lang w:val="fr-CH"/>
        </w:rPr>
        <w:t>exercice de la propriété</w:t>
      </w:r>
      <w:r w:rsidR="00BA3EB5" w:rsidRPr="00731644">
        <w:rPr>
          <w:lang w:val="fr-CH"/>
        </w:rPr>
        <w:t xml:space="preserve"> soient prescrites</w:t>
      </w:r>
      <w:r w:rsidR="00657A77" w:rsidRPr="00731644">
        <w:rPr>
          <w:lang w:val="fr-CH"/>
        </w:rPr>
        <w:t>.</w:t>
      </w:r>
      <w:r w:rsidR="00F31DD5" w:rsidRPr="00731644">
        <w:rPr>
          <w:lang w:val="fr-CH"/>
        </w:rPr>
        <w:t xml:space="preserve"> </w:t>
      </w:r>
    </w:p>
    <w:p w:rsidR="00C776A4" w:rsidRPr="00731644" w:rsidRDefault="00322EFD" w:rsidP="0050323B">
      <w:pPr>
        <w:pStyle w:val="H23G"/>
        <w:rPr>
          <w:lang w:val="fr-CH"/>
        </w:rPr>
      </w:pPr>
      <w:r w:rsidRPr="00731644">
        <w:rPr>
          <w:lang w:val="fr-CH"/>
        </w:rPr>
        <w:tab/>
      </w:r>
      <w:r w:rsidRPr="00731644">
        <w:rPr>
          <w:lang w:val="fr-CH"/>
        </w:rPr>
        <w:tab/>
        <w:t xml:space="preserve">Liberté de pensée, de conscience et de religion </w:t>
      </w:r>
    </w:p>
    <w:p w:rsidR="00C776A4" w:rsidRPr="00731644" w:rsidRDefault="0040783A" w:rsidP="00C15A9A">
      <w:pPr>
        <w:pStyle w:val="SingleTxtG"/>
        <w:rPr>
          <w:lang w:val="fr-CH"/>
        </w:rPr>
      </w:pPr>
      <w:r w:rsidRPr="00731644">
        <w:rPr>
          <w:lang w:val="fr-CH"/>
        </w:rPr>
        <w:t>145.</w:t>
      </w:r>
      <w:r w:rsidRPr="00731644">
        <w:rPr>
          <w:lang w:val="fr-CH"/>
        </w:rPr>
        <w:tab/>
      </w:r>
      <w:r w:rsidR="00322EFD" w:rsidRPr="00731644">
        <w:rPr>
          <w:lang w:val="fr-CH"/>
        </w:rPr>
        <w:t>La</w:t>
      </w:r>
      <w:r w:rsidR="00C776A4" w:rsidRPr="00731644">
        <w:rPr>
          <w:lang w:val="fr-CH"/>
        </w:rPr>
        <w:t xml:space="preserve"> Constitution </w:t>
      </w:r>
      <w:r w:rsidR="00322EFD" w:rsidRPr="00731644">
        <w:rPr>
          <w:lang w:val="fr-CH"/>
        </w:rPr>
        <w:t xml:space="preserve">du Monténégro </w:t>
      </w:r>
      <w:r w:rsidR="00944143" w:rsidRPr="00731644">
        <w:rPr>
          <w:lang w:val="fr-CH"/>
        </w:rPr>
        <w:t>assure</w:t>
      </w:r>
      <w:r w:rsidR="00322EFD" w:rsidRPr="00731644">
        <w:rPr>
          <w:lang w:val="fr-CH"/>
        </w:rPr>
        <w:t xml:space="preserve"> à chacun la liberté de pensée, de conscience et de religion, ainsi que le droit de changer de religion ou de convictions </w:t>
      </w:r>
      <w:r w:rsidR="00C776A4" w:rsidRPr="00731644">
        <w:rPr>
          <w:lang w:val="fr-CH"/>
        </w:rPr>
        <w:t>(</w:t>
      </w:r>
      <w:r w:rsidR="00F31DD5" w:rsidRPr="00731644">
        <w:rPr>
          <w:lang w:val="fr-CH"/>
        </w:rPr>
        <w:t>art. </w:t>
      </w:r>
      <w:r w:rsidR="00C776A4" w:rsidRPr="00731644">
        <w:rPr>
          <w:lang w:val="fr-CH"/>
        </w:rPr>
        <w:t xml:space="preserve">46). </w:t>
      </w:r>
      <w:r w:rsidR="00322EFD" w:rsidRPr="00731644">
        <w:rPr>
          <w:lang w:val="fr-CH"/>
        </w:rPr>
        <w:t>Chacun a le droit, seul ou collectivement, de pratiquer en privé ou en public</w:t>
      </w:r>
      <w:r w:rsidR="00B714B0" w:rsidRPr="00731644">
        <w:rPr>
          <w:lang w:val="fr-CH"/>
        </w:rPr>
        <w:t xml:space="preserve"> sa religion ou </w:t>
      </w:r>
      <w:r w:rsidR="00BA3EB5" w:rsidRPr="00731644">
        <w:rPr>
          <w:lang w:val="fr-CH"/>
        </w:rPr>
        <w:t xml:space="preserve">de manifester </w:t>
      </w:r>
      <w:r w:rsidR="00B714B0" w:rsidRPr="00731644">
        <w:rPr>
          <w:lang w:val="fr-CH"/>
        </w:rPr>
        <w:t>ses convictions par des prières, des prédications, des coutumes ou des rites. Nul n</w:t>
      </w:r>
      <w:r w:rsidR="00425386" w:rsidRPr="00731644">
        <w:rPr>
          <w:lang w:val="fr-CH"/>
        </w:rPr>
        <w:t>’</w:t>
      </w:r>
      <w:r w:rsidR="00B714B0" w:rsidRPr="00731644">
        <w:rPr>
          <w:lang w:val="fr-CH"/>
        </w:rPr>
        <w:t xml:space="preserve">est obligé de faire </w:t>
      </w:r>
      <w:r w:rsidR="00944143" w:rsidRPr="00731644">
        <w:rPr>
          <w:lang w:val="fr-CH"/>
        </w:rPr>
        <w:t>connaître</w:t>
      </w:r>
      <w:r w:rsidR="00B714B0" w:rsidRPr="00731644">
        <w:rPr>
          <w:lang w:val="fr-CH"/>
        </w:rPr>
        <w:t xml:space="preserve"> sa religion ou ses convictions. </w:t>
      </w:r>
    </w:p>
    <w:p w:rsidR="00C776A4" w:rsidRPr="00731644" w:rsidRDefault="00BF1535" w:rsidP="007A429C">
      <w:pPr>
        <w:pStyle w:val="SingleTxtG"/>
        <w:rPr>
          <w:lang w:val="fr-CH"/>
        </w:rPr>
      </w:pPr>
      <w:r w:rsidRPr="00731644">
        <w:rPr>
          <w:lang w:val="fr-CH"/>
        </w:rPr>
        <w:t>146.</w:t>
      </w:r>
      <w:r w:rsidRPr="00731644">
        <w:rPr>
          <w:lang w:val="fr-CH"/>
        </w:rPr>
        <w:tab/>
      </w:r>
      <w:r w:rsidR="00B714B0" w:rsidRPr="00731644">
        <w:rPr>
          <w:lang w:val="fr-CH"/>
        </w:rPr>
        <w:t>Le Monténégro se définit comme un État séculier où les communautés religieuses sont séparées de l</w:t>
      </w:r>
      <w:r w:rsidR="00425386" w:rsidRPr="00731644">
        <w:rPr>
          <w:lang w:val="fr-CH"/>
        </w:rPr>
        <w:t>’</w:t>
      </w:r>
      <w:r w:rsidR="00B714B0" w:rsidRPr="00731644">
        <w:rPr>
          <w:lang w:val="fr-CH"/>
        </w:rPr>
        <w:t xml:space="preserve">État. La Constitution garantit aux </w:t>
      </w:r>
      <w:r w:rsidR="00A66512" w:rsidRPr="00731644">
        <w:rPr>
          <w:lang w:val="fr-CH"/>
        </w:rPr>
        <w:t>communautés</w:t>
      </w:r>
      <w:r w:rsidR="00B714B0" w:rsidRPr="00731644">
        <w:rPr>
          <w:lang w:val="fr-CH"/>
        </w:rPr>
        <w:t xml:space="preserve"> religieuses </w:t>
      </w:r>
      <w:r w:rsidR="00245483" w:rsidRPr="00731644">
        <w:rPr>
          <w:lang w:val="fr-CH"/>
        </w:rPr>
        <w:t>présentes</w:t>
      </w:r>
      <w:r w:rsidR="00B714B0" w:rsidRPr="00731644">
        <w:rPr>
          <w:lang w:val="fr-CH"/>
        </w:rPr>
        <w:t xml:space="preserve"> sur le territoire </w:t>
      </w:r>
      <w:r w:rsidR="00BA3EB5" w:rsidRPr="00731644">
        <w:rPr>
          <w:lang w:val="fr-CH"/>
        </w:rPr>
        <w:t>national</w:t>
      </w:r>
      <w:r w:rsidR="00B714B0" w:rsidRPr="00731644">
        <w:rPr>
          <w:lang w:val="fr-CH"/>
        </w:rPr>
        <w:t xml:space="preserve"> l</w:t>
      </w:r>
      <w:r w:rsidR="00425386" w:rsidRPr="00731644">
        <w:rPr>
          <w:lang w:val="fr-CH"/>
        </w:rPr>
        <w:t>’</w:t>
      </w:r>
      <w:r w:rsidR="00B714B0" w:rsidRPr="00731644">
        <w:rPr>
          <w:lang w:val="fr-CH"/>
        </w:rPr>
        <w:t xml:space="preserve">égalité et la liberté de pratiquer leurs rites et de gérer leurs affaires </w:t>
      </w:r>
      <w:r w:rsidR="00C776A4" w:rsidRPr="00731644">
        <w:rPr>
          <w:lang w:val="fr-CH"/>
        </w:rPr>
        <w:t>(</w:t>
      </w:r>
      <w:r w:rsidR="00F31DD5" w:rsidRPr="00731644">
        <w:rPr>
          <w:lang w:val="fr-CH"/>
        </w:rPr>
        <w:t>art. </w:t>
      </w:r>
      <w:r w:rsidR="00C776A4" w:rsidRPr="00731644">
        <w:rPr>
          <w:lang w:val="fr-CH"/>
        </w:rPr>
        <w:t>14).</w:t>
      </w:r>
      <w:r w:rsidR="00B714B0" w:rsidRPr="00731644">
        <w:rPr>
          <w:lang w:val="fr-CH"/>
        </w:rPr>
        <w:t xml:space="preserve"> L</w:t>
      </w:r>
      <w:r w:rsidR="00425386" w:rsidRPr="00731644">
        <w:rPr>
          <w:lang w:val="fr-CH"/>
        </w:rPr>
        <w:t>’</w:t>
      </w:r>
      <w:r w:rsidR="00B714B0" w:rsidRPr="00731644">
        <w:rPr>
          <w:lang w:val="fr-CH"/>
        </w:rPr>
        <w:t xml:space="preserve">État ne peut pas intervenir dans </w:t>
      </w:r>
      <w:r w:rsidR="00245483" w:rsidRPr="00731644">
        <w:rPr>
          <w:lang w:val="fr-CH"/>
        </w:rPr>
        <w:t xml:space="preserve">leur </w:t>
      </w:r>
      <w:r w:rsidR="00B714B0" w:rsidRPr="00731644">
        <w:rPr>
          <w:lang w:val="fr-CH"/>
        </w:rPr>
        <w:t>organisation interne ni dans celle des affaires religieuses</w:t>
      </w:r>
      <w:r w:rsidR="00F31DD5" w:rsidRPr="00731644">
        <w:rPr>
          <w:lang w:val="fr-CH"/>
        </w:rPr>
        <w:t>;</w:t>
      </w:r>
      <w:r w:rsidR="00B714B0" w:rsidRPr="00731644">
        <w:rPr>
          <w:lang w:val="fr-CH"/>
        </w:rPr>
        <w:t xml:space="preserve"> le soin en est laissé aux communautés religieuses</w:t>
      </w:r>
      <w:r w:rsidR="00245483" w:rsidRPr="00731644">
        <w:rPr>
          <w:lang w:val="fr-CH"/>
        </w:rPr>
        <w:t xml:space="preserve"> elles-mêmes</w:t>
      </w:r>
      <w:r w:rsidR="00B714B0" w:rsidRPr="00731644">
        <w:rPr>
          <w:lang w:val="fr-CH"/>
        </w:rPr>
        <w:t xml:space="preserve">, qui </w:t>
      </w:r>
      <w:r w:rsidR="00944143" w:rsidRPr="00731644">
        <w:rPr>
          <w:lang w:val="fr-CH"/>
        </w:rPr>
        <w:t>s</w:t>
      </w:r>
      <w:r w:rsidR="00425386" w:rsidRPr="00731644">
        <w:rPr>
          <w:lang w:val="fr-CH"/>
        </w:rPr>
        <w:t>’</w:t>
      </w:r>
      <w:r w:rsidR="00944143" w:rsidRPr="00731644">
        <w:rPr>
          <w:lang w:val="fr-CH"/>
        </w:rPr>
        <w:t xml:space="preserve">organisent et </w:t>
      </w:r>
      <w:r w:rsidR="00B714B0" w:rsidRPr="00731644">
        <w:rPr>
          <w:lang w:val="fr-CH"/>
        </w:rPr>
        <w:t>administrent leur fonctionnement en toute indépendance. Il n</w:t>
      </w:r>
      <w:r w:rsidR="00425386" w:rsidRPr="00731644">
        <w:rPr>
          <w:lang w:val="fr-CH"/>
        </w:rPr>
        <w:t>’</w:t>
      </w:r>
      <w:r w:rsidR="00B714B0" w:rsidRPr="00731644">
        <w:rPr>
          <w:lang w:val="fr-CH"/>
        </w:rPr>
        <w:t>y a pas de religion d</w:t>
      </w:r>
      <w:r w:rsidR="00425386" w:rsidRPr="00731644">
        <w:rPr>
          <w:lang w:val="fr-CH"/>
        </w:rPr>
        <w:t>’</w:t>
      </w:r>
      <w:r w:rsidR="00B714B0" w:rsidRPr="00731644">
        <w:rPr>
          <w:lang w:val="fr-CH"/>
        </w:rPr>
        <w:t>État.</w:t>
      </w:r>
      <w:r w:rsidR="006443F6" w:rsidRPr="00731644">
        <w:rPr>
          <w:lang w:val="fr-CH"/>
        </w:rPr>
        <w:t xml:space="preserve"> </w:t>
      </w:r>
    </w:p>
    <w:p w:rsidR="00734697" w:rsidRPr="00731644" w:rsidRDefault="00BF1535" w:rsidP="00C776A4">
      <w:pPr>
        <w:pStyle w:val="SingleTxtG"/>
        <w:rPr>
          <w:lang w:val="fr-CH"/>
        </w:rPr>
      </w:pPr>
      <w:r w:rsidRPr="00731644">
        <w:rPr>
          <w:lang w:val="fr-CH"/>
        </w:rPr>
        <w:t>147.</w:t>
      </w:r>
      <w:r w:rsidRPr="00731644">
        <w:rPr>
          <w:lang w:val="fr-CH"/>
        </w:rPr>
        <w:tab/>
      </w:r>
      <w:r w:rsidR="00B714B0" w:rsidRPr="00731644">
        <w:rPr>
          <w:lang w:val="fr-CH"/>
        </w:rPr>
        <w:t>L</w:t>
      </w:r>
      <w:r w:rsidR="00425386" w:rsidRPr="00731644">
        <w:rPr>
          <w:lang w:val="fr-CH"/>
        </w:rPr>
        <w:t>’</w:t>
      </w:r>
      <w:r w:rsidR="00B714B0" w:rsidRPr="00731644">
        <w:rPr>
          <w:lang w:val="fr-CH"/>
        </w:rPr>
        <w:t xml:space="preserve">exercice des droits religieux est spécifiquement réglementé par la </w:t>
      </w:r>
      <w:r w:rsidR="00B714B0" w:rsidRPr="00DA0274">
        <w:rPr>
          <w:iCs/>
          <w:lang w:val="fr-CH"/>
        </w:rPr>
        <w:t xml:space="preserve">loi </w:t>
      </w:r>
      <w:r w:rsidR="007E58DD" w:rsidRPr="00DA0274">
        <w:rPr>
          <w:iCs/>
          <w:lang w:val="fr-CH"/>
        </w:rPr>
        <w:t>sur le statut juridique des communautés religieuses</w:t>
      </w:r>
      <w:r w:rsidR="007E58DD" w:rsidRPr="00731644">
        <w:rPr>
          <w:lang w:val="fr-CH"/>
        </w:rPr>
        <w:t xml:space="preserve"> </w:t>
      </w:r>
      <w:r w:rsidR="00C776A4"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5072A0">
        <w:rPr>
          <w:lang w:val="fr-CH"/>
        </w:rPr>
        <w:t>n</w:t>
      </w:r>
      <w:r w:rsidR="005072A0" w:rsidRPr="005072A0">
        <w:rPr>
          <w:vertAlign w:val="superscript"/>
          <w:lang w:val="fr-CH"/>
        </w:rPr>
        <w:t>o</w:t>
      </w:r>
      <w:r w:rsidR="00532E18">
        <w:rPr>
          <w:vertAlign w:val="superscript"/>
          <w:lang w:val="fr-CH"/>
        </w:rPr>
        <w:t>s</w:t>
      </w:r>
      <w:r w:rsidR="005072A0">
        <w:rPr>
          <w:lang w:val="fr-CH"/>
        </w:rPr>
        <w:t> </w:t>
      </w:r>
      <w:r w:rsidR="00C776A4" w:rsidRPr="00731644">
        <w:rPr>
          <w:lang w:val="fr-CH"/>
        </w:rPr>
        <w:t xml:space="preserve">9/77 </w:t>
      </w:r>
      <w:r w:rsidR="007E58DD" w:rsidRPr="00731644">
        <w:rPr>
          <w:lang w:val="fr-CH"/>
        </w:rPr>
        <w:t>et</w:t>
      </w:r>
      <w:r w:rsidR="00532E18">
        <w:rPr>
          <w:lang w:val="fr-CH"/>
        </w:rPr>
        <w:t xml:space="preserve"> </w:t>
      </w:r>
      <w:r w:rsidR="00C776A4" w:rsidRPr="00731644">
        <w:rPr>
          <w:lang w:val="fr-CH"/>
        </w:rPr>
        <w:t>26/77)</w:t>
      </w:r>
      <w:r w:rsidR="00593350" w:rsidRPr="00731644">
        <w:rPr>
          <w:lang w:val="fr-CH"/>
        </w:rPr>
        <w:t xml:space="preserve"> </w:t>
      </w:r>
      <w:r w:rsidR="007E58DD" w:rsidRPr="00731644">
        <w:rPr>
          <w:lang w:val="fr-CH"/>
        </w:rPr>
        <w:t xml:space="preserve">et la </w:t>
      </w:r>
      <w:r w:rsidR="007E58DD" w:rsidRPr="00DA0274">
        <w:rPr>
          <w:iCs/>
          <w:lang w:val="fr-CH"/>
        </w:rPr>
        <w:t>loi sur la célébration des fêtes religieuses</w:t>
      </w:r>
      <w:r w:rsidR="00F31DD5" w:rsidRPr="00DA0274">
        <w:rPr>
          <w:iCs/>
          <w:lang w:val="fr-CH"/>
        </w:rPr>
        <w:t xml:space="preserve"> </w:t>
      </w:r>
      <w:r w:rsidR="00C776A4"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5072A0">
        <w:rPr>
          <w:lang w:val="fr-CH"/>
        </w:rPr>
        <w:t>n</w:t>
      </w:r>
      <w:r w:rsidR="005072A0" w:rsidRPr="005072A0">
        <w:rPr>
          <w:vertAlign w:val="superscript"/>
          <w:lang w:val="fr-CH"/>
        </w:rPr>
        <w:t>o</w:t>
      </w:r>
      <w:r w:rsidR="005072A0">
        <w:rPr>
          <w:lang w:val="fr-CH"/>
        </w:rPr>
        <w:t> </w:t>
      </w:r>
      <w:r w:rsidR="00C776A4" w:rsidRPr="00731644">
        <w:rPr>
          <w:lang w:val="fr-CH"/>
        </w:rPr>
        <w:t xml:space="preserve">56/93). </w:t>
      </w:r>
      <w:r w:rsidR="007E58DD" w:rsidRPr="00731644">
        <w:rPr>
          <w:lang w:val="fr-CH"/>
        </w:rPr>
        <w:t>D</w:t>
      </w:r>
      <w:r w:rsidR="00425386" w:rsidRPr="00731644">
        <w:rPr>
          <w:lang w:val="fr-CH"/>
        </w:rPr>
        <w:t>’</w:t>
      </w:r>
      <w:r w:rsidR="007E58DD" w:rsidRPr="00731644">
        <w:rPr>
          <w:lang w:val="fr-CH"/>
        </w:rPr>
        <w:t>après les premier de ces deux textes, la création d</w:t>
      </w:r>
      <w:r w:rsidR="00425386" w:rsidRPr="00731644">
        <w:rPr>
          <w:lang w:val="fr-CH"/>
        </w:rPr>
        <w:t>’</w:t>
      </w:r>
      <w:r w:rsidR="007E58DD" w:rsidRPr="00731644">
        <w:rPr>
          <w:lang w:val="fr-CH"/>
        </w:rPr>
        <w:t>institutions et d</w:t>
      </w:r>
      <w:r w:rsidR="00425386" w:rsidRPr="00731644">
        <w:rPr>
          <w:lang w:val="fr-CH"/>
        </w:rPr>
        <w:t>’</w:t>
      </w:r>
      <w:r w:rsidR="007E58DD" w:rsidRPr="00731644">
        <w:rPr>
          <w:lang w:val="fr-CH"/>
        </w:rPr>
        <w:t>organisations religieuses, c</w:t>
      </w:r>
      <w:r w:rsidR="00425386" w:rsidRPr="00731644">
        <w:rPr>
          <w:lang w:val="fr-CH"/>
        </w:rPr>
        <w:t>’</w:t>
      </w:r>
      <w:r w:rsidR="007E58DD" w:rsidRPr="00731644">
        <w:rPr>
          <w:lang w:val="fr-CH"/>
        </w:rPr>
        <w:t xml:space="preserve">est-à-dire de communautés religieuses, est libre, sous réserve que </w:t>
      </w:r>
      <w:r w:rsidR="00BF6339" w:rsidRPr="00731644">
        <w:rPr>
          <w:lang w:val="fr-CH"/>
        </w:rPr>
        <w:t>cette création ainsi que</w:t>
      </w:r>
      <w:r w:rsidR="007E58DD" w:rsidRPr="00731644">
        <w:rPr>
          <w:lang w:val="fr-CH"/>
        </w:rPr>
        <w:t xml:space="preserve"> la cessation </w:t>
      </w:r>
      <w:r w:rsidR="00774506" w:rsidRPr="00731644">
        <w:rPr>
          <w:lang w:val="fr-CH"/>
        </w:rPr>
        <w:t xml:space="preserve">des </w:t>
      </w:r>
      <w:r w:rsidR="007E58DD" w:rsidRPr="00731644">
        <w:rPr>
          <w:lang w:val="fr-CH"/>
        </w:rPr>
        <w:t>activités soi</w:t>
      </w:r>
      <w:r w:rsidR="00774506" w:rsidRPr="00731644">
        <w:rPr>
          <w:lang w:val="fr-CH"/>
        </w:rPr>
        <w:t>en</w:t>
      </w:r>
      <w:r w:rsidR="007E58DD" w:rsidRPr="00731644">
        <w:rPr>
          <w:lang w:val="fr-CH"/>
        </w:rPr>
        <w:t>t déclaré</w:t>
      </w:r>
      <w:r w:rsidR="00BF6339" w:rsidRPr="00731644">
        <w:rPr>
          <w:lang w:val="fr-CH"/>
        </w:rPr>
        <w:t>e</w:t>
      </w:r>
      <w:r w:rsidR="00774506" w:rsidRPr="00731644">
        <w:rPr>
          <w:lang w:val="fr-CH"/>
        </w:rPr>
        <w:t>s</w:t>
      </w:r>
      <w:r w:rsidR="007E58DD" w:rsidRPr="00731644">
        <w:rPr>
          <w:lang w:val="fr-CH"/>
        </w:rPr>
        <w:t xml:space="preserve"> à l</w:t>
      </w:r>
      <w:r w:rsidR="00425386" w:rsidRPr="00731644">
        <w:rPr>
          <w:lang w:val="fr-CH"/>
        </w:rPr>
        <w:t>’</w:t>
      </w:r>
      <w:r w:rsidR="00BF6339" w:rsidRPr="00731644">
        <w:rPr>
          <w:lang w:val="fr-CH"/>
        </w:rPr>
        <w:t>organe</w:t>
      </w:r>
      <w:r w:rsidR="007E58DD" w:rsidRPr="00731644">
        <w:rPr>
          <w:lang w:val="fr-CH"/>
        </w:rPr>
        <w:t xml:space="preserve"> administrati</w:t>
      </w:r>
      <w:r w:rsidR="00BF6339" w:rsidRPr="00731644">
        <w:rPr>
          <w:lang w:val="fr-CH"/>
        </w:rPr>
        <w:t>f</w:t>
      </w:r>
      <w:r w:rsidR="007E58DD" w:rsidRPr="00731644">
        <w:rPr>
          <w:lang w:val="fr-CH"/>
        </w:rPr>
        <w:t xml:space="preserve"> compétent de </w:t>
      </w:r>
      <w:r w:rsidR="00BF6339" w:rsidRPr="00731644">
        <w:rPr>
          <w:lang w:val="fr-CH"/>
        </w:rPr>
        <w:t>la collectiv</w:t>
      </w:r>
      <w:r w:rsidR="007E58DD" w:rsidRPr="00731644">
        <w:rPr>
          <w:lang w:val="fr-CH"/>
        </w:rPr>
        <w:t xml:space="preserve">ité autonome locale </w:t>
      </w:r>
      <w:r w:rsidR="00774506" w:rsidRPr="00731644">
        <w:rPr>
          <w:lang w:val="fr-CH"/>
        </w:rPr>
        <w:t xml:space="preserve">sur le territoire de laquelle est sise </w:t>
      </w:r>
      <w:r w:rsidR="00BF6339" w:rsidRPr="00731644">
        <w:rPr>
          <w:lang w:val="fr-CH"/>
        </w:rPr>
        <w:t xml:space="preserve">cette </w:t>
      </w:r>
      <w:r w:rsidR="00774506" w:rsidRPr="00731644">
        <w:rPr>
          <w:lang w:val="fr-CH"/>
        </w:rPr>
        <w:t>communauté.</w:t>
      </w:r>
      <w:r w:rsidR="00C776A4" w:rsidRPr="00731644">
        <w:rPr>
          <w:lang w:val="fr-CH"/>
        </w:rPr>
        <w:t xml:space="preserve"> </w:t>
      </w:r>
      <w:r w:rsidR="00774506" w:rsidRPr="00731644">
        <w:rPr>
          <w:lang w:val="fr-CH"/>
        </w:rPr>
        <w:t>La loi interdit expressément d</w:t>
      </w:r>
      <w:r w:rsidR="00425386" w:rsidRPr="00731644">
        <w:rPr>
          <w:lang w:val="fr-CH"/>
        </w:rPr>
        <w:t>’</w:t>
      </w:r>
      <w:r w:rsidR="00774506" w:rsidRPr="00731644">
        <w:rPr>
          <w:lang w:val="fr-CH"/>
        </w:rPr>
        <w:t>insulter les communautés religieuses</w:t>
      </w:r>
      <w:r w:rsidR="00944143" w:rsidRPr="00731644">
        <w:rPr>
          <w:lang w:val="fr-CH"/>
        </w:rPr>
        <w:t xml:space="preserve"> et</w:t>
      </w:r>
      <w:r w:rsidR="00774506" w:rsidRPr="00731644">
        <w:rPr>
          <w:lang w:val="fr-CH"/>
        </w:rPr>
        <w:t xml:space="preserve"> leurs institutions </w:t>
      </w:r>
      <w:r w:rsidR="00944143" w:rsidRPr="00731644">
        <w:rPr>
          <w:lang w:val="fr-CH"/>
        </w:rPr>
        <w:t>ainsi que</w:t>
      </w:r>
      <w:r w:rsidR="00774506" w:rsidRPr="00731644">
        <w:rPr>
          <w:lang w:val="fr-CH"/>
        </w:rPr>
        <w:t xml:space="preserve"> les activités ou les sentiments religieux</w:t>
      </w:r>
      <w:r w:rsidR="00B854C7" w:rsidRPr="00731644">
        <w:rPr>
          <w:lang w:val="fr-CH"/>
        </w:rPr>
        <w:t xml:space="preserve"> à des fins politiques</w:t>
      </w:r>
      <w:r w:rsidR="00774506" w:rsidRPr="00731644">
        <w:rPr>
          <w:lang w:val="fr-CH"/>
        </w:rPr>
        <w:t>.</w:t>
      </w:r>
      <w:r w:rsidR="00C776A4" w:rsidRPr="00731644">
        <w:rPr>
          <w:lang w:val="fr-CH"/>
        </w:rPr>
        <w:t xml:space="preserve"> </w:t>
      </w:r>
      <w:r w:rsidR="00774506" w:rsidRPr="00731644">
        <w:rPr>
          <w:lang w:val="fr-CH"/>
        </w:rPr>
        <w:t xml:space="preserve">Elle interdit </w:t>
      </w:r>
      <w:r w:rsidR="00B854C7" w:rsidRPr="00731644">
        <w:rPr>
          <w:lang w:val="fr-CH"/>
        </w:rPr>
        <w:t>aussi</w:t>
      </w:r>
      <w:r w:rsidR="00774506" w:rsidRPr="00731644">
        <w:rPr>
          <w:lang w:val="fr-CH"/>
        </w:rPr>
        <w:t xml:space="preserve"> d</w:t>
      </w:r>
      <w:r w:rsidR="00425386" w:rsidRPr="00731644">
        <w:rPr>
          <w:lang w:val="fr-CH"/>
        </w:rPr>
        <w:t>’</w:t>
      </w:r>
      <w:r w:rsidR="00774506" w:rsidRPr="00731644">
        <w:rPr>
          <w:lang w:val="fr-CH"/>
        </w:rPr>
        <w:t>empêcher la pratique d</w:t>
      </w:r>
      <w:r w:rsidR="00425386" w:rsidRPr="00731644">
        <w:rPr>
          <w:lang w:val="fr-CH"/>
        </w:rPr>
        <w:t>’</w:t>
      </w:r>
      <w:r w:rsidR="00774506" w:rsidRPr="00731644">
        <w:rPr>
          <w:lang w:val="fr-CH"/>
        </w:rPr>
        <w:t>activités ou de rites religieux ou l</w:t>
      </w:r>
      <w:r w:rsidR="00425386" w:rsidRPr="00731644">
        <w:rPr>
          <w:lang w:val="fr-CH"/>
        </w:rPr>
        <w:t>’</w:t>
      </w:r>
      <w:r w:rsidR="00774506" w:rsidRPr="00731644">
        <w:rPr>
          <w:lang w:val="fr-CH"/>
        </w:rPr>
        <w:t>expression de sentiments religieux, et d</w:t>
      </w:r>
      <w:r w:rsidR="00425386" w:rsidRPr="00731644">
        <w:rPr>
          <w:lang w:val="fr-CH"/>
        </w:rPr>
        <w:t>’</w:t>
      </w:r>
      <w:r w:rsidR="00774506" w:rsidRPr="00731644">
        <w:rPr>
          <w:lang w:val="fr-CH"/>
        </w:rPr>
        <w:t>intervenir en la matière.</w:t>
      </w:r>
      <w:r w:rsidR="00734697" w:rsidRPr="00731644">
        <w:rPr>
          <w:lang w:val="fr-CH"/>
        </w:rPr>
        <w:t xml:space="preserve"> L</w:t>
      </w:r>
      <w:r w:rsidR="00774506" w:rsidRPr="00731644">
        <w:rPr>
          <w:lang w:val="fr-CH"/>
        </w:rPr>
        <w:t>a violation de ces dispositions</w:t>
      </w:r>
      <w:r w:rsidR="00734697" w:rsidRPr="00731644">
        <w:rPr>
          <w:lang w:val="fr-CH"/>
        </w:rPr>
        <w:t>, et d</w:t>
      </w:r>
      <w:r w:rsidR="00425386" w:rsidRPr="00731644">
        <w:rPr>
          <w:lang w:val="fr-CH"/>
        </w:rPr>
        <w:t>’</w:t>
      </w:r>
      <w:r w:rsidR="00734697" w:rsidRPr="00731644">
        <w:rPr>
          <w:lang w:val="fr-CH"/>
        </w:rPr>
        <w:t>aut</w:t>
      </w:r>
      <w:r w:rsidR="00B854C7" w:rsidRPr="00731644">
        <w:rPr>
          <w:lang w:val="fr-CH"/>
        </w:rPr>
        <w:t>r</w:t>
      </w:r>
      <w:r w:rsidR="00734697" w:rsidRPr="00731644">
        <w:rPr>
          <w:lang w:val="fr-CH"/>
        </w:rPr>
        <w:t>es encore, est sanc</w:t>
      </w:r>
      <w:r w:rsidR="00B854C7" w:rsidRPr="00731644">
        <w:rPr>
          <w:lang w:val="fr-CH"/>
        </w:rPr>
        <w:t>t</w:t>
      </w:r>
      <w:r w:rsidR="00734697" w:rsidRPr="00731644">
        <w:rPr>
          <w:lang w:val="fr-CH"/>
        </w:rPr>
        <w:t>ionnée pénalement.</w:t>
      </w:r>
      <w:r w:rsidR="00F31DD5" w:rsidRPr="00731644">
        <w:rPr>
          <w:lang w:val="fr-CH"/>
        </w:rPr>
        <w:t xml:space="preserve"> </w:t>
      </w:r>
      <w:r w:rsidR="00734697" w:rsidRPr="00731644">
        <w:rPr>
          <w:lang w:val="fr-CH"/>
        </w:rPr>
        <w:t xml:space="preserve">La liberté de </w:t>
      </w:r>
      <w:r w:rsidR="00A66512" w:rsidRPr="00731644">
        <w:rPr>
          <w:lang w:val="fr-CH"/>
        </w:rPr>
        <w:t>religion</w:t>
      </w:r>
      <w:r w:rsidR="00734697" w:rsidRPr="00731644">
        <w:rPr>
          <w:lang w:val="fr-CH"/>
        </w:rPr>
        <w:t xml:space="preserve"> étant garantie, il est également prohibé de contraindre qui que ce soit à faire partie d</w:t>
      </w:r>
      <w:r w:rsidR="00425386" w:rsidRPr="00731644">
        <w:rPr>
          <w:lang w:val="fr-CH"/>
        </w:rPr>
        <w:t>’</w:t>
      </w:r>
      <w:r w:rsidR="00734697" w:rsidRPr="00731644">
        <w:rPr>
          <w:lang w:val="fr-CH"/>
        </w:rPr>
        <w:t>une communauté religieuse ou à participer à des rites religieux.</w:t>
      </w:r>
      <w:r w:rsidR="00F31DD5" w:rsidRPr="00731644">
        <w:rPr>
          <w:lang w:val="fr-CH"/>
        </w:rPr>
        <w:t xml:space="preserve"> </w:t>
      </w:r>
    </w:p>
    <w:p w:rsidR="00C776A4" w:rsidRPr="00731644" w:rsidRDefault="00BF1535" w:rsidP="00C776A4">
      <w:pPr>
        <w:pStyle w:val="SingleTxtG"/>
        <w:rPr>
          <w:lang w:val="fr-CH"/>
        </w:rPr>
      </w:pPr>
      <w:r w:rsidRPr="00731644">
        <w:rPr>
          <w:lang w:val="fr-CH"/>
        </w:rPr>
        <w:t>148.</w:t>
      </w:r>
      <w:r w:rsidRPr="00731644">
        <w:rPr>
          <w:lang w:val="fr-CH"/>
        </w:rPr>
        <w:tab/>
      </w:r>
      <w:r w:rsidR="00734697" w:rsidRPr="00731644">
        <w:rPr>
          <w:lang w:val="fr-CH"/>
        </w:rPr>
        <w:t xml:space="preserve">Les </w:t>
      </w:r>
      <w:r w:rsidR="00A66512" w:rsidRPr="00731644">
        <w:rPr>
          <w:lang w:val="fr-CH"/>
        </w:rPr>
        <w:t>cérémonies</w:t>
      </w:r>
      <w:r w:rsidR="00734697" w:rsidRPr="00731644">
        <w:rPr>
          <w:lang w:val="fr-CH"/>
        </w:rPr>
        <w:t xml:space="preserve"> religieuses peuvent être organisées dans les églises, les temples, </w:t>
      </w:r>
      <w:r w:rsidR="00B854C7" w:rsidRPr="00731644">
        <w:rPr>
          <w:lang w:val="fr-CH"/>
        </w:rPr>
        <w:t>l</w:t>
      </w:r>
      <w:r w:rsidR="00734697" w:rsidRPr="00731644">
        <w:rPr>
          <w:lang w:val="fr-CH"/>
        </w:rPr>
        <w:t xml:space="preserve">es </w:t>
      </w:r>
      <w:r w:rsidR="00B854C7" w:rsidRPr="00731644">
        <w:rPr>
          <w:lang w:val="fr-CH"/>
        </w:rPr>
        <w:t>espaces</w:t>
      </w:r>
      <w:r w:rsidR="00734697" w:rsidRPr="00731644">
        <w:rPr>
          <w:lang w:val="fr-CH"/>
        </w:rPr>
        <w:t xml:space="preserve"> officiel</w:t>
      </w:r>
      <w:r w:rsidR="00B854C7" w:rsidRPr="00731644">
        <w:rPr>
          <w:lang w:val="fr-CH"/>
        </w:rPr>
        <w:t>lement consacrés à la religion</w:t>
      </w:r>
      <w:r w:rsidR="00734697" w:rsidRPr="00731644">
        <w:rPr>
          <w:lang w:val="fr-CH"/>
        </w:rPr>
        <w:t xml:space="preserve"> ou les cimetières, chez des particuliers, etc. sans l</w:t>
      </w:r>
      <w:r w:rsidR="00425386" w:rsidRPr="00731644">
        <w:rPr>
          <w:lang w:val="fr-CH"/>
        </w:rPr>
        <w:t>’</w:t>
      </w:r>
      <w:r w:rsidR="00A66512" w:rsidRPr="00731644">
        <w:rPr>
          <w:lang w:val="fr-CH"/>
        </w:rPr>
        <w:t>agrément</w:t>
      </w:r>
      <w:r w:rsidR="00734697" w:rsidRPr="00731644">
        <w:rPr>
          <w:lang w:val="fr-CH"/>
        </w:rPr>
        <w:t xml:space="preserve"> des autorités compétentes</w:t>
      </w:r>
      <w:r w:rsidR="00F31DD5" w:rsidRPr="00731644">
        <w:rPr>
          <w:lang w:val="fr-CH"/>
        </w:rPr>
        <w:t>;</w:t>
      </w:r>
      <w:r w:rsidR="00734697" w:rsidRPr="00731644">
        <w:rPr>
          <w:lang w:val="fr-CH"/>
        </w:rPr>
        <w:t xml:space="preserve"> celui-ci est requis si elles se déroulent ailleurs.</w:t>
      </w:r>
    </w:p>
    <w:p w:rsidR="00EE7087" w:rsidRPr="00731644" w:rsidRDefault="00BF1535" w:rsidP="00C776A4">
      <w:pPr>
        <w:pStyle w:val="SingleTxtG"/>
        <w:rPr>
          <w:lang w:val="fr-CH"/>
        </w:rPr>
      </w:pPr>
      <w:r w:rsidRPr="00731644">
        <w:rPr>
          <w:lang w:val="fr-CH"/>
        </w:rPr>
        <w:t>149.</w:t>
      </w:r>
      <w:r w:rsidRPr="00731644">
        <w:rPr>
          <w:lang w:val="fr-CH"/>
        </w:rPr>
        <w:tab/>
      </w:r>
      <w:r w:rsidR="00CB7658" w:rsidRPr="00731644">
        <w:rPr>
          <w:lang w:val="fr-CH"/>
        </w:rPr>
        <w:t>Les personnes</w:t>
      </w:r>
      <w:r w:rsidR="00734697" w:rsidRPr="00731644">
        <w:rPr>
          <w:lang w:val="fr-CH"/>
        </w:rPr>
        <w:t xml:space="preserve"> placées dans des institutions médicales, sociales ou autre</w:t>
      </w:r>
      <w:r w:rsidR="00B854C7" w:rsidRPr="00731644">
        <w:rPr>
          <w:lang w:val="fr-CH"/>
        </w:rPr>
        <w:t>s</w:t>
      </w:r>
      <w:r w:rsidR="00734697" w:rsidRPr="00731644">
        <w:rPr>
          <w:lang w:val="fr-CH"/>
        </w:rPr>
        <w:t xml:space="preserve"> peuvent professer leur religion dans les limites du règlement interne de l</w:t>
      </w:r>
      <w:r w:rsidR="00425386" w:rsidRPr="00731644">
        <w:rPr>
          <w:lang w:val="fr-CH"/>
        </w:rPr>
        <w:t>’</w:t>
      </w:r>
      <w:r w:rsidR="00734697" w:rsidRPr="00731644">
        <w:rPr>
          <w:lang w:val="fr-CH"/>
        </w:rPr>
        <w:t>institution</w:t>
      </w:r>
      <w:r w:rsidR="00C776A4" w:rsidRPr="00731644">
        <w:rPr>
          <w:lang w:val="fr-CH"/>
        </w:rPr>
        <w:t xml:space="preserve">. </w:t>
      </w:r>
      <w:r w:rsidR="00734697" w:rsidRPr="00731644">
        <w:rPr>
          <w:lang w:val="fr-CH"/>
        </w:rPr>
        <w:t>Elles peuvent, si elles en font la demande, recevoir la visite d</w:t>
      </w:r>
      <w:r w:rsidR="00425386" w:rsidRPr="00731644">
        <w:rPr>
          <w:lang w:val="fr-CH"/>
        </w:rPr>
        <w:t>’</w:t>
      </w:r>
      <w:r w:rsidR="00734697" w:rsidRPr="00731644">
        <w:rPr>
          <w:lang w:val="fr-CH"/>
        </w:rPr>
        <w:t>un religieux pour pratiquer leurs rites. Le droit de professer leur</w:t>
      </w:r>
      <w:r w:rsidR="00B854C7" w:rsidRPr="00731644">
        <w:rPr>
          <w:lang w:val="fr-CH"/>
        </w:rPr>
        <w:t xml:space="preserve"> </w:t>
      </w:r>
      <w:r w:rsidR="00734697" w:rsidRPr="00731644">
        <w:rPr>
          <w:lang w:val="fr-CH"/>
        </w:rPr>
        <w:t xml:space="preserve">religion est également reconnu aux </w:t>
      </w:r>
      <w:r w:rsidR="00EE7087" w:rsidRPr="00731644">
        <w:rPr>
          <w:lang w:val="fr-CH"/>
        </w:rPr>
        <w:t>prisonniers.</w:t>
      </w:r>
      <w:r w:rsidR="00F31DD5" w:rsidRPr="00731644">
        <w:rPr>
          <w:lang w:val="fr-CH"/>
        </w:rPr>
        <w:t xml:space="preserve"> </w:t>
      </w:r>
    </w:p>
    <w:p w:rsidR="00593350" w:rsidRPr="00731644" w:rsidRDefault="00BF1535" w:rsidP="00C776A4">
      <w:pPr>
        <w:pStyle w:val="SingleTxtG"/>
        <w:rPr>
          <w:lang w:val="fr-CH"/>
        </w:rPr>
      </w:pPr>
      <w:r w:rsidRPr="00731644">
        <w:rPr>
          <w:lang w:val="fr-CH"/>
        </w:rPr>
        <w:t>150.</w:t>
      </w:r>
      <w:r w:rsidRPr="00731644">
        <w:rPr>
          <w:lang w:val="fr-CH"/>
        </w:rPr>
        <w:tab/>
      </w:r>
      <w:r w:rsidR="00EE7087" w:rsidRPr="00731644">
        <w:rPr>
          <w:lang w:val="fr-CH"/>
        </w:rPr>
        <w:t>Les communautés religieuses ont le droit</w:t>
      </w:r>
      <w:r w:rsidR="0078416D" w:rsidRPr="00731644">
        <w:rPr>
          <w:lang w:val="fr-CH"/>
        </w:rPr>
        <w:t xml:space="preserve"> de créer</w:t>
      </w:r>
      <w:r w:rsidR="00EE7087" w:rsidRPr="00731644">
        <w:rPr>
          <w:lang w:val="fr-CH"/>
        </w:rPr>
        <w:t xml:space="preserve">, dans le cadre de leurs activités, des écoles religieuses avec internat. Ces établissements </w:t>
      </w:r>
      <w:r w:rsidR="00B850F7" w:rsidRPr="00731644">
        <w:rPr>
          <w:lang w:val="fr-CH"/>
        </w:rPr>
        <w:t>se distinguent</w:t>
      </w:r>
      <w:r w:rsidR="00EE7087" w:rsidRPr="00731644">
        <w:rPr>
          <w:lang w:val="fr-CH"/>
        </w:rPr>
        <w:t xml:space="preserve"> du système éducatif du Monténégro </w:t>
      </w:r>
      <w:r w:rsidR="00B850F7" w:rsidRPr="00731644">
        <w:rPr>
          <w:lang w:val="fr-CH"/>
        </w:rPr>
        <w:t xml:space="preserve">en </w:t>
      </w:r>
      <w:r w:rsidR="00EE7087" w:rsidRPr="00731644">
        <w:rPr>
          <w:lang w:val="fr-CH"/>
        </w:rPr>
        <w:t>ce qu</w:t>
      </w:r>
      <w:r w:rsidR="00425386" w:rsidRPr="00731644">
        <w:rPr>
          <w:lang w:val="fr-CH"/>
        </w:rPr>
        <w:t>’</w:t>
      </w:r>
      <w:r w:rsidR="00EE7087" w:rsidRPr="00731644">
        <w:rPr>
          <w:lang w:val="fr-CH"/>
        </w:rPr>
        <w:t>ils sont gérés directement par les communautés religieuses, qu</w:t>
      </w:r>
      <w:r w:rsidR="00425386" w:rsidRPr="00731644">
        <w:rPr>
          <w:lang w:val="fr-CH"/>
        </w:rPr>
        <w:t>’</w:t>
      </w:r>
      <w:r w:rsidR="00EE7087" w:rsidRPr="00731644">
        <w:rPr>
          <w:lang w:val="fr-CH"/>
        </w:rPr>
        <w:t>il</w:t>
      </w:r>
      <w:r w:rsidR="00B850F7" w:rsidRPr="00731644">
        <w:rPr>
          <w:lang w:val="fr-CH"/>
        </w:rPr>
        <w:t>s</w:t>
      </w:r>
      <w:r w:rsidR="00EE7087" w:rsidRPr="00731644">
        <w:rPr>
          <w:lang w:val="fr-CH"/>
        </w:rPr>
        <w:t xml:space="preserve"> </w:t>
      </w:r>
      <w:r w:rsidR="0078416D" w:rsidRPr="00731644">
        <w:rPr>
          <w:lang w:val="fr-CH"/>
        </w:rPr>
        <w:t>arrêt</w:t>
      </w:r>
      <w:r w:rsidR="00EE7087" w:rsidRPr="00731644">
        <w:rPr>
          <w:lang w:val="fr-CH"/>
        </w:rPr>
        <w:t>ent eux-mêmes</w:t>
      </w:r>
      <w:r w:rsidR="00C776A4" w:rsidRPr="00731644">
        <w:rPr>
          <w:lang w:val="fr-CH"/>
        </w:rPr>
        <w:t xml:space="preserve"> </w:t>
      </w:r>
      <w:r w:rsidR="00EE7087" w:rsidRPr="00731644">
        <w:rPr>
          <w:lang w:val="fr-CH"/>
        </w:rPr>
        <w:t>leurs programmes et leurs plans d</w:t>
      </w:r>
      <w:r w:rsidR="00425386" w:rsidRPr="00731644">
        <w:rPr>
          <w:lang w:val="fr-CH"/>
        </w:rPr>
        <w:t>’</w:t>
      </w:r>
      <w:r w:rsidR="00EE7087" w:rsidRPr="00731644">
        <w:rPr>
          <w:lang w:val="fr-CH"/>
        </w:rPr>
        <w:t>études et qu</w:t>
      </w:r>
      <w:r w:rsidR="00425386" w:rsidRPr="00731644">
        <w:rPr>
          <w:lang w:val="fr-CH"/>
        </w:rPr>
        <w:t>’</w:t>
      </w:r>
      <w:r w:rsidR="00EE7087" w:rsidRPr="00731644">
        <w:rPr>
          <w:lang w:val="fr-CH"/>
        </w:rPr>
        <w:t>ils choisissent leur personnel enseignant. Toutes les communautés religieuses font usage de ce droit, et organis</w:t>
      </w:r>
      <w:r w:rsidR="0078416D" w:rsidRPr="00731644">
        <w:rPr>
          <w:lang w:val="fr-CH"/>
        </w:rPr>
        <w:t>e</w:t>
      </w:r>
      <w:r w:rsidR="00EE7087" w:rsidRPr="00731644">
        <w:rPr>
          <w:lang w:val="fr-CH"/>
        </w:rPr>
        <w:t>nt l</w:t>
      </w:r>
      <w:r w:rsidR="00425386" w:rsidRPr="00731644">
        <w:rPr>
          <w:lang w:val="fr-CH"/>
        </w:rPr>
        <w:t>’</w:t>
      </w:r>
      <w:r w:rsidR="00EE7087" w:rsidRPr="00731644">
        <w:rPr>
          <w:lang w:val="fr-CH"/>
        </w:rPr>
        <w:t>instruction religieuse dans les murs</w:t>
      </w:r>
      <w:r w:rsidR="00B850F7" w:rsidRPr="00731644">
        <w:rPr>
          <w:lang w:val="fr-CH"/>
        </w:rPr>
        <w:t xml:space="preserve"> des écoles</w:t>
      </w:r>
      <w:r w:rsidR="00EE7087" w:rsidRPr="00731644">
        <w:rPr>
          <w:lang w:val="fr-CH"/>
        </w:rPr>
        <w:t xml:space="preserve">. </w:t>
      </w:r>
      <w:r w:rsidR="00B850F7" w:rsidRPr="00731644">
        <w:rPr>
          <w:lang w:val="fr-CH"/>
        </w:rPr>
        <w:t>Elles sont aussi admises à</w:t>
      </w:r>
      <w:r w:rsidR="00EE7087" w:rsidRPr="00731644">
        <w:rPr>
          <w:lang w:val="fr-CH"/>
        </w:rPr>
        <w:t xml:space="preserve"> publier et </w:t>
      </w:r>
      <w:r w:rsidR="00B850F7" w:rsidRPr="00731644">
        <w:rPr>
          <w:lang w:val="fr-CH"/>
        </w:rPr>
        <w:t>à</w:t>
      </w:r>
      <w:r w:rsidR="00EE7087" w:rsidRPr="00731644">
        <w:rPr>
          <w:lang w:val="fr-CH"/>
        </w:rPr>
        <w:t xml:space="preserve"> diffuser une presse religieuse</w:t>
      </w:r>
      <w:r w:rsidR="00F31DD5" w:rsidRPr="00731644">
        <w:rPr>
          <w:lang w:val="fr-CH"/>
        </w:rPr>
        <w:t>;</w:t>
      </w:r>
      <w:r w:rsidR="00EE7087" w:rsidRPr="00731644">
        <w:rPr>
          <w:lang w:val="fr-CH"/>
        </w:rPr>
        <w:t xml:space="preserve"> elles sont soumises à cet égard aux règles générales applicables aux activités d</w:t>
      </w:r>
      <w:r w:rsidR="00425386" w:rsidRPr="00731644">
        <w:rPr>
          <w:lang w:val="fr-CH"/>
        </w:rPr>
        <w:t>’</w:t>
      </w:r>
      <w:r w:rsidR="00EE7087" w:rsidRPr="00731644">
        <w:rPr>
          <w:lang w:val="fr-CH"/>
        </w:rPr>
        <w:t>information et d</w:t>
      </w:r>
      <w:r w:rsidR="00425386" w:rsidRPr="00731644">
        <w:rPr>
          <w:lang w:val="fr-CH"/>
        </w:rPr>
        <w:t>’</w:t>
      </w:r>
      <w:r w:rsidR="00EE7087" w:rsidRPr="00731644">
        <w:rPr>
          <w:lang w:val="fr-CH"/>
        </w:rPr>
        <w:t xml:space="preserve">édition. </w:t>
      </w:r>
      <w:r w:rsidR="00B850F7" w:rsidRPr="00731644">
        <w:rPr>
          <w:lang w:val="fr-CH"/>
        </w:rPr>
        <w:t>Elles</w:t>
      </w:r>
      <w:r w:rsidR="00C776A4" w:rsidRPr="00731644">
        <w:rPr>
          <w:lang w:val="fr-CH"/>
        </w:rPr>
        <w:t xml:space="preserve"> </w:t>
      </w:r>
      <w:r w:rsidR="00EE7087" w:rsidRPr="00731644">
        <w:rPr>
          <w:lang w:val="fr-CH"/>
        </w:rPr>
        <w:t xml:space="preserve">exercent </w:t>
      </w:r>
      <w:r w:rsidR="0078416D" w:rsidRPr="00731644">
        <w:rPr>
          <w:lang w:val="fr-CH"/>
        </w:rPr>
        <w:t xml:space="preserve">effectivement </w:t>
      </w:r>
      <w:r w:rsidR="00EE7087" w:rsidRPr="00731644">
        <w:rPr>
          <w:lang w:val="fr-CH"/>
        </w:rPr>
        <w:t>ce droit, de sorte qu</w:t>
      </w:r>
      <w:r w:rsidR="00425386" w:rsidRPr="00731644">
        <w:rPr>
          <w:lang w:val="fr-CH"/>
        </w:rPr>
        <w:t>’</w:t>
      </w:r>
      <w:r w:rsidR="00EE7087" w:rsidRPr="00731644">
        <w:rPr>
          <w:lang w:val="fr-CH"/>
        </w:rPr>
        <w:t xml:space="preserve">il existe </w:t>
      </w:r>
      <w:r w:rsidR="00B850F7" w:rsidRPr="00731644">
        <w:rPr>
          <w:lang w:val="fr-CH"/>
        </w:rPr>
        <w:t>une presse interne</w:t>
      </w:r>
      <w:r w:rsidR="00EE7087" w:rsidRPr="00731644">
        <w:rPr>
          <w:lang w:val="fr-CH"/>
        </w:rPr>
        <w:t xml:space="preserve"> à toutes les communautés </w:t>
      </w:r>
      <w:r w:rsidR="00B850F7" w:rsidRPr="00731644">
        <w:rPr>
          <w:lang w:val="fr-CH"/>
        </w:rPr>
        <w:t xml:space="preserve">religieuses </w:t>
      </w:r>
      <w:r w:rsidR="00EE7087" w:rsidRPr="00731644">
        <w:rPr>
          <w:lang w:val="fr-CH"/>
        </w:rPr>
        <w:t xml:space="preserve">du Monténégro. </w:t>
      </w:r>
    </w:p>
    <w:p w:rsidR="00C776A4" w:rsidRPr="00731644" w:rsidRDefault="00BF1535" w:rsidP="00C776A4">
      <w:pPr>
        <w:pStyle w:val="SingleTxtG"/>
        <w:rPr>
          <w:lang w:val="fr-CH"/>
        </w:rPr>
      </w:pPr>
      <w:r w:rsidRPr="00731644">
        <w:rPr>
          <w:lang w:val="fr-CH"/>
        </w:rPr>
        <w:t>151.</w:t>
      </w:r>
      <w:r w:rsidRPr="00731644">
        <w:rPr>
          <w:lang w:val="fr-CH"/>
        </w:rPr>
        <w:tab/>
      </w:r>
      <w:r w:rsidR="00593350" w:rsidRPr="00731644">
        <w:rPr>
          <w:lang w:val="fr-CH"/>
        </w:rPr>
        <w:t>La liberté d</w:t>
      </w:r>
      <w:r w:rsidR="00425386" w:rsidRPr="00731644">
        <w:rPr>
          <w:lang w:val="fr-CH"/>
        </w:rPr>
        <w:t>’</w:t>
      </w:r>
      <w:r w:rsidR="00593350" w:rsidRPr="00731644">
        <w:rPr>
          <w:lang w:val="fr-CH"/>
        </w:rPr>
        <w:t xml:space="preserve">expression des convictions religieuses est également assurée par </w:t>
      </w:r>
      <w:r w:rsidR="00A66512" w:rsidRPr="00731644">
        <w:rPr>
          <w:lang w:val="fr-CH"/>
        </w:rPr>
        <w:t>le dispositif juridique</w:t>
      </w:r>
      <w:r w:rsidR="00593350" w:rsidRPr="00731644">
        <w:rPr>
          <w:lang w:val="fr-CH"/>
        </w:rPr>
        <w:t xml:space="preserve"> </w:t>
      </w:r>
      <w:r w:rsidR="00B850F7" w:rsidRPr="00731644">
        <w:rPr>
          <w:lang w:val="fr-CH"/>
        </w:rPr>
        <w:t>qui</w:t>
      </w:r>
      <w:r w:rsidR="00593350" w:rsidRPr="00731644">
        <w:rPr>
          <w:lang w:val="fr-CH"/>
        </w:rPr>
        <w:t xml:space="preserve"> permet aux croyants de s</w:t>
      </w:r>
      <w:r w:rsidR="00425386" w:rsidRPr="00731644">
        <w:rPr>
          <w:lang w:val="fr-CH"/>
        </w:rPr>
        <w:t>’</w:t>
      </w:r>
      <w:r w:rsidR="00593350" w:rsidRPr="00731644">
        <w:rPr>
          <w:lang w:val="fr-CH"/>
        </w:rPr>
        <w:t>absenter de leur travail à l</w:t>
      </w:r>
      <w:r w:rsidR="00425386" w:rsidRPr="00731644">
        <w:rPr>
          <w:lang w:val="fr-CH"/>
        </w:rPr>
        <w:t>’</w:t>
      </w:r>
      <w:r w:rsidR="00593350" w:rsidRPr="00731644">
        <w:rPr>
          <w:lang w:val="fr-CH"/>
        </w:rPr>
        <w:t>occasion des fêtes les plus</w:t>
      </w:r>
      <w:r w:rsidR="00F31DD5" w:rsidRPr="00731644">
        <w:rPr>
          <w:lang w:val="fr-CH"/>
        </w:rPr>
        <w:t xml:space="preserve"> </w:t>
      </w:r>
      <w:r w:rsidR="00593350" w:rsidRPr="00731644">
        <w:rPr>
          <w:lang w:val="fr-CH"/>
        </w:rPr>
        <w:t xml:space="preserve">importantes pour eux. La </w:t>
      </w:r>
      <w:r w:rsidR="00593350" w:rsidRPr="00DA0274">
        <w:rPr>
          <w:iCs/>
          <w:lang w:val="fr-CH"/>
        </w:rPr>
        <w:t xml:space="preserve">loi sur la célébration des fêtes religieuses </w:t>
      </w:r>
      <w:r w:rsidR="00B850F7" w:rsidRPr="00731644">
        <w:rPr>
          <w:lang w:val="fr-CH"/>
        </w:rPr>
        <w:t xml:space="preserve">reconnaît le </w:t>
      </w:r>
      <w:r w:rsidR="00593350" w:rsidRPr="00731644">
        <w:rPr>
          <w:lang w:val="fr-CH"/>
        </w:rPr>
        <w:t>droit à des congés payés lors de la célébration de certaines fêtes. Ce sont</w:t>
      </w:r>
      <w:r w:rsidR="00F31DD5" w:rsidRPr="00731644">
        <w:rPr>
          <w:lang w:val="fr-CH"/>
        </w:rPr>
        <w:t>:</w:t>
      </w:r>
      <w:r w:rsidR="00593350" w:rsidRPr="00731644">
        <w:rPr>
          <w:lang w:val="fr-CH"/>
        </w:rPr>
        <w:t xml:space="preserve"> dans le cas des orthodoxes, la veille de Noël, Noël (</w:t>
      </w:r>
      <w:r w:rsidR="007370E0">
        <w:rPr>
          <w:lang w:val="fr-CH"/>
        </w:rPr>
        <w:t>2</w:t>
      </w:r>
      <w:r w:rsidR="00731644" w:rsidRPr="00731644">
        <w:rPr>
          <w:lang w:val="fr-CH"/>
        </w:rPr>
        <w:t> jours</w:t>
      </w:r>
      <w:r w:rsidR="00593350" w:rsidRPr="00731644">
        <w:rPr>
          <w:lang w:val="fr-CH"/>
        </w:rPr>
        <w:t xml:space="preserve">), le vendredi saint, </w:t>
      </w:r>
      <w:r w:rsidR="00B850F7" w:rsidRPr="00731644">
        <w:rPr>
          <w:lang w:val="fr-CH"/>
        </w:rPr>
        <w:t xml:space="preserve">le dimanche de </w:t>
      </w:r>
      <w:r w:rsidR="00593350" w:rsidRPr="00731644">
        <w:rPr>
          <w:lang w:val="fr-CH"/>
        </w:rPr>
        <w:t xml:space="preserve">Pâques et le </w:t>
      </w:r>
      <w:r w:rsidR="00410F58" w:rsidRPr="00731644">
        <w:rPr>
          <w:lang w:val="fr-CH"/>
        </w:rPr>
        <w:t xml:space="preserve">jour du </w:t>
      </w:r>
      <w:r w:rsidR="00593350" w:rsidRPr="00731644">
        <w:rPr>
          <w:lang w:val="fr-CH"/>
        </w:rPr>
        <w:t>saint patron</w:t>
      </w:r>
      <w:r w:rsidR="00F31DD5" w:rsidRPr="00731644">
        <w:rPr>
          <w:lang w:val="fr-CH"/>
        </w:rPr>
        <w:t xml:space="preserve">; </w:t>
      </w:r>
      <w:r w:rsidR="00593350" w:rsidRPr="00731644">
        <w:rPr>
          <w:lang w:val="fr-CH"/>
        </w:rPr>
        <w:t xml:space="preserve">dans celui des catholiques, la veille de Noël, </w:t>
      </w:r>
      <w:r w:rsidR="00A66512" w:rsidRPr="00731644">
        <w:rPr>
          <w:lang w:val="fr-CH"/>
        </w:rPr>
        <w:t>Noël</w:t>
      </w:r>
      <w:r w:rsidR="00593350" w:rsidRPr="00731644">
        <w:rPr>
          <w:lang w:val="fr-CH"/>
        </w:rPr>
        <w:t xml:space="preserve"> (</w:t>
      </w:r>
      <w:r w:rsidR="007370E0">
        <w:rPr>
          <w:lang w:val="fr-CH"/>
        </w:rPr>
        <w:t>2</w:t>
      </w:r>
      <w:r w:rsidR="00731644" w:rsidRPr="00731644">
        <w:rPr>
          <w:lang w:val="fr-CH"/>
        </w:rPr>
        <w:t> jours</w:t>
      </w:r>
      <w:r w:rsidR="00593350" w:rsidRPr="00731644">
        <w:rPr>
          <w:lang w:val="fr-CH"/>
        </w:rPr>
        <w:t xml:space="preserve">), le vendredi saint, le dimanche de Pâques </w:t>
      </w:r>
      <w:r w:rsidR="00C94D0A" w:rsidRPr="00731644">
        <w:rPr>
          <w:lang w:val="fr-CH"/>
        </w:rPr>
        <w:t>et la Toussaint</w:t>
      </w:r>
      <w:r w:rsidR="00F31DD5" w:rsidRPr="00731644">
        <w:rPr>
          <w:lang w:val="fr-CH"/>
        </w:rPr>
        <w:t>;</w:t>
      </w:r>
      <w:r w:rsidR="00C776A4" w:rsidRPr="00731644">
        <w:rPr>
          <w:lang w:val="fr-CH"/>
        </w:rPr>
        <w:t xml:space="preserve"> </w:t>
      </w:r>
      <w:r w:rsidR="00DD308A" w:rsidRPr="00731644">
        <w:rPr>
          <w:lang w:val="fr-CH"/>
        </w:rPr>
        <w:t>dans celui des musulmans,</w:t>
      </w:r>
      <w:r w:rsidR="00F31DD5" w:rsidRPr="00731644">
        <w:rPr>
          <w:lang w:val="fr-CH"/>
        </w:rPr>
        <w:t xml:space="preserve"> </w:t>
      </w:r>
      <w:r w:rsidR="00410F58" w:rsidRPr="00731644">
        <w:rPr>
          <w:lang w:val="fr-CH"/>
        </w:rPr>
        <w:t xml:space="preserve">Eïd al-Fitr </w:t>
      </w:r>
      <w:r w:rsidR="00C776A4" w:rsidRPr="00731644">
        <w:rPr>
          <w:lang w:val="fr-CH"/>
        </w:rPr>
        <w:t>(</w:t>
      </w:r>
      <w:r w:rsidR="007370E0">
        <w:rPr>
          <w:lang w:val="fr-CH"/>
        </w:rPr>
        <w:t>3</w:t>
      </w:r>
      <w:r w:rsidR="00731644" w:rsidRPr="00731644">
        <w:rPr>
          <w:lang w:val="fr-CH"/>
        </w:rPr>
        <w:t> jours</w:t>
      </w:r>
      <w:r w:rsidR="00C776A4" w:rsidRPr="00731644">
        <w:rPr>
          <w:lang w:val="fr-CH"/>
        </w:rPr>
        <w:t xml:space="preserve">) </w:t>
      </w:r>
      <w:r w:rsidR="00410F58" w:rsidRPr="00731644">
        <w:rPr>
          <w:lang w:val="fr-CH"/>
        </w:rPr>
        <w:t xml:space="preserve">et Eïd al-Adha </w:t>
      </w:r>
      <w:r w:rsidR="00C776A4" w:rsidRPr="00731644">
        <w:rPr>
          <w:lang w:val="fr-CH"/>
        </w:rPr>
        <w:t>(</w:t>
      </w:r>
      <w:r w:rsidR="007370E0">
        <w:rPr>
          <w:lang w:val="fr-CH"/>
        </w:rPr>
        <w:t>3</w:t>
      </w:r>
      <w:r w:rsidR="00731644" w:rsidRPr="00731644">
        <w:rPr>
          <w:lang w:val="fr-CH"/>
        </w:rPr>
        <w:t> jours</w:t>
      </w:r>
      <w:r w:rsidR="00C776A4" w:rsidRPr="00731644">
        <w:rPr>
          <w:lang w:val="fr-CH"/>
        </w:rPr>
        <w:t>)</w:t>
      </w:r>
      <w:r w:rsidR="00F31DD5" w:rsidRPr="00731644">
        <w:rPr>
          <w:lang w:val="fr-CH"/>
        </w:rPr>
        <w:t>;</w:t>
      </w:r>
      <w:r w:rsidR="00DD308A" w:rsidRPr="00731644">
        <w:rPr>
          <w:lang w:val="fr-CH"/>
        </w:rPr>
        <w:t xml:space="preserve"> dans celui des juifs, la Pâque</w:t>
      </w:r>
      <w:r w:rsidR="00F31DD5" w:rsidRPr="00731644">
        <w:rPr>
          <w:lang w:val="fr-CH"/>
        </w:rPr>
        <w:t xml:space="preserve"> </w:t>
      </w:r>
      <w:r w:rsidR="00C776A4" w:rsidRPr="00731644">
        <w:rPr>
          <w:lang w:val="fr-CH"/>
        </w:rPr>
        <w:t>(</w:t>
      </w:r>
      <w:r w:rsidR="007370E0">
        <w:rPr>
          <w:lang w:val="fr-CH"/>
        </w:rPr>
        <w:t>3</w:t>
      </w:r>
      <w:r w:rsidR="00731644" w:rsidRPr="00731644">
        <w:rPr>
          <w:lang w:val="fr-CH"/>
        </w:rPr>
        <w:t> jours</w:t>
      </w:r>
      <w:r w:rsidR="00C776A4" w:rsidRPr="00731644">
        <w:rPr>
          <w:lang w:val="fr-CH"/>
        </w:rPr>
        <w:t xml:space="preserve">) </w:t>
      </w:r>
      <w:r w:rsidR="00DD308A" w:rsidRPr="00731644">
        <w:rPr>
          <w:lang w:val="fr-CH"/>
        </w:rPr>
        <w:t>et</w:t>
      </w:r>
      <w:r w:rsidR="00C776A4" w:rsidRPr="00731644">
        <w:rPr>
          <w:lang w:val="fr-CH"/>
        </w:rPr>
        <w:t xml:space="preserve"> Yom Kipp</w:t>
      </w:r>
      <w:r w:rsidR="00410F58" w:rsidRPr="00731644">
        <w:rPr>
          <w:lang w:val="fr-CH"/>
        </w:rPr>
        <w:t>o</w:t>
      </w:r>
      <w:r w:rsidR="00C776A4" w:rsidRPr="00731644">
        <w:rPr>
          <w:lang w:val="fr-CH"/>
        </w:rPr>
        <w:t>ur (</w:t>
      </w:r>
      <w:r w:rsidR="007370E0">
        <w:rPr>
          <w:lang w:val="fr-CH"/>
        </w:rPr>
        <w:t>2</w:t>
      </w:r>
      <w:r w:rsidR="00731644" w:rsidRPr="00731644">
        <w:rPr>
          <w:lang w:val="fr-CH"/>
        </w:rPr>
        <w:t> jours</w:t>
      </w:r>
      <w:r w:rsidR="00C776A4" w:rsidRPr="00731644">
        <w:rPr>
          <w:lang w:val="fr-CH"/>
        </w:rPr>
        <w:t xml:space="preserve">). </w:t>
      </w:r>
      <w:r w:rsidR="00DD308A" w:rsidRPr="00731644">
        <w:rPr>
          <w:lang w:val="fr-CH"/>
        </w:rPr>
        <w:t xml:space="preserve">Le </w:t>
      </w:r>
      <w:r w:rsidR="00410F58" w:rsidRPr="00731644">
        <w:rPr>
          <w:lang w:val="fr-CH"/>
        </w:rPr>
        <w:t>dirigeant</w:t>
      </w:r>
      <w:r w:rsidR="00DD308A" w:rsidRPr="00731644">
        <w:rPr>
          <w:lang w:val="fr-CH"/>
        </w:rPr>
        <w:t xml:space="preserve"> d</w:t>
      </w:r>
      <w:r w:rsidR="00425386" w:rsidRPr="00731644">
        <w:rPr>
          <w:lang w:val="fr-CH"/>
        </w:rPr>
        <w:t>’</w:t>
      </w:r>
      <w:r w:rsidR="00DD308A" w:rsidRPr="00731644">
        <w:rPr>
          <w:lang w:val="fr-CH"/>
        </w:rPr>
        <w:t>une entreprise, d</w:t>
      </w:r>
      <w:r w:rsidR="00425386" w:rsidRPr="00731644">
        <w:rPr>
          <w:lang w:val="fr-CH"/>
        </w:rPr>
        <w:t>’</w:t>
      </w:r>
      <w:r w:rsidR="00DD308A" w:rsidRPr="00731644">
        <w:rPr>
          <w:lang w:val="fr-CH"/>
        </w:rPr>
        <w:t>une institution ou d</w:t>
      </w:r>
      <w:r w:rsidR="00425386" w:rsidRPr="00731644">
        <w:rPr>
          <w:lang w:val="fr-CH"/>
        </w:rPr>
        <w:t>’</w:t>
      </w:r>
      <w:r w:rsidR="00DD308A" w:rsidRPr="00731644">
        <w:rPr>
          <w:lang w:val="fr-CH"/>
        </w:rPr>
        <w:t>une autre personne morale qui n</w:t>
      </w:r>
      <w:r w:rsidR="00425386" w:rsidRPr="00731644">
        <w:rPr>
          <w:lang w:val="fr-CH"/>
        </w:rPr>
        <w:t>’</w:t>
      </w:r>
      <w:r w:rsidR="00DD308A" w:rsidRPr="00731644">
        <w:rPr>
          <w:lang w:val="fr-CH"/>
        </w:rPr>
        <w:t>accorde pas à s</w:t>
      </w:r>
      <w:r w:rsidR="00410F58" w:rsidRPr="00731644">
        <w:rPr>
          <w:lang w:val="fr-CH"/>
        </w:rPr>
        <w:t>e</w:t>
      </w:r>
      <w:r w:rsidR="00DD308A" w:rsidRPr="00731644">
        <w:rPr>
          <w:lang w:val="fr-CH"/>
        </w:rPr>
        <w:t>s salariés un congé payé lors de la célébration des fêtes religieuses commet une infraction de gravité moyenne punie d</w:t>
      </w:r>
      <w:r w:rsidR="00425386" w:rsidRPr="00731644">
        <w:rPr>
          <w:lang w:val="fr-CH"/>
        </w:rPr>
        <w:t>’</w:t>
      </w:r>
      <w:r w:rsidR="00DD308A" w:rsidRPr="00731644">
        <w:rPr>
          <w:lang w:val="fr-CH"/>
        </w:rPr>
        <w:t xml:space="preserve">une amende. </w:t>
      </w:r>
    </w:p>
    <w:p w:rsidR="00C776A4" w:rsidRPr="00731644" w:rsidRDefault="00BF1535" w:rsidP="007A429C">
      <w:pPr>
        <w:pStyle w:val="SingleTxtG"/>
        <w:rPr>
          <w:lang w:val="fr-CH"/>
        </w:rPr>
      </w:pPr>
      <w:r w:rsidRPr="00731644">
        <w:rPr>
          <w:lang w:val="fr-CH"/>
        </w:rPr>
        <w:t>152.</w:t>
      </w:r>
      <w:r w:rsidRPr="00731644">
        <w:rPr>
          <w:lang w:val="fr-CH"/>
        </w:rPr>
        <w:tab/>
      </w:r>
      <w:r w:rsidR="00DD308A" w:rsidRPr="00731644">
        <w:rPr>
          <w:lang w:val="fr-CH"/>
        </w:rPr>
        <w:t>L</w:t>
      </w:r>
      <w:r w:rsidR="00425386" w:rsidRPr="00731644">
        <w:rPr>
          <w:lang w:val="fr-CH"/>
        </w:rPr>
        <w:t>’</w:t>
      </w:r>
      <w:r w:rsidR="00DD308A" w:rsidRPr="00731644">
        <w:rPr>
          <w:lang w:val="fr-CH"/>
        </w:rPr>
        <w:t>assistance de l</w:t>
      </w:r>
      <w:r w:rsidR="00425386" w:rsidRPr="00731644">
        <w:rPr>
          <w:lang w:val="fr-CH"/>
        </w:rPr>
        <w:t>’</w:t>
      </w:r>
      <w:r w:rsidR="00DD308A" w:rsidRPr="00731644">
        <w:rPr>
          <w:lang w:val="fr-CH"/>
        </w:rPr>
        <w:t>État aux communautés religieuses prend la forme d</w:t>
      </w:r>
      <w:r w:rsidR="00425386" w:rsidRPr="00731644">
        <w:rPr>
          <w:lang w:val="fr-CH"/>
        </w:rPr>
        <w:t>’</w:t>
      </w:r>
      <w:r w:rsidR="00DD308A" w:rsidRPr="00731644">
        <w:rPr>
          <w:lang w:val="fr-CH"/>
        </w:rPr>
        <w:t>une participation de 50</w:t>
      </w:r>
      <w:r w:rsidR="006443F6" w:rsidRPr="00731644">
        <w:rPr>
          <w:lang w:val="fr-CH"/>
        </w:rPr>
        <w:t>%</w:t>
      </w:r>
      <w:r w:rsidR="00DD308A" w:rsidRPr="00731644">
        <w:rPr>
          <w:lang w:val="fr-CH"/>
        </w:rPr>
        <w:t xml:space="preserve"> aux </w:t>
      </w:r>
      <w:r w:rsidR="00410F58" w:rsidRPr="00731644">
        <w:rPr>
          <w:lang w:val="fr-CH"/>
        </w:rPr>
        <w:t>cotis</w:t>
      </w:r>
      <w:r w:rsidR="00DD308A" w:rsidRPr="00731644">
        <w:rPr>
          <w:lang w:val="fr-CH"/>
        </w:rPr>
        <w:t xml:space="preserve">ations </w:t>
      </w:r>
      <w:r w:rsidR="00410F58" w:rsidRPr="00731644">
        <w:rPr>
          <w:lang w:val="fr-CH"/>
        </w:rPr>
        <w:t>d</w:t>
      </w:r>
      <w:r w:rsidR="00425386" w:rsidRPr="00731644">
        <w:rPr>
          <w:lang w:val="fr-CH"/>
        </w:rPr>
        <w:t>’</w:t>
      </w:r>
      <w:r w:rsidR="00410F58" w:rsidRPr="00731644">
        <w:rPr>
          <w:lang w:val="fr-CH"/>
        </w:rPr>
        <w:t>assurance vieillesse</w:t>
      </w:r>
      <w:r w:rsidR="00DD308A" w:rsidRPr="00731644">
        <w:rPr>
          <w:lang w:val="fr-CH"/>
        </w:rPr>
        <w:t xml:space="preserve">, </w:t>
      </w:r>
      <w:r w:rsidR="0078416D" w:rsidRPr="00731644">
        <w:rPr>
          <w:lang w:val="fr-CH"/>
        </w:rPr>
        <w:t>invalidité</w:t>
      </w:r>
      <w:r w:rsidR="00DD308A" w:rsidRPr="00731644">
        <w:rPr>
          <w:lang w:val="fr-CH"/>
        </w:rPr>
        <w:t xml:space="preserve"> et maladie versées </w:t>
      </w:r>
      <w:r w:rsidR="0078416D" w:rsidRPr="00731644">
        <w:rPr>
          <w:lang w:val="fr-CH"/>
        </w:rPr>
        <w:t xml:space="preserve">pour le compte des </w:t>
      </w:r>
      <w:r w:rsidR="00DD308A" w:rsidRPr="00731644">
        <w:rPr>
          <w:lang w:val="fr-CH"/>
        </w:rPr>
        <w:t>prêtres et</w:t>
      </w:r>
      <w:r w:rsidR="00C776A4" w:rsidRPr="00731644">
        <w:rPr>
          <w:lang w:val="fr-CH"/>
        </w:rPr>
        <w:t xml:space="preserve">, </w:t>
      </w:r>
      <w:r w:rsidR="00DD308A" w:rsidRPr="00731644">
        <w:rPr>
          <w:lang w:val="fr-CH"/>
        </w:rPr>
        <w:t>surtout, d</w:t>
      </w:r>
      <w:r w:rsidR="00425386" w:rsidRPr="00731644">
        <w:rPr>
          <w:lang w:val="fr-CH"/>
        </w:rPr>
        <w:t>’</w:t>
      </w:r>
      <w:r w:rsidR="00DD308A" w:rsidRPr="00731644">
        <w:rPr>
          <w:lang w:val="fr-CH"/>
        </w:rPr>
        <w:t xml:space="preserve">investissements dans les </w:t>
      </w:r>
      <w:r w:rsidR="00410F58" w:rsidRPr="00731644">
        <w:rPr>
          <w:lang w:val="fr-CH"/>
        </w:rPr>
        <w:t xml:space="preserve">édifices </w:t>
      </w:r>
      <w:r w:rsidR="00DD308A" w:rsidRPr="00731644">
        <w:rPr>
          <w:lang w:val="fr-CH"/>
        </w:rPr>
        <w:t>religieu</w:t>
      </w:r>
      <w:r w:rsidR="00410F58" w:rsidRPr="00731644">
        <w:rPr>
          <w:lang w:val="fr-CH"/>
        </w:rPr>
        <w:t>x</w:t>
      </w:r>
      <w:r w:rsidR="00DD308A" w:rsidRPr="00731644">
        <w:rPr>
          <w:lang w:val="fr-CH"/>
        </w:rPr>
        <w:t>, en particulier ce</w:t>
      </w:r>
      <w:r w:rsidR="00410F58" w:rsidRPr="00731644">
        <w:rPr>
          <w:lang w:val="fr-CH"/>
        </w:rPr>
        <w:t>ux</w:t>
      </w:r>
      <w:r w:rsidR="00DD308A" w:rsidRPr="00731644">
        <w:rPr>
          <w:lang w:val="fr-CH"/>
        </w:rPr>
        <w:t xml:space="preserve"> qui </w:t>
      </w:r>
      <w:r w:rsidR="0078416D" w:rsidRPr="00731644">
        <w:rPr>
          <w:lang w:val="fr-CH"/>
        </w:rPr>
        <w:t xml:space="preserve">ont le </w:t>
      </w:r>
      <w:r w:rsidR="00F26360" w:rsidRPr="00731644">
        <w:rPr>
          <w:lang w:val="fr-CH"/>
        </w:rPr>
        <w:t>caractère</w:t>
      </w:r>
      <w:r w:rsidR="0078416D" w:rsidRPr="00731644">
        <w:rPr>
          <w:lang w:val="fr-CH"/>
        </w:rPr>
        <w:t xml:space="preserve"> de</w:t>
      </w:r>
      <w:r w:rsidR="00DD308A" w:rsidRPr="00731644">
        <w:rPr>
          <w:lang w:val="fr-CH"/>
        </w:rPr>
        <w:t xml:space="preserve"> monuments culturels. L</w:t>
      </w:r>
      <w:r w:rsidR="00425386" w:rsidRPr="00731644">
        <w:rPr>
          <w:lang w:val="fr-CH"/>
        </w:rPr>
        <w:t>’</w:t>
      </w:r>
      <w:r w:rsidR="00DD308A" w:rsidRPr="00731644">
        <w:rPr>
          <w:lang w:val="fr-CH"/>
        </w:rPr>
        <w:t xml:space="preserve">État apporte un soutien financier aux </w:t>
      </w:r>
      <w:r w:rsidR="00525AA6" w:rsidRPr="00731644">
        <w:rPr>
          <w:lang w:val="fr-CH"/>
        </w:rPr>
        <w:t>activités culturelles et aux événements</w:t>
      </w:r>
      <w:r w:rsidR="00DD308A" w:rsidRPr="00731644">
        <w:rPr>
          <w:lang w:val="fr-CH"/>
        </w:rPr>
        <w:t xml:space="preserve"> </w:t>
      </w:r>
      <w:r w:rsidR="00525AA6" w:rsidRPr="00731644">
        <w:rPr>
          <w:lang w:val="fr-CH"/>
        </w:rPr>
        <w:t>organisés par les</w:t>
      </w:r>
      <w:r w:rsidR="00DD308A" w:rsidRPr="00731644">
        <w:rPr>
          <w:lang w:val="fr-CH"/>
        </w:rPr>
        <w:t xml:space="preserve"> communautés religieuses. Celles-ci possèdent des biens et peuvent collecter</w:t>
      </w:r>
      <w:r w:rsidR="00410F58" w:rsidRPr="00731644">
        <w:rPr>
          <w:lang w:val="fr-CH"/>
        </w:rPr>
        <w:t>,</w:t>
      </w:r>
      <w:r w:rsidR="00DD308A" w:rsidRPr="00731644">
        <w:rPr>
          <w:lang w:val="fr-CH"/>
        </w:rPr>
        <w:t xml:space="preserve"> à des fins religieuses, </w:t>
      </w:r>
      <w:r w:rsidR="00525AA6" w:rsidRPr="00731644">
        <w:rPr>
          <w:lang w:val="fr-CH"/>
        </w:rPr>
        <w:t xml:space="preserve">des donations </w:t>
      </w:r>
      <w:r w:rsidR="00DD308A" w:rsidRPr="00731644">
        <w:rPr>
          <w:lang w:val="fr-CH"/>
        </w:rPr>
        <w:t>dont elles disposent à leur gré.</w:t>
      </w:r>
      <w:r w:rsidR="00F31DD5" w:rsidRPr="00731644">
        <w:rPr>
          <w:lang w:val="fr-CH"/>
        </w:rPr>
        <w:t xml:space="preserve"> </w:t>
      </w:r>
    </w:p>
    <w:p w:rsidR="00C776A4" w:rsidRPr="00731644" w:rsidRDefault="00BF1535" w:rsidP="00D53B48">
      <w:pPr>
        <w:pStyle w:val="SingleTxtG"/>
        <w:rPr>
          <w:lang w:val="fr-CH"/>
        </w:rPr>
      </w:pPr>
      <w:r w:rsidRPr="00731644">
        <w:rPr>
          <w:lang w:val="fr-CH"/>
        </w:rPr>
        <w:t>153.</w:t>
      </w:r>
      <w:r w:rsidRPr="00731644">
        <w:rPr>
          <w:lang w:val="fr-CH"/>
        </w:rPr>
        <w:tab/>
      </w:r>
      <w:r w:rsidR="00525AA6" w:rsidRPr="00731644">
        <w:rPr>
          <w:lang w:val="fr-CH"/>
        </w:rPr>
        <w:t>L</w:t>
      </w:r>
      <w:r w:rsidR="005A458F" w:rsidRPr="00731644">
        <w:rPr>
          <w:lang w:val="fr-CH"/>
        </w:rPr>
        <w:t>es seules restrictions susceptibles d</w:t>
      </w:r>
      <w:r w:rsidR="00425386" w:rsidRPr="00731644">
        <w:rPr>
          <w:lang w:val="fr-CH"/>
        </w:rPr>
        <w:t>’</w:t>
      </w:r>
      <w:r w:rsidR="005A458F" w:rsidRPr="00731644">
        <w:rPr>
          <w:lang w:val="fr-CH"/>
        </w:rPr>
        <w:t>être apportées à la liberté d</w:t>
      </w:r>
      <w:r w:rsidR="00425386" w:rsidRPr="00731644">
        <w:rPr>
          <w:lang w:val="fr-CH"/>
        </w:rPr>
        <w:t>’</w:t>
      </w:r>
      <w:r w:rsidR="005A458F" w:rsidRPr="00731644">
        <w:rPr>
          <w:lang w:val="fr-CH"/>
        </w:rPr>
        <w:t xml:space="preserve">exprimer ses convictions religieuses sont celles </w:t>
      </w:r>
      <w:r w:rsidR="00D1660B" w:rsidRPr="00731644">
        <w:rPr>
          <w:lang w:val="fr-CH"/>
        </w:rPr>
        <w:t>que requièrent la protection de</w:t>
      </w:r>
      <w:r w:rsidR="005A458F" w:rsidRPr="00731644">
        <w:rPr>
          <w:lang w:val="fr-CH"/>
        </w:rPr>
        <w:t xml:space="preserve"> la vie et </w:t>
      </w:r>
      <w:r w:rsidR="00D1660B" w:rsidRPr="00731644">
        <w:rPr>
          <w:lang w:val="fr-CH"/>
        </w:rPr>
        <w:t xml:space="preserve">de </w:t>
      </w:r>
      <w:r w:rsidR="005A458F" w:rsidRPr="00731644">
        <w:rPr>
          <w:lang w:val="fr-CH"/>
        </w:rPr>
        <w:t xml:space="preserve">la santé des populations, </w:t>
      </w:r>
      <w:r w:rsidR="00D1660B" w:rsidRPr="00731644">
        <w:rPr>
          <w:lang w:val="fr-CH"/>
        </w:rPr>
        <w:t xml:space="preserve">de </w:t>
      </w:r>
      <w:r w:rsidR="005A458F" w:rsidRPr="00731644">
        <w:rPr>
          <w:lang w:val="fr-CH"/>
        </w:rPr>
        <w:t>la paix civile</w:t>
      </w:r>
      <w:r w:rsidR="00525AA6" w:rsidRPr="00731644">
        <w:rPr>
          <w:lang w:val="fr-CH"/>
        </w:rPr>
        <w:t>,</w:t>
      </w:r>
      <w:r w:rsidR="005A458F" w:rsidRPr="00731644">
        <w:rPr>
          <w:lang w:val="fr-CH"/>
        </w:rPr>
        <w:t xml:space="preserve"> </w:t>
      </w:r>
      <w:r w:rsidR="00D1660B" w:rsidRPr="00731644">
        <w:rPr>
          <w:lang w:val="fr-CH"/>
        </w:rPr>
        <w:t xml:space="preserve">de </w:t>
      </w:r>
      <w:r w:rsidR="005A458F" w:rsidRPr="00731644">
        <w:rPr>
          <w:lang w:val="fr-CH"/>
        </w:rPr>
        <w:t>l</w:t>
      </w:r>
      <w:r w:rsidR="00425386" w:rsidRPr="00731644">
        <w:rPr>
          <w:lang w:val="fr-CH"/>
        </w:rPr>
        <w:t>’</w:t>
      </w:r>
      <w:r w:rsidR="005A458F" w:rsidRPr="00731644">
        <w:rPr>
          <w:lang w:val="fr-CH"/>
        </w:rPr>
        <w:t xml:space="preserve">ordre public </w:t>
      </w:r>
      <w:r w:rsidR="00525AA6" w:rsidRPr="00731644">
        <w:rPr>
          <w:lang w:val="fr-CH"/>
        </w:rPr>
        <w:t>et</w:t>
      </w:r>
      <w:r w:rsidR="005A458F" w:rsidRPr="00731644">
        <w:rPr>
          <w:lang w:val="fr-CH"/>
        </w:rPr>
        <w:t xml:space="preserve"> </w:t>
      </w:r>
      <w:r w:rsidR="00D1660B" w:rsidRPr="00731644">
        <w:rPr>
          <w:lang w:val="fr-CH"/>
        </w:rPr>
        <w:t>d</w:t>
      </w:r>
      <w:r w:rsidR="005A458F" w:rsidRPr="00731644">
        <w:rPr>
          <w:lang w:val="fr-CH"/>
        </w:rPr>
        <w:t xml:space="preserve">es autres droits </w:t>
      </w:r>
      <w:r w:rsidR="00620103" w:rsidRPr="00731644">
        <w:rPr>
          <w:lang w:val="fr-CH"/>
        </w:rPr>
        <w:t>inscrits dans</w:t>
      </w:r>
      <w:r w:rsidR="005A458F" w:rsidRPr="00731644">
        <w:rPr>
          <w:lang w:val="fr-CH"/>
        </w:rPr>
        <w:t xml:space="preserve"> la </w:t>
      </w:r>
      <w:r w:rsidR="00C776A4" w:rsidRPr="00731644">
        <w:rPr>
          <w:lang w:val="fr-CH"/>
        </w:rPr>
        <w:t>Constitution (</w:t>
      </w:r>
      <w:r w:rsidR="00F31DD5" w:rsidRPr="00731644">
        <w:rPr>
          <w:lang w:val="fr-CH"/>
        </w:rPr>
        <w:t>art. </w:t>
      </w:r>
      <w:r w:rsidR="00C776A4" w:rsidRPr="00731644">
        <w:rPr>
          <w:lang w:val="fr-CH"/>
        </w:rPr>
        <w:t>46).</w:t>
      </w:r>
    </w:p>
    <w:p w:rsidR="00C776A4" w:rsidRPr="00731644" w:rsidRDefault="00BF1535" w:rsidP="00D53B48">
      <w:pPr>
        <w:pStyle w:val="SingleTxtG"/>
        <w:rPr>
          <w:lang w:val="fr-CH"/>
        </w:rPr>
      </w:pPr>
      <w:r w:rsidRPr="00731644">
        <w:rPr>
          <w:lang w:val="fr-CH"/>
        </w:rPr>
        <w:t>154.</w:t>
      </w:r>
      <w:r w:rsidRPr="00731644">
        <w:rPr>
          <w:lang w:val="fr-CH"/>
        </w:rPr>
        <w:tab/>
      </w:r>
      <w:r w:rsidR="005A458F" w:rsidRPr="00731644">
        <w:rPr>
          <w:lang w:val="fr-CH"/>
        </w:rPr>
        <w:t>Lorsque l</w:t>
      </w:r>
      <w:r w:rsidR="00425386" w:rsidRPr="00731644">
        <w:rPr>
          <w:lang w:val="fr-CH"/>
        </w:rPr>
        <w:t>’</w:t>
      </w:r>
      <w:r w:rsidR="005A458F" w:rsidRPr="00731644">
        <w:rPr>
          <w:lang w:val="fr-CH"/>
        </w:rPr>
        <w:t>état de guerre ou l</w:t>
      </w:r>
      <w:r w:rsidR="00425386" w:rsidRPr="00731644">
        <w:rPr>
          <w:lang w:val="fr-CH"/>
        </w:rPr>
        <w:t>’</w:t>
      </w:r>
      <w:r w:rsidR="005A458F" w:rsidRPr="00731644">
        <w:rPr>
          <w:lang w:val="fr-CH"/>
        </w:rPr>
        <w:t>état d</w:t>
      </w:r>
      <w:r w:rsidR="00425386" w:rsidRPr="00731644">
        <w:rPr>
          <w:lang w:val="fr-CH"/>
        </w:rPr>
        <w:t>’</w:t>
      </w:r>
      <w:r w:rsidR="005A458F" w:rsidRPr="00731644">
        <w:rPr>
          <w:lang w:val="fr-CH"/>
        </w:rPr>
        <w:t>urgence sont proclamés, l</w:t>
      </w:r>
      <w:r w:rsidR="00425386" w:rsidRPr="00731644">
        <w:rPr>
          <w:lang w:val="fr-CH"/>
        </w:rPr>
        <w:t>’</w:t>
      </w:r>
      <w:r w:rsidR="005A458F" w:rsidRPr="00731644">
        <w:rPr>
          <w:lang w:val="fr-CH"/>
        </w:rPr>
        <w:t>exercice de certains droits de l</w:t>
      </w:r>
      <w:r w:rsidR="00425386" w:rsidRPr="00731644">
        <w:rPr>
          <w:lang w:val="fr-CH"/>
        </w:rPr>
        <w:t>’</w:t>
      </w:r>
      <w:r w:rsidR="005A458F" w:rsidRPr="00731644">
        <w:rPr>
          <w:lang w:val="fr-CH"/>
        </w:rPr>
        <w:t xml:space="preserve">homme et de certaines libertés peut être restreint, dans la mesure nécessaire. Cette </w:t>
      </w:r>
      <w:r w:rsidR="00D1660B" w:rsidRPr="00731644">
        <w:rPr>
          <w:lang w:val="fr-CH"/>
        </w:rPr>
        <w:t>limita</w:t>
      </w:r>
      <w:r w:rsidR="005A458F" w:rsidRPr="00731644">
        <w:rPr>
          <w:lang w:val="fr-CH"/>
        </w:rPr>
        <w:t>tion temporaire ne peut se fonder sur le sexe, la nationalité, la race, la religion, la langue, l</w:t>
      </w:r>
      <w:r w:rsidR="00425386" w:rsidRPr="00731644">
        <w:rPr>
          <w:lang w:val="fr-CH"/>
        </w:rPr>
        <w:t>’</w:t>
      </w:r>
      <w:r w:rsidR="005A458F" w:rsidRPr="00731644">
        <w:rPr>
          <w:lang w:val="fr-CH"/>
        </w:rPr>
        <w:t>origine sociale ou ethnique,</w:t>
      </w:r>
      <w:r w:rsidR="00F31DD5" w:rsidRPr="00731644">
        <w:rPr>
          <w:lang w:val="fr-CH"/>
        </w:rPr>
        <w:t xml:space="preserve"> </w:t>
      </w:r>
      <w:r w:rsidR="005A458F" w:rsidRPr="00731644">
        <w:rPr>
          <w:lang w:val="fr-CH"/>
        </w:rPr>
        <w:t xml:space="preserve">les convictions politiques ou autres, la situation patrimoniale, </w:t>
      </w:r>
      <w:r w:rsidR="00D1660B" w:rsidRPr="00731644">
        <w:rPr>
          <w:lang w:val="fr-CH"/>
        </w:rPr>
        <w:t>ni aucune</w:t>
      </w:r>
      <w:r w:rsidR="005A458F" w:rsidRPr="00731644">
        <w:rPr>
          <w:lang w:val="fr-CH"/>
        </w:rPr>
        <w:t xml:space="preserve"> autre caractéristique </w:t>
      </w:r>
      <w:r w:rsidR="00A66512" w:rsidRPr="00731644">
        <w:rPr>
          <w:lang w:val="fr-CH"/>
        </w:rPr>
        <w:t>personnelle</w:t>
      </w:r>
      <w:r w:rsidR="005A458F" w:rsidRPr="00731644">
        <w:rPr>
          <w:lang w:val="fr-CH"/>
        </w:rPr>
        <w:t>. La liberté de pensée, de conscience et de</w:t>
      </w:r>
      <w:r w:rsidR="00C776A4" w:rsidRPr="00731644">
        <w:rPr>
          <w:lang w:val="fr-CH"/>
        </w:rPr>
        <w:t xml:space="preserve"> religion </w:t>
      </w:r>
      <w:r w:rsidR="005A458F" w:rsidRPr="00731644">
        <w:rPr>
          <w:lang w:val="fr-CH"/>
        </w:rPr>
        <w:t>est un de</w:t>
      </w:r>
      <w:r w:rsidR="00D1660B" w:rsidRPr="00731644">
        <w:rPr>
          <w:lang w:val="fr-CH"/>
        </w:rPr>
        <w:t xml:space="preserve">s droits qui ne </w:t>
      </w:r>
      <w:r w:rsidR="005A458F" w:rsidRPr="00731644">
        <w:rPr>
          <w:lang w:val="fr-CH"/>
        </w:rPr>
        <w:t xml:space="preserve">peuvent être </w:t>
      </w:r>
      <w:r w:rsidR="00D1660B" w:rsidRPr="00731644">
        <w:rPr>
          <w:lang w:val="fr-CH"/>
        </w:rPr>
        <w:t>restreints</w:t>
      </w:r>
      <w:r w:rsidR="005A458F" w:rsidRPr="00731644">
        <w:rPr>
          <w:lang w:val="fr-CH"/>
        </w:rPr>
        <w:t xml:space="preserve"> en pareil</w:t>
      </w:r>
      <w:r w:rsidR="00D1660B" w:rsidRPr="00731644">
        <w:rPr>
          <w:lang w:val="fr-CH"/>
        </w:rPr>
        <w:t xml:space="preserve"> cas </w:t>
      </w:r>
      <w:r w:rsidR="00C776A4" w:rsidRPr="00731644">
        <w:rPr>
          <w:lang w:val="fr-CH"/>
        </w:rPr>
        <w:t>(</w:t>
      </w:r>
      <w:r w:rsidR="00F31DD5" w:rsidRPr="00731644">
        <w:rPr>
          <w:lang w:val="fr-CH"/>
        </w:rPr>
        <w:t>art. </w:t>
      </w:r>
      <w:r w:rsidR="00C776A4" w:rsidRPr="00731644">
        <w:rPr>
          <w:lang w:val="fr-CH"/>
        </w:rPr>
        <w:t>25).</w:t>
      </w:r>
    </w:p>
    <w:p w:rsidR="001774A1" w:rsidRPr="00731644" w:rsidRDefault="00BF1535" w:rsidP="00C776A4">
      <w:pPr>
        <w:pStyle w:val="SingleTxtG"/>
        <w:rPr>
          <w:lang w:val="fr-CH"/>
        </w:rPr>
      </w:pPr>
      <w:r w:rsidRPr="00731644">
        <w:rPr>
          <w:lang w:val="fr-CH"/>
        </w:rPr>
        <w:t>155.</w:t>
      </w:r>
      <w:r w:rsidRPr="00731644">
        <w:rPr>
          <w:lang w:val="fr-CH"/>
        </w:rPr>
        <w:tab/>
      </w:r>
      <w:r w:rsidR="001774A1" w:rsidRPr="00731644">
        <w:rPr>
          <w:lang w:val="fr-CH"/>
        </w:rPr>
        <w:t>L</w:t>
      </w:r>
      <w:r w:rsidR="00425386" w:rsidRPr="00731644">
        <w:rPr>
          <w:lang w:val="fr-CH"/>
        </w:rPr>
        <w:t>’</w:t>
      </w:r>
      <w:r w:rsidR="001753EC">
        <w:rPr>
          <w:lang w:val="fr-CH"/>
        </w:rPr>
        <w:t>article </w:t>
      </w:r>
      <w:r w:rsidR="001774A1" w:rsidRPr="00731644">
        <w:rPr>
          <w:lang w:val="fr-CH"/>
        </w:rPr>
        <w:t>48 de la</w:t>
      </w:r>
      <w:r w:rsidR="00F31DD5" w:rsidRPr="00731644">
        <w:rPr>
          <w:lang w:val="fr-CH"/>
        </w:rPr>
        <w:t xml:space="preserve"> </w:t>
      </w:r>
      <w:r w:rsidR="001774A1" w:rsidRPr="00731644">
        <w:rPr>
          <w:lang w:val="fr-CH"/>
        </w:rPr>
        <w:t>Constitution consacre l</w:t>
      </w:r>
      <w:r w:rsidR="005A458F" w:rsidRPr="00731644">
        <w:rPr>
          <w:lang w:val="fr-CH"/>
        </w:rPr>
        <w:t>e droit à l</w:t>
      </w:r>
      <w:r w:rsidR="00425386" w:rsidRPr="00731644">
        <w:rPr>
          <w:lang w:val="fr-CH"/>
        </w:rPr>
        <w:t>’</w:t>
      </w:r>
      <w:r w:rsidR="005A458F" w:rsidRPr="00731644">
        <w:rPr>
          <w:lang w:val="fr-CH"/>
        </w:rPr>
        <w:t xml:space="preserve">objection de conscience </w:t>
      </w:r>
      <w:r w:rsidR="001774A1" w:rsidRPr="00731644">
        <w:rPr>
          <w:lang w:val="fr-CH"/>
        </w:rPr>
        <w:t xml:space="preserve">et garantit que </w:t>
      </w:r>
      <w:r w:rsidR="005A458F" w:rsidRPr="00731644">
        <w:rPr>
          <w:lang w:val="fr-CH"/>
        </w:rPr>
        <w:t>nul n</w:t>
      </w:r>
      <w:r w:rsidR="00425386" w:rsidRPr="00731644">
        <w:rPr>
          <w:lang w:val="fr-CH"/>
        </w:rPr>
        <w:t>’</w:t>
      </w:r>
      <w:r w:rsidR="005A458F" w:rsidRPr="00731644">
        <w:rPr>
          <w:lang w:val="fr-CH"/>
        </w:rPr>
        <w:t>est obligé de remplir des obligations militaires ou autres qui s</w:t>
      </w:r>
      <w:r w:rsidR="001774A1" w:rsidRPr="00731644">
        <w:rPr>
          <w:lang w:val="fr-CH"/>
        </w:rPr>
        <w:t>era</w:t>
      </w:r>
      <w:r w:rsidR="005A458F" w:rsidRPr="00731644">
        <w:rPr>
          <w:lang w:val="fr-CH"/>
        </w:rPr>
        <w:t xml:space="preserve">ient contraires à sa religion ou à ses convictions et </w:t>
      </w:r>
      <w:r w:rsidR="00D1660B" w:rsidRPr="00731644">
        <w:rPr>
          <w:lang w:val="fr-CH"/>
        </w:rPr>
        <w:t>exig</w:t>
      </w:r>
      <w:r w:rsidR="001774A1" w:rsidRPr="00731644">
        <w:rPr>
          <w:lang w:val="fr-CH"/>
        </w:rPr>
        <w:t>eraient de faire usage d</w:t>
      </w:r>
      <w:r w:rsidR="00425386" w:rsidRPr="00731644">
        <w:rPr>
          <w:lang w:val="fr-CH"/>
        </w:rPr>
        <w:t>’</w:t>
      </w:r>
      <w:r w:rsidR="001774A1" w:rsidRPr="00731644">
        <w:rPr>
          <w:lang w:val="fr-CH"/>
        </w:rPr>
        <w:t>armes.</w:t>
      </w:r>
    </w:p>
    <w:p w:rsidR="00C776A4" w:rsidRPr="00731644" w:rsidRDefault="00BF1535" w:rsidP="00C776A4">
      <w:pPr>
        <w:pStyle w:val="SingleTxtG"/>
        <w:rPr>
          <w:lang w:val="fr-CH"/>
        </w:rPr>
      </w:pPr>
      <w:r w:rsidRPr="00731644">
        <w:rPr>
          <w:lang w:val="fr-CH"/>
        </w:rPr>
        <w:t>156.</w:t>
      </w:r>
      <w:r w:rsidRPr="00731644">
        <w:rPr>
          <w:lang w:val="fr-CH"/>
        </w:rPr>
        <w:tab/>
      </w:r>
      <w:r w:rsidR="001774A1" w:rsidRPr="00731644">
        <w:rPr>
          <w:lang w:val="fr-CH"/>
        </w:rPr>
        <w:t>L</w:t>
      </w:r>
      <w:r w:rsidR="00425386" w:rsidRPr="00731644">
        <w:rPr>
          <w:lang w:val="fr-CH"/>
        </w:rPr>
        <w:t>’</w:t>
      </w:r>
      <w:r w:rsidR="001753EC">
        <w:rPr>
          <w:lang w:val="fr-CH"/>
        </w:rPr>
        <w:t>article </w:t>
      </w:r>
      <w:r w:rsidR="00C776A4" w:rsidRPr="00731644">
        <w:rPr>
          <w:lang w:val="fr-CH"/>
        </w:rPr>
        <w:t xml:space="preserve">177 </w:t>
      </w:r>
      <w:r w:rsidR="001774A1" w:rsidRPr="00731644">
        <w:rPr>
          <w:lang w:val="fr-CH"/>
        </w:rPr>
        <w:t xml:space="preserve">de la </w:t>
      </w:r>
      <w:r w:rsidR="001774A1" w:rsidRPr="00DA0274">
        <w:rPr>
          <w:iCs/>
          <w:lang w:val="fr-CH"/>
        </w:rPr>
        <w:t>loi relative à l</w:t>
      </w:r>
      <w:r w:rsidR="00425386" w:rsidRPr="00DA0274">
        <w:rPr>
          <w:iCs/>
          <w:lang w:val="fr-CH"/>
        </w:rPr>
        <w:t>’</w:t>
      </w:r>
      <w:r w:rsidR="001774A1" w:rsidRPr="00DA0274">
        <w:rPr>
          <w:iCs/>
          <w:lang w:val="fr-CH"/>
        </w:rPr>
        <w:t>armée du Monténégro</w:t>
      </w:r>
      <w:r w:rsidR="001774A1" w:rsidRPr="00731644">
        <w:rPr>
          <w:lang w:val="fr-CH"/>
        </w:rPr>
        <w:t xml:space="preserve"> </w:t>
      </w:r>
      <w:r w:rsidR="00D1660B" w:rsidRPr="00731644">
        <w:rPr>
          <w:lang w:val="fr-CH"/>
        </w:rPr>
        <w:t xml:space="preserve">reconnaît </w:t>
      </w:r>
      <w:r w:rsidR="001774A1" w:rsidRPr="00731644">
        <w:rPr>
          <w:lang w:val="fr-CH"/>
        </w:rPr>
        <w:t>le droit à l</w:t>
      </w:r>
      <w:r w:rsidR="00425386" w:rsidRPr="00731644">
        <w:rPr>
          <w:lang w:val="fr-CH"/>
        </w:rPr>
        <w:t>’</w:t>
      </w:r>
      <w:r w:rsidR="001774A1" w:rsidRPr="00731644">
        <w:rPr>
          <w:lang w:val="fr-CH"/>
        </w:rPr>
        <w:t>objection de conscience de la personne qui, en</w:t>
      </w:r>
      <w:r w:rsidR="00F31DD5" w:rsidRPr="00731644">
        <w:rPr>
          <w:lang w:val="fr-CH"/>
        </w:rPr>
        <w:t xml:space="preserve"> </w:t>
      </w:r>
      <w:r w:rsidR="001774A1" w:rsidRPr="00731644">
        <w:rPr>
          <w:lang w:val="fr-CH"/>
        </w:rPr>
        <w:t xml:space="preserve">raison de sa religion ou de ses convictions, ne souhaite pas </w:t>
      </w:r>
      <w:r w:rsidR="00B7440A" w:rsidRPr="00731644">
        <w:rPr>
          <w:lang w:val="fr-CH"/>
        </w:rPr>
        <w:t>remplir des obligations militaires comportant l</w:t>
      </w:r>
      <w:r w:rsidR="00425386" w:rsidRPr="00731644">
        <w:rPr>
          <w:lang w:val="fr-CH"/>
        </w:rPr>
        <w:t>’</w:t>
      </w:r>
      <w:r w:rsidR="00B7440A" w:rsidRPr="00731644">
        <w:rPr>
          <w:lang w:val="fr-CH"/>
        </w:rPr>
        <w:t>usage d</w:t>
      </w:r>
      <w:r w:rsidR="00425386" w:rsidRPr="00731644">
        <w:rPr>
          <w:lang w:val="fr-CH"/>
        </w:rPr>
        <w:t>’</w:t>
      </w:r>
      <w:r w:rsidR="00B7440A" w:rsidRPr="00731644">
        <w:rPr>
          <w:lang w:val="fr-CH"/>
        </w:rPr>
        <w:t>armes</w:t>
      </w:r>
      <w:r w:rsidR="00C776A4" w:rsidRPr="00731644">
        <w:rPr>
          <w:lang w:val="fr-CH"/>
        </w:rPr>
        <w:t xml:space="preserve">. </w:t>
      </w:r>
      <w:r w:rsidR="00B7440A" w:rsidRPr="00731644">
        <w:rPr>
          <w:lang w:val="fr-CH"/>
        </w:rPr>
        <w:t>Tous les citoyens monténégrins sont assujettis au service militaire en cas d</w:t>
      </w:r>
      <w:r w:rsidR="00425386" w:rsidRPr="00731644">
        <w:rPr>
          <w:lang w:val="fr-CH"/>
        </w:rPr>
        <w:t>’</w:t>
      </w:r>
      <w:r w:rsidR="00B7440A" w:rsidRPr="00731644">
        <w:rPr>
          <w:lang w:val="fr-CH"/>
        </w:rPr>
        <w:t>état d</w:t>
      </w:r>
      <w:r w:rsidR="00425386" w:rsidRPr="00731644">
        <w:rPr>
          <w:lang w:val="fr-CH"/>
        </w:rPr>
        <w:t>’</w:t>
      </w:r>
      <w:r w:rsidR="00B7440A" w:rsidRPr="00731644">
        <w:rPr>
          <w:lang w:val="fr-CH"/>
        </w:rPr>
        <w:t xml:space="preserve">urgence ou </w:t>
      </w:r>
      <w:r w:rsidR="00D1660B" w:rsidRPr="00731644">
        <w:rPr>
          <w:lang w:val="fr-CH"/>
        </w:rPr>
        <w:t xml:space="preserve">en temps </w:t>
      </w:r>
      <w:r w:rsidR="00B7440A" w:rsidRPr="00731644">
        <w:rPr>
          <w:lang w:val="fr-CH"/>
        </w:rPr>
        <w:t>de guerre. En temps de paix, les conscrits peuvent être appelés à se former volontairement pour acquérir, pendant une période qui ne peut excéder 15</w:t>
      </w:r>
      <w:r w:rsidR="00731644" w:rsidRPr="00731644">
        <w:rPr>
          <w:lang w:val="fr-CH"/>
        </w:rPr>
        <w:t> jours</w:t>
      </w:r>
      <w:r w:rsidR="00B7440A" w:rsidRPr="00731644">
        <w:rPr>
          <w:lang w:val="fr-CH"/>
        </w:rPr>
        <w:t xml:space="preserve"> de l</w:t>
      </w:r>
      <w:r w:rsidR="00425386" w:rsidRPr="00731644">
        <w:rPr>
          <w:lang w:val="fr-CH"/>
        </w:rPr>
        <w:t>’</w:t>
      </w:r>
      <w:r w:rsidR="00B7440A" w:rsidRPr="00731644">
        <w:rPr>
          <w:lang w:val="fr-CH"/>
        </w:rPr>
        <w:t>année civile</w:t>
      </w:r>
      <w:r w:rsidR="0052099F" w:rsidRPr="00731644">
        <w:rPr>
          <w:lang w:val="fr-CH"/>
        </w:rPr>
        <w:t xml:space="preserve">, </w:t>
      </w:r>
      <w:r w:rsidR="00B7440A" w:rsidRPr="00731644">
        <w:rPr>
          <w:lang w:val="fr-CH"/>
        </w:rPr>
        <w:t>les connaissances nécessaires à</w:t>
      </w:r>
      <w:r w:rsidR="00F31DD5" w:rsidRPr="00731644">
        <w:rPr>
          <w:lang w:val="fr-CH"/>
        </w:rPr>
        <w:t xml:space="preserve"> </w:t>
      </w:r>
      <w:r w:rsidR="00B7440A" w:rsidRPr="00731644">
        <w:rPr>
          <w:lang w:val="fr-CH"/>
        </w:rPr>
        <w:t>l</w:t>
      </w:r>
      <w:r w:rsidR="00425386" w:rsidRPr="00731644">
        <w:rPr>
          <w:lang w:val="fr-CH"/>
        </w:rPr>
        <w:t>’</w:t>
      </w:r>
      <w:r w:rsidR="00B7440A" w:rsidRPr="00731644">
        <w:rPr>
          <w:lang w:val="fr-CH"/>
        </w:rPr>
        <w:t>exécution des tâches requises en cas de guerre. Le Ministère fait connaître les formations proposées par voie d</w:t>
      </w:r>
      <w:r w:rsidR="00425386" w:rsidRPr="00731644">
        <w:rPr>
          <w:lang w:val="fr-CH"/>
        </w:rPr>
        <w:t>’</w:t>
      </w:r>
      <w:r w:rsidR="00B7440A" w:rsidRPr="00731644">
        <w:rPr>
          <w:lang w:val="fr-CH"/>
        </w:rPr>
        <w:t>annonce</w:t>
      </w:r>
      <w:r w:rsidR="0052099F" w:rsidRPr="00731644">
        <w:rPr>
          <w:lang w:val="fr-CH"/>
        </w:rPr>
        <w:t>s</w:t>
      </w:r>
      <w:r w:rsidR="00B7440A" w:rsidRPr="00731644">
        <w:rPr>
          <w:lang w:val="fr-CH"/>
        </w:rPr>
        <w:t xml:space="preserve"> et décide des modes d</w:t>
      </w:r>
      <w:r w:rsidR="00425386" w:rsidRPr="00731644">
        <w:rPr>
          <w:lang w:val="fr-CH"/>
        </w:rPr>
        <w:t>’</w:t>
      </w:r>
      <w:r w:rsidR="00B7440A" w:rsidRPr="00731644">
        <w:rPr>
          <w:lang w:val="fr-CH"/>
        </w:rPr>
        <w:t xml:space="preserve">instruction. Ainsi, les objecteurs de conscience sont autorisés à faire leur </w:t>
      </w:r>
      <w:r w:rsidR="00A66512" w:rsidRPr="00731644">
        <w:rPr>
          <w:lang w:val="fr-CH"/>
        </w:rPr>
        <w:t>service</w:t>
      </w:r>
      <w:r w:rsidR="00B7440A" w:rsidRPr="00731644">
        <w:rPr>
          <w:lang w:val="fr-CH"/>
        </w:rPr>
        <w:t xml:space="preserve"> militaire dans des conditions qui n</w:t>
      </w:r>
      <w:r w:rsidR="00425386" w:rsidRPr="00731644">
        <w:rPr>
          <w:lang w:val="fr-CH"/>
        </w:rPr>
        <w:t>’</w:t>
      </w:r>
      <w:r w:rsidR="00B7440A" w:rsidRPr="00731644">
        <w:rPr>
          <w:lang w:val="fr-CH"/>
        </w:rPr>
        <w:t>exigent pas l</w:t>
      </w:r>
      <w:r w:rsidR="00425386" w:rsidRPr="00731644">
        <w:rPr>
          <w:lang w:val="fr-CH"/>
        </w:rPr>
        <w:t>’</w:t>
      </w:r>
      <w:r w:rsidR="00B7440A" w:rsidRPr="00731644">
        <w:rPr>
          <w:lang w:val="fr-CH"/>
        </w:rPr>
        <w:t>usage d</w:t>
      </w:r>
      <w:r w:rsidR="00425386" w:rsidRPr="00731644">
        <w:rPr>
          <w:lang w:val="fr-CH"/>
        </w:rPr>
        <w:t>’</w:t>
      </w:r>
      <w:r w:rsidR="00B7440A" w:rsidRPr="00731644">
        <w:rPr>
          <w:lang w:val="fr-CH"/>
        </w:rPr>
        <w:t xml:space="preserve">armes. </w:t>
      </w:r>
    </w:p>
    <w:p w:rsidR="00C776A4" w:rsidRPr="00731644" w:rsidRDefault="00B7440A" w:rsidP="00BF1535">
      <w:pPr>
        <w:pStyle w:val="H23G"/>
        <w:rPr>
          <w:lang w:val="fr-CH"/>
        </w:rPr>
      </w:pPr>
      <w:r w:rsidRPr="00731644">
        <w:rPr>
          <w:lang w:val="fr-CH"/>
        </w:rPr>
        <w:tab/>
      </w:r>
      <w:r w:rsidRPr="00731644">
        <w:rPr>
          <w:lang w:val="fr-CH"/>
        </w:rPr>
        <w:tab/>
        <w:t>Liberté d</w:t>
      </w:r>
      <w:r w:rsidR="00425386" w:rsidRPr="00731644">
        <w:rPr>
          <w:lang w:val="fr-CH"/>
        </w:rPr>
        <w:t>’</w:t>
      </w:r>
      <w:r w:rsidR="00C776A4" w:rsidRPr="00731644">
        <w:rPr>
          <w:lang w:val="fr-CH"/>
        </w:rPr>
        <w:t xml:space="preserve">expression </w:t>
      </w:r>
      <w:r w:rsidRPr="00731644">
        <w:rPr>
          <w:lang w:val="fr-CH"/>
        </w:rPr>
        <w:t>et droit à l</w:t>
      </w:r>
      <w:r w:rsidR="00425386" w:rsidRPr="00731644">
        <w:rPr>
          <w:lang w:val="fr-CH"/>
        </w:rPr>
        <w:t>’</w:t>
      </w:r>
      <w:r w:rsidR="00C776A4" w:rsidRPr="00731644">
        <w:rPr>
          <w:lang w:val="fr-CH"/>
        </w:rPr>
        <w:t>information</w:t>
      </w:r>
    </w:p>
    <w:p w:rsidR="00C776A4" w:rsidRPr="00731644" w:rsidRDefault="00BF1535" w:rsidP="00D53B48">
      <w:pPr>
        <w:pStyle w:val="SingleTxtG"/>
        <w:rPr>
          <w:lang w:val="fr-CH"/>
        </w:rPr>
      </w:pPr>
      <w:r w:rsidRPr="00731644">
        <w:rPr>
          <w:lang w:val="fr-CH"/>
        </w:rPr>
        <w:t>157.</w:t>
      </w:r>
      <w:r w:rsidRPr="00731644">
        <w:rPr>
          <w:lang w:val="fr-CH"/>
        </w:rPr>
        <w:tab/>
      </w:r>
      <w:r w:rsidR="00B7440A" w:rsidRPr="00731644">
        <w:rPr>
          <w:lang w:val="fr-CH"/>
        </w:rPr>
        <w:t>L</w:t>
      </w:r>
      <w:r w:rsidR="00425386" w:rsidRPr="00731644">
        <w:rPr>
          <w:lang w:val="fr-CH"/>
        </w:rPr>
        <w:t>’</w:t>
      </w:r>
      <w:r w:rsidR="00B7440A" w:rsidRPr="00731644">
        <w:rPr>
          <w:lang w:val="fr-CH"/>
        </w:rPr>
        <w:t>exercice des droits en matière d</w:t>
      </w:r>
      <w:r w:rsidR="00425386" w:rsidRPr="00731644">
        <w:rPr>
          <w:lang w:val="fr-CH"/>
        </w:rPr>
        <w:t>’</w:t>
      </w:r>
      <w:r w:rsidR="00C776A4" w:rsidRPr="00731644">
        <w:rPr>
          <w:lang w:val="fr-CH"/>
        </w:rPr>
        <w:t xml:space="preserve">information </w:t>
      </w:r>
      <w:r w:rsidR="00B7440A" w:rsidRPr="00731644">
        <w:rPr>
          <w:lang w:val="fr-CH"/>
        </w:rPr>
        <w:t xml:space="preserve">est garanti par la </w:t>
      </w:r>
      <w:r w:rsidR="00C776A4" w:rsidRPr="00731644">
        <w:rPr>
          <w:lang w:val="fr-CH"/>
        </w:rPr>
        <w:t xml:space="preserve">Constitution. </w:t>
      </w:r>
      <w:r w:rsidR="0026759B" w:rsidRPr="00731644">
        <w:rPr>
          <w:lang w:val="fr-CH"/>
        </w:rPr>
        <w:t xml:space="preserve">Chacun </w:t>
      </w:r>
      <w:r w:rsidR="006B5B26" w:rsidRPr="00731644">
        <w:rPr>
          <w:lang w:val="fr-CH"/>
        </w:rPr>
        <w:t>jouit de</w:t>
      </w:r>
      <w:r w:rsidR="0026759B" w:rsidRPr="00731644">
        <w:rPr>
          <w:lang w:val="fr-CH"/>
        </w:rPr>
        <w:t xml:space="preserve"> la liberté d</w:t>
      </w:r>
      <w:r w:rsidR="00425386" w:rsidRPr="00731644">
        <w:rPr>
          <w:lang w:val="fr-CH"/>
        </w:rPr>
        <w:t>’</w:t>
      </w:r>
      <w:r w:rsidR="0026759B" w:rsidRPr="00731644">
        <w:rPr>
          <w:lang w:val="fr-CH"/>
        </w:rPr>
        <w:t>expression, oralement, par écrit, par des supports visuels ou par tout autre moyen. L</w:t>
      </w:r>
      <w:r w:rsidR="006B5B26" w:rsidRPr="00731644">
        <w:rPr>
          <w:lang w:val="fr-CH"/>
        </w:rPr>
        <w:t>a</w:t>
      </w:r>
      <w:r w:rsidR="0026759B" w:rsidRPr="00731644">
        <w:rPr>
          <w:lang w:val="fr-CH"/>
        </w:rPr>
        <w:t xml:space="preserve"> liberté d</w:t>
      </w:r>
      <w:r w:rsidR="00425386" w:rsidRPr="00731644">
        <w:rPr>
          <w:lang w:val="fr-CH"/>
        </w:rPr>
        <w:t>’</w:t>
      </w:r>
      <w:r w:rsidR="0026759B" w:rsidRPr="00731644">
        <w:rPr>
          <w:lang w:val="fr-CH"/>
        </w:rPr>
        <w:t>expression ne peut être limité</w:t>
      </w:r>
      <w:r w:rsidR="006B5B26" w:rsidRPr="00731644">
        <w:rPr>
          <w:lang w:val="fr-CH"/>
        </w:rPr>
        <w:t>e</w:t>
      </w:r>
      <w:r w:rsidR="0026759B" w:rsidRPr="00731644">
        <w:rPr>
          <w:lang w:val="fr-CH"/>
        </w:rPr>
        <w:t xml:space="preserve"> que par le droit </w:t>
      </w:r>
      <w:r w:rsidR="006B5B26" w:rsidRPr="00731644">
        <w:rPr>
          <w:lang w:val="fr-CH"/>
        </w:rPr>
        <w:t>d</w:t>
      </w:r>
      <w:r w:rsidR="00425386" w:rsidRPr="00731644">
        <w:rPr>
          <w:lang w:val="fr-CH"/>
        </w:rPr>
        <w:t>’</w:t>
      </w:r>
      <w:r w:rsidR="006B5B26" w:rsidRPr="00731644">
        <w:rPr>
          <w:lang w:val="fr-CH"/>
        </w:rPr>
        <w:t>autrui</w:t>
      </w:r>
      <w:r w:rsidR="0026759B" w:rsidRPr="00731644">
        <w:rPr>
          <w:lang w:val="fr-CH"/>
        </w:rPr>
        <w:t xml:space="preserve"> à la dignité, à la réputation et à l</w:t>
      </w:r>
      <w:r w:rsidR="00425386" w:rsidRPr="00731644">
        <w:rPr>
          <w:lang w:val="fr-CH"/>
        </w:rPr>
        <w:t>’</w:t>
      </w:r>
      <w:r w:rsidR="0026759B" w:rsidRPr="00731644">
        <w:rPr>
          <w:lang w:val="fr-CH"/>
        </w:rPr>
        <w:t xml:space="preserve">honneur, </w:t>
      </w:r>
      <w:r w:rsidR="006B5B26" w:rsidRPr="00731644">
        <w:rPr>
          <w:lang w:val="fr-CH"/>
        </w:rPr>
        <w:t>ou</w:t>
      </w:r>
      <w:r w:rsidR="0026759B" w:rsidRPr="00731644">
        <w:rPr>
          <w:lang w:val="fr-CH"/>
        </w:rPr>
        <w:t xml:space="preserve"> s</w:t>
      </w:r>
      <w:r w:rsidR="006B5B26" w:rsidRPr="00731644">
        <w:rPr>
          <w:lang w:val="fr-CH"/>
        </w:rPr>
        <w:t>i elle</w:t>
      </w:r>
      <w:r w:rsidR="0026759B" w:rsidRPr="00731644">
        <w:rPr>
          <w:lang w:val="fr-CH"/>
        </w:rPr>
        <w:t xml:space="preserve"> porte atteinte à la morale publique ou à la sécurité du pays </w:t>
      </w:r>
      <w:r w:rsidR="00C776A4" w:rsidRPr="00731644">
        <w:rPr>
          <w:lang w:val="fr-CH"/>
        </w:rPr>
        <w:t>(</w:t>
      </w:r>
      <w:r w:rsidR="00F31DD5" w:rsidRPr="00731644">
        <w:rPr>
          <w:lang w:val="fr-CH"/>
        </w:rPr>
        <w:t>art. </w:t>
      </w:r>
      <w:r w:rsidR="00C776A4" w:rsidRPr="00731644">
        <w:rPr>
          <w:lang w:val="fr-CH"/>
        </w:rPr>
        <w:t xml:space="preserve">47). </w:t>
      </w:r>
      <w:r w:rsidR="0026759B" w:rsidRPr="00731644">
        <w:rPr>
          <w:lang w:val="fr-CH"/>
        </w:rPr>
        <w:t>La Constitution garantit la liberté de la presse et des autres moyens d</w:t>
      </w:r>
      <w:r w:rsidR="00425386" w:rsidRPr="00731644">
        <w:rPr>
          <w:lang w:val="fr-CH"/>
        </w:rPr>
        <w:t>’</w:t>
      </w:r>
      <w:r w:rsidR="0026759B" w:rsidRPr="00731644">
        <w:rPr>
          <w:lang w:val="fr-CH"/>
        </w:rPr>
        <w:t>information, notamment le droit de créer des journaux et d</w:t>
      </w:r>
      <w:r w:rsidR="00425386" w:rsidRPr="00731644">
        <w:rPr>
          <w:lang w:val="fr-CH"/>
        </w:rPr>
        <w:t>’</w:t>
      </w:r>
      <w:r w:rsidR="0026759B" w:rsidRPr="00731644">
        <w:rPr>
          <w:lang w:val="fr-CH"/>
        </w:rPr>
        <w:t xml:space="preserve">autres </w:t>
      </w:r>
      <w:r w:rsidR="006B5B26" w:rsidRPr="00731644">
        <w:rPr>
          <w:lang w:val="fr-CH"/>
        </w:rPr>
        <w:t>médias</w:t>
      </w:r>
      <w:r w:rsidR="0026759B" w:rsidRPr="00731644">
        <w:rPr>
          <w:lang w:val="fr-CH"/>
        </w:rPr>
        <w:t xml:space="preserve"> sans approbation préalable, par simple enregistrement auprès de l</w:t>
      </w:r>
      <w:r w:rsidR="00425386" w:rsidRPr="00731644">
        <w:rPr>
          <w:lang w:val="fr-CH"/>
        </w:rPr>
        <w:t>’</w:t>
      </w:r>
      <w:r w:rsidR="0026759B" w:rsidRPr="00731644">
        <w:rPr>
          <w:lang w:val="fr-CH"/>
        </w:rPr>
        <w:t>autorité compétente. Elle sanctionne également le droit de réponse et le droit de rectifier les informations fausses, incomplètes ou inexactes portant atteinte aux droits et aux intérêts d</w:t>
      </w:r>
      <w:r w:rsidR="00425386" w:rsidRPr="00731644">
        <w:rPr>
          <w:lang w:val="fr-CH"/>
        </w:rPr>
        <w:t>’</w:t>
      </w:r>
      <w:r w:rsidR="0026759B" w:rsidRPr="00731644">
        <w:rPr>
          <w:lang w:val="fr-CH"/>
        </w:rPr>
        <w:t>autrui, ainsi que celui d</w:t>
      </w:r>
      <w:r w:rsidR="00425386" w:rsidRPr="00731644">
        <w:rPr>
          <w:lang w:val="fr-CH"/>
        </w:rPr>
        <w:t>’</w:t>
      </w:r>
      <w:r w:rsidR="0026759B" w:rsidRPr="00731644">
        <w:rPr>
          <w:lang w:val="fr-CH"/>
        </w:rPr>
        <w:t>obtenir réparation du préjudice causé par la publication d</w:t>
      </w:r>
      <w:r w:rsidR="00425386" w:rsidRPr="00731644">
        <w:rPr>
          <w:lang w:val="fr-CH"/>
        </w:rPr>
        <w:t>’</w:t>
      </w:r>
      <w:r w:rsidR="0026759B" w:rsidRPr="00731644">
        <w:rPr>
          <w:lang w:val="fr-CH"/>
        </w:rPr>
        <w:t xml:space="preserve">informations ou de données erronées </w:t>
      </w:r>
      <w:r w:rsidR="00C776A4" w:rsidRPr="00731644">
        <w:rPr>
          <w:lang w:val="fr-CH"/>
        </w:rPr>
        <w:t>(</w:t>
      </w:r>
      <w:r w:rsidR="00F31DD5" w:rsidRPr="00731644">
        <w:rPr>
          <w:lang w:val="fr-CH"/>
        </w:rPr>
        <w:t>art. </w:t>
      </w:r>
      <w:r w:rsidR="00C776A4" w:rsidRPr="00731644">
        <w:rPr>
          <w:lang w:val="fr-CH"/>
        </w:rPr>
        <w:t>49).</w:t>
      </w:r>
      <w:r w:rsidR="00A752A6" w:rsidRPr="00731644">
        <w:rPr>
          <w:lang w:val="fr-CH"/>
        </w:rPr>
        <w:t xml:space="preserve"> Il n</w:t>
      </w:r>
      <w:r w:rsidR="00425386" w:rsidRPr="00731644">
        <w:rPr>
          <w:lang w:val="fr-CH"/>
        </w:rPr>
        <w:t>’</w:t>
      </w:r>
      <w:r w:rsidR="00A752A6" w:rsidRPr="00731644">
        <w:rPr>
          <w:lang w:val="fr-CH"/>
        </w:rPr>
        <w:t>y a pas de censure au Monténégro.</w:t>
      </w:r>
      <w:r w:rsidR="00C776A4" w:rsidRPr="00731644">
        <w:rPr>
          <w:lang w:val="fr-CH"/>
        </w:rPr>
        <w:t xml:space="preserve"> </w:t>
      </w:r>
      <w:r w:rsidR="00A752A6" w:rsidRPr="00731644">
        <w:rPr>
          <w:lang w:val="fr-CH"/>
        </w:rPr>
        <w:t>La Constitution</w:t>
      </w:r>
      <w:r w:rsidR="00F31DD5" w:rsidRPr="00731644">
        <w:rPr>
          <w:lang w:val="fr-CH"/>
        </w:rPr>
        <w:t xml:space="preserve"> </w:t>
      </w:r>
      <w:r w:rsidR="00A752A6" w:rsidRPr="00731644">
        <w:rPr>
          <w:lang w:val="fr-CH"/>
        </w:rPr>
        <w:t>dispose que le tribunal compétent ne peut empêcher la diffusion d</w:t>
      </w:r>
      <w:r w:rsidR="00425386" w:rsidRPr="00731644">
        <w:rPr>
          <w:lang w:val="fr-CH"/>
        </w:rPr>
        <w:t>’</w:t>
      </w:r>
      <w:r w:rsidR="00A752A6" w:rsidRPr="00731644">
        <w:rPr>
          <w:lang w:val="fr-CH"/>
        </w:rPr>
        <w:t>informations ou d</w:t>
      </w:r>
      <w:r w:rsidR="00425386" w:rsidRPr="00731644">
        <w:rPr>
          <w:lang w:val="fr-CH"/>
        </w:rPr>
        <w:t>’</w:t>
      </w:r>
      <w:r w:rsidR="00A752A6" w:rsidRPr="00731644">
        <w:rPr>
          <w:lang w:val="fr-CH"/>
        </w:rPr>
        <w:t>idées par les médias que pour empêcher l</w:t>
      </w:r>
      <w:r w:rsidR="00425386" w:rsidRPr="00731644">
        <w:rPr>
          <w:lang w:val="fr-CH"/>
        </w:rPr>
        <w:t>’</w:t>
      </w:r>
      <w:r w:rsidR="00A752A6" w:rsidRPr="00731644">
        <w:rPr>
          <w:lang w:val="fr-CH"/>
        </w:rPr>
        <w:t>incitation au renversement par la force de l</w:t>
      </w:r>
      <w:r w:rsidR="00425386" w:rsidRPr="00731644">
        <w:rPr>
          <w:lang w:val="fr-CH"/>
        </w:rPr>
        <w:t>’</w:t>
      </w:r>
      <w:r w:rsidR="00A752A6" w:rsidRPr="00731644">
        <w:rPr>
          <w:lang w:val="fr-CH"/>
        </w:rPr>
        <w:t>ordre constitutionnel ou protéger l</w:t>
      </w:r>
      <w:r w:rsidR="00425386" w:rsidRPr="00731644">
        <w:rPr>
          <w:lang w:val="fr-CH"/>
        </w:rPr>
        <w:t>’</w:t>
      </w:r>
      <w:r w:rsidR="00A752A6" w:rsidRPr="00731644">
        <w:rPr>
          <w:lang w:val="fr-CH"/>
        </w:rPr>
        <w:t>intégrité territoriale du Monténégro</w:t>
      </w:r>
      <w:r w:rsidR="00F31DD5" w:rsidRPr="00731644">
        <w:rPr>
          <w:lang w:val="fr-CH"/>
        </w:rPr>
        <w:t>;</w:t>
      </w:r>
      <w:r w:rsidR="00A752A6" w:rsidRPr="00731644">
        <w:rPr>
          <w:lang w:val="fr-CH"/>
        </w:rPr>
        <w:t xml:space="preserve"> empêcher l</w:t>
      </w:r>
      <w:r w:rsidR="00425386" w:rsidRPr="00731644">
        <w:rPr>
          <w:lang w:val="fr-CH"/>
        </w:rPr>
        <w:t>’</w:t>
      </w:r>
      <w:r w:rsidR="00A752A6" w:rsidRPr="00731644">
        <w:rPr>
          <w:lang w:val="fr-CH"/>
        </w:rPr>
        <w:t>apologie de la guerre, l</w:t>
      </w:r>
      <w:r w:rsidR="00425386" w:rsidRPr="00731644">
        <w:rPr>
          <w:lang w:val="fr-CH"/>
        </w:rPr>
        <w:t>’</w:t>
      </w:r>
      <w:r w:rsidR="006B5B26" w:rsidRPr="00731644">
        <w:rPr>
          <w:lang w:val="fr-CH"/>
        </w:rPr>
        <w:t>incitation à la violence</w:t>
      </w:r>
      <w:r w:rsidR="00A752A6" w:rsidRPr="00731644">
        <w:rPr>
          <w:lang w:val="fr-CH"/>
        </w:rPr>
        <w:t xml:space="preserve"> ou à la criminalité</w:t>
      </w:r>
      <w:r w:rsidR="00F31DD5" w:rsidRPr="00731644">
        <w:rPr>
          <w:lang w:val="fr-CH"/>
        </w:rPr>
        <w:t>;</w:t>
      </w:r>
      <w:r w:rsidR="00A752A6" w:rsidRPr="00731644">
        <w:rPr>
          <w:lang w:val="fr-CH"/>
        </w:rPr>
        <w:t xml:space="preserve"> ou encore prévenir l</w:t>
      </w:r>
      <w:r w:rsidR="00425386" w:rsidRPr="00731644">
        <w:rPr>
          <w:lang w:val="fr-CH"/>
        </w:rPr>
        <w:t>’</w:t>
      </w:r>
      <w:r w:rsidR="00A752A6" w:rsidRPr="00731644">
        <w:rPr>
          <w:lang w:val="fr-CH"/>
        </w:rPr>
        <w:t xml:space="preserve">incitation à la haine ou à la discrimination raciales, nationales ou religieuses </w:t>
      </w:r>
      <w:r w:rsidR="00C776A4" w:rsidRPr="00731644">
        <w:rPr>
          <w:lang w:val="fr-CH"/>
        </w:rPr>
        <w:t>(</w:t>
      </w:r>
      <w:r w:rsidR="00F31DD5" w:rsidRPr="00731644">
        <w:rPr>
          <w:lang w:val="fr-CH"/>
        </w:rPr>
        <w:t>art. </w:t>
      </w:r>
      <w:r w:rsidR="00C776A4" w:rsidRPr="00731644">
        <w:rPr>
          <w:lang w:val="fr-CH"/>
        </w:rPr>
        <w:t xml:space="preserve">50). </w:t>
      </w:r>
      <w:r w:rsidR="00A752A6" w:rsidRPr="00731644">
        <w:rPr>
          <w:lang w:val="fr-CH"/>
        </w:rPr>
        <w:t xml:space="preserve">La loi </w:t>
      </w:r>
      <w:r w:rsidR="006B5B26" w:rsidRPr="00731644">
        <w:rPr>
          <w:lang w:val="fr-CH"/>
        </w:rPr>
        <w:t>fondamental</w:t>
      </w:r>
      <w:r w:rsidR="00A752A6" w:rsidRPr="00731644">
        <w:rPr>
          <w:lang w:val="fr-CH"/>
        </w:rPr>
        <w:t>e consacre également le droit d</w:t>
      </w:r>
      <w:r w:rsidR="00425386" w:rsidRPr="00731644">
        <w:rPr>
          <w:lang w:val="fr-CH"/>
        </w:rPr>
        <w:t>’</w:t>
      </w:r>
      <w:r w:rsidR="00A752A6" w:rsidRPr="00731644">
        <w:rPr>
          <w:lang w:val="fr-CH"/>
        </w:rPr>
        <w:t xml:space="preserve">accès aux informations détenues par les autorités publiques ou les organisations qui </w:t>
      </w:r>
      <w:r w:rsidR="00A03DEB" w:rsidRPr="00731644">
        <w:rPr>
          <w:lang w:val="fr-CH"/>
        </w:rPr>
        <w:t>exerc</w:t>
      </w:r>
      <w:r w:rsidR="00A752A6" w:rsidRPr="00731644">
        <w:rPr>
          <w:lang w:val="fr-CH"/>
        </w:rPr>
        <w:t>ent des fonctions publiques</w:t>
      </w:r>
      <w:r w:rsidR="00F31DD5" w:rsidRPr="00731644">
        <w:rPr>
          <w:lang w:val="fr-CH"/>
        </w:rPr>
        <w:t>;</w:t>
      </w:r>
      <w:r w:rsidR="006B5B26" w:rsidRPr="00731644">
        <w:rPr>
          <w:lang w:val="fr-CH"/>
        </w:rPr>
        <w:t xml:space="preserve"> </w:t>
      </w:r>
      <w:r w:rsidR="00A752A6" w:rsidRPr="00731644">
        <w:rPr>
          <w:lang w:val="fr-CH"/>
        </w:rPr>
        <w:t xml:space="preserve">des restrictions ne peuvent être </w:t>
      </w:r>
      <w:r w:rsidR="00A66512" w:rsidRPr="00731644">
        <w:rPr>
          <w:lang w:val="fr-CH"/>
        </w:rPr>
        <w:t>apportées</w:t>
      </w:r>
      <w:r w:rsidR="00A752A6" w:rsidRPr="00731644">
        <w:rPr>
          <w:lang w:val="fr-CH"/>
        </w:rPr>
        <w:t xml:space="preserve"> à ce droit qu</w:t>
      </w:r>
      <w:r w:rsidR="00425386" w:rsidRPr="00731644">
        <w:rPr>
          <w:lang w:val="fr-CH"/>
        </w:rPr>
        <w:t>’</w:t>
      </w:r>
      <w:r w:rsidR="00A752A6" w:rsidRPr="00731644">
        <w:rPr>
          <w:lang w:val="fr-CH"/>
        </w:rPr>
        <w:t>aux fins</w:t>
      </w:r>
      <w:r w:rsidR="00F31DD5" w:rsidRPr="00731644">
        <w:rPr>
          <w:lang w:val="fr-CH"/>
        </w:rPr>
        <w:t>:</w:t>
      </w:r>
      <w:r w:rsidR="00A752A6" w:rsidRPr="00731644">
        <w:rPr>
          <w:lang w:val="fr-CH"/>
        </w:rPr>
        <w:t xml:space="preserve"> de la protection de la vie, de la santé publique et de la moralité</w:t>
      </w:r>
      <w:r w:rsidR="00F31DD5" w:rsidRPr="00731644">
        <w:rPr>
          <w:lang w:val="fr-CH"/>
        </w:rPr>
        <w:t>;</w:t>
      </w:r>
      <w:r w:rsidR="00A752A6" w:rsidRPr="00731644">
        <w:rPr>
          <w:lang w:val="fr-CH"/>
        </w:rPr>
        <w:t xml:space="preserve"> du respect de la vie privée</w:t>
      </w:r>
      <w:r w:rsidR="00F31DD5" w:rsidRPr="00731644">
        <w:rPr>
          <w:lang w:val="fr-CH"/>
        </w:rPr>
        <w:t>;</w:t>
      </w:r>
      <w:r w:rsidR="00C776A4" w:rsidRPr="00731644">
        <w:rPr>
          <w:lang w:val="fr-CH"/>
        </w:rPr>
        <w:t xml:space="preserve"> </w:t>
      </w:r>
      <w:r w:rsidR="00A752A6" w:rsidRPr="00731644">
        <w:rPr>
          <w:lang w:val="fr-CH"/>
        </w:rPr>
        <w:t>de la conduite d</w:t>
      </w:r>
      <w:r w:rsidR="00425386" w:rsidRPr="00731644">
        <w:rPr>
          <w:lang w:val="fr-CH"/>
        </w:rPr>
        <w:t>’</w:t>
      </w:r>
      <w:r w:rsidR="00A752A6" w:rsidRPr="00731644">
        <w:rPr>
          <w:lang w:val="fr-CH"/>
        </w:rPr>
        <w:t>une action pénale</w:t>
      </w:r>
      <w:r w:rsidR="00F31DD5" w:rsidRPr="00731644">
        <w:rPr>
          <w:lang w:val="fr-CH"/>
        </w:rPr>
        <w:t>;</w:t>
      </w:r>
      <w:r w:rsidR="00C776A4" w:rsidRPr="00731644">
        <w:rPr>
          <w:lang w:val="fr-CH"/>
        </w:rPr>
        <w:t xml:space="preserve"> </w:t>
      </w:r>
      <w:r w:rsidR="00A752A6" w:rsidRPr="00731644">
        <w:rPr>
          <w:lang w:val="fr-CH"/>
        </w:rPr>
        <w:t>de</w:t>
      </w:r>
      <w:r w:rsidR="00F31DD5" w:rsidRPr="00731644">
        <w:rPr>
          <w:lang w:val="fr-CH"/>
        </w:rPr>
        <w:t xml:space="preserve"> </w:t>
      </w:r>
      <w:r w:rsidR="00A752A6" w:rsidRPr="00731644">
        <w:rPr>
          <w:lang w:val="fr-CH"/>
        </w:rPr>
        <w:t>la sécurité et de la défense du Monténégro</w:t>
      </w:r>
      <w:r w:rsidR="00F31DD5" w:rsidRPr="00731644">
        <w:rPr>
          <w:lang w:val="fr-CH"/>
        </w:rPr>
        <w:t>;</w:t>
      </w:r>
      <w:r w:rsidR="00C776A4" w:rsidRPr="00731644">
        <w:rPr>
          <w:lang w:val="fr-CH"/>
        </w:rPr>
        <w:t xml:space="preserve"> </w:t>
      </w:r>
      <w:r w:rsidR="00A752A6" w:rsidRPr="00731644">
        <w:rPr>
          <w:lang w:val="fr-CH"/>
        </w:rPr>
        <w:t xml:space="preserve">de la politique étrangère, monétaire et économique </w:t>
      </w:r>
      <w:r w:rsidR="00C776A4" w:rsidRPr="00731644">
        <w:rPr>
          <w:lang w:val="fr-CH"/>
        </w:rPr>
        <w:t>(</w:t>
      </w:r>
      <w:r w:rsidR="00F31DD5" w:rsidRPr="00731644">
        <w:rPr>
          <w:lang w:val="fr-CH"/>
        </w:rPr>
        <w:t>art. </w:t>
      </w:r>
      <w:r w:rsidR="00C776A4" w:rsidRPr="00731644">
        <w:rPr>
          <w:lang w:val="fr-CH"/>
        </w:rPr>
        <w:t>51).</w:t>
      </w:r>
    </w:p>
    <w:p w:rsidR="00C776A4" w:rsidRPr="00731644" w:rsidRDefault="00BF1535" w:rsidP="001753EC">
      <w:pPr>
        <w:pStyle w:val="SingleTxtG"/>
        <w:keepNext/>
        <w:rPr>
          <w:lang w:val="fr-CH"/>
        </w:rPr>
      </w:pPr>
      <w:r w:rsidRPr="00731644">
        <w:rPr>
          <w:lang w:val="fr-CH"/>
        </w:rPr>
        <w:t>158.</w:t>
      </w:r>
      <w:r w:rsidRPr="00731644">
        <w:rPr>
          <w:lang w:val="fr-CH"/>
        </w:rPr>
        <w:tab/>
      </w:r>
      <w:r w:rsidR="00620103" w:rsidRPr="00731644">
        <w:rPr>
          <w:lang w:val="fr-CH"/>
        </w:rPr>
        <w:t xml:space="preserve">La </w:t>
      </w:r>
      <w:r w:rsidR="00283142" w:rsidRPr="00731644">
        <w:rPr>
          <w:lang w:val="fr-CH"/>
        </w:rPr>
        <w:t>liberté d</w:t>
      </w:r>
      <w:r w:rsidR="00425386" w:rsidRPr="00731644">
        <w:rPr>
          <w:lang w:val="fr-CH"/>
        </w:rPr>
        <w:t>’</w:t>
      </w:r>
      <w:r w:rsidR="00283142" w:rsidRPr="00731644">
        <w:rPr>
          <w:lang w:val="fr-CH"/>
        </w:rPr>
        <w:t xml:space="preserve">expression </w:t>
      </w:r>
      <w:r w:rsidR="00620103" w:rsidRPr="00731644">
        <w:rPr>
          <w:lang w:val="fr-CH"/>
        </w:rPr>
        <w:t xml:space="preserve">inscrite dans la Constitution </w:t>
      </w:r>
      <w:r w:rsidR="00283142" w:rsidRPr="00731644">
        <w:rPr>
          <w:lang w:val="fr-CH"/>
        </w:rPr>
        <w:t xml:space="preserve">est régie par la législation relative aux médias, qui est harmonisée avec les normes internationales en la matière et dont les textes essentiels </w:t>
      </w:r>
      <w:r w:rsidR="00A66512" w:rsidRPr="00731644">
        <w:rPr>
          <w:lang w:val="fr-CH"/>
        </w:rPr>
        <w:t>sont</w:t>
      </w:r>
      <w:r w:rsidR="00F31DD5" w:rsidRPr="00731644">
        <w:rPr>
          <w:lang w:val="fr-CH"/>
        </w:rPr>
        <w:t>:</w:t>
      </w:r>
    </w:p>
    <w:p w:rsidR="00C776A4" w:rsidRPr="00731644" w:rsidRDefault="001753EC" w:rsidP="00336CAC">
      <w:pPr>
        <w:pStyle w:val="Bullet1G"/>
        <w:rPr>
          <w:lang w:val="fr-CH"/>
        </w:rPr>
      </w:pPr>
      <w:r w:rsidRPr="00731644">
        <w:rPr>
          <w:lang w:val="fr-CH"/>
        </w:rPr>
        <w:t>La</w:t>
      </w:r>
      <w:r w:rsidRPr="00DA0274">
        <w:rPr>
          <w:iCs/>
          <w:lang w:val="fr-CH"/>
        </w:rPr>
        <w:t xml:space="preserve"> </w:t>
      </w:r>
      <w:r w:rsidR="00283142" w:rsidRPr="00DA0274">
        <w:rPr>
          <w:iCs/>
          <w:lang w:val="fr-CH"/>
        </w:rPr>
        <w:t xml:space="preserve">loi relative aux médias </w:t>
      </w:r>
      <w:r w:rsidR="00283142"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283142" w:rsidRPr="00731644">
        <w:rPr>
          <w:rFonts w:eastAsia="MS Mincho"/>
          <w:lang w:val="fr-CH"/>
        </w:rPr>
        <w:t>n</w:t>
      </w:r>
      <w:r w:rsidR="00283142" w:rsidRPr="00731644">
        <w:rPr>
          <w:rFonts w:eastAsia="MS Mincho"/>
          <w:vertAlign w:val="superscript"/>
          <w:lang w:val="fr-CH"/>
        </w:rPr>
        <w:t>o</w:t>
      </w:r>
      <w:r w:rsidR="00532E18">
        <w:rPr>
          <w:rFonts w:eastAsia="MS Mincho"/>
          <w:vertAlign w:val="superscript"/>
          <w:lang w:val="fr-CH"/>
        </w:rPr>
        <w:t>s</w:t>
      </w:r>
      <w:r w:rsidR="00283142" w:rsidRPr="00731644">
        <w:rPr>
          <w:lang w:val="fr-CH"/>
        </w:rPr>
        <w:t> 51/02 et</w:t>
      </w:r>
      <w:r w:rsidR="00532E18">
        <w:rPr>
          <w:lang w:val="fr-CH"/>
        </w:rPr>
        <w:t xml:space="preserve"> </w:t>
      </w:r>
      <w:r w:rsidR="00283142" w:rsidRPr="00731644">
        <w:rPr>
          <w:lang w:val="fr-CH"/>
        </w:rPr>
        <w:t>62/</w:t>
      </w:r>
      <w:r w:rsidR="00A66512" w:rsidRPr="00731644">
        <w:rPr>
          <w:lang w:val="fr-CH"/>
        </w:rPr>
        <w:t>02)</w:t>
      </w:r>
    </w:p>
    <w:p w:rsidR="00283142" w:rsidRPr="00731644" w:rsidRDefault="001753EC" w:rsidP="00336CAC">
      <w:pPr>
        <w:pStyle w:val="Bullet1G"/>
        <w:rPr>
          <w:lang w:val="fr-CH"/>
        </w:rPr>
      </w:pPr>
      <w:r w:rsidRPr="00731644">
        <w:rPr>
          <w:lang w:val="fr-CH"/>
        </w:rPr>
        <w:t xml:space="preserve">La </w:t>
      </w:r>
      <w:r w:rsidR="00283142" w:rsidRPr="00DA0274">
        <w:rPr>
          <w:iCs/>
          <w:lang w:val="fr-CH"/>
        </w:rPr>
        <w:t xml:space="preserve">loi relative aux médias électroniques </w:t>
      </w:r>
      <w:r w:rsidR="00283142"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5072A0">
        <w:rPr>
          <w:lang w:val="fr-CH"/>
        </w:rPr>
        <w:t>n</w:t>
      </w:r>
      <w:r w:rsidR="005072A0" w:rsidRPr="005072A0">
        <w:rPr>
          <w:vertAlign w:val="superscript"/>
          <w:lang w:val="fr-CH"/>
        </w:rPr>
        <w:t>o</w:t>
      </w:r>
      <w:r w:rsidR="005072A0">
        <w:rPr>
          <w:lang w:val="fr-CH"/>
        </w:rPr>
        <w:t> </w:t>
      </w:r>
      <w:r w:rsidR="00283142" w:rsidRPr="00731644">
        <w:rPr>
          <w:lang w:val="fr-CH"/>
        </w:rPr>
        <w:t xml:space="preserve">46/10) </w:t>
      </w:r>
    </w:p>
    <w:p w:rsidR="00283142" w:rsidRPr="00731644" w:rsidRDefault="001753EC" w:rsidP="00283142">
      <w:pPr>
        <w:pStyle w:val="Bullet1G"/>
        <w:rPr>
          <w:lang w:val="fr-CH"/>
        </w:rPr>
      </w:pPr>
      <w:r w:rsidRPr="00731644">
        <w:rPr>
          <w:lang w:val="fr-CH"/>
        </w:rPr>
        <w:t xml:space="preserve">La </w:t>
      </w:r>
      <w:r w:rsidR="00283142" w:rsidRPr="00DA0274">
        <w:rPr>
          <w:iCs/>
          <w:lang w:val="fr-CH"/>
        </w:rPr>
        <w:t xml:space="preserve">loi relative aux services publics </w:t>
      </w:r>
      <w:r w:rsidR="007A49B7" w:rsidRPr="00DA0274">
        <w:rPr>
          <w:iCs/>
          <w:lang w:val="fr-CH"/>
        </w:rPr>
        <w:t>de radiotélévision</w:t>
      </w:r>
      <w:r w:rsidR="00344946" w:rsidRPr="00DA0274">
        <w:rPr>
          <w:iCs/>
          <w:lang w:val="fr-CH"/>
        </w:rPr>
        <w:t xml:space="preserve"> </w:t>
      </w:r>
      <w:r w:rsidR="00283142" w:rsidRPr="00DA0274">
        <w:rPr>
          <w:iCs/>
          <w:lang w:val="fr-CH"/>
        </w:rPr>
        <w:t>du Monténégro</w:t>
      </w:r>
      <w:r w:rsidR="00283142" w:rsidRPr="00731644">
        <w:rPr>
          <w:lang w:val="fr-CH"/>
        </w:rPr>
        <w:t xml:space="preserve"> (</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283142" w:rsidRPr="00731644">
        <w:rPr>
          <w:rFonts w:eastAsia="MS Mincho"/>
          <w:lang w:val="fr-CH"/>
        </w:rPr>
        <w:t>n</w:t>
      </w:r>
      <w:r w:rsidR="00283142" w:rsidRPr="00731644">
        <w:rPr>
          <w:rFonts w:eastAsia="MS Mincho"/>
          <w:vertAlign w:val="superscript"/>
          <w:lang w:val="fr-CH"/>
        </w:rPr>
        <w:t>o</w:t>
      </w:r>
      <w:r w:rsidR="00283142" w:rsidRPr="00731644">
        <w:rPr>
          <w:lang w:val="fr-CH"/>
        </w:rPr>
        <w:t xml:space="preserve"> 79/08) </w:t>
      </w:r>
    </w:p>
    <w:p w:rsidR="00283142" w:rsidRPr="00731644" w:rsidRDefault="001753EC" w:rsidP="00283142">
      <w:pPr>
        <w:pStyle w:val="Bullet1G"/>
        <w:rPr>
          <w:lang w:val="fr-CH"/>
        </w:rPr>
      </w:pPr>
      <w:r w:rsidRPr="00731644">
        <w:rPr>
          <w:lang w:val="fr-CH"/>
        </w:rPr>
        <w:t xml:space="preserve">La </w:t>
      </w:r>
      <w:r w:rsidR="00283142" w:rsidRPr="00DA0274">
        <w:rPr>
          <w:iCs/>
          <w:lang w:val="fr-CH"/>
        </w:rPr>
        <w:t xml:space="preserve">loi portant ratification de la Convention européenne sur la télévision transfrontière </w:t>
      </w:r>
      <w:r w:rsidR="00283142"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283142" w:rsidRPr="00731644">
        <w:rPr>
          <w:rFonts w:eastAsia="MS Mincho"/>
          <w:lang w:val="fr-CH"/>
        </w:rPr>
        <w:t>n</w:t>
      </w:r>
      <w:r w:rsidR="00283142" w:rsidRPr="00731644">
        <w:rPr>
          <w:rFonts w:eastAsia="MS Mincho"/>
          <w:vertAlign w:val="superscript"/>
          <w:lang w:val="fr-CH"/>
        </w:rPr>
        <w:t>o</w:t>
      </w:r>
      <w:r w:rsidR="00283142" w:rsidRPr="00731644">
        <w:rPr>
          <w:lang w:val="fr-CH"/>
        </w:rPr>
        <w:t> 01/08)</w:t>
      </w:r>
      <w:r w:rsidR="008A5B1F" w:rsidRPr="00731644">
        <w:rPr>
          <w:lang w:val="fr-CH"/>
        </w:rPr>
        <w:t>.</w:t>
      </w:r>
    </w:p>
    <w:p w:rsidR="00C776A4" w:rsidRPr="00731644" w:rsidRDefault="00BF1535" w:rsidP="001753EC">
      <w:pPr>
        <w:pStyle w:val="SingleTxtG"/>
        <w:rPr>
          <w:lang w:val="fr-CH"/>
        </w:rPr>
      </w:pPr>
      <w:r w:rsidRPr="00731644">
        <w:rPr>
          <w:lang w:val="fr-CH"/>
        </w:rPr>
        <w:t>159.</w:t>
      </w:r>
      <w:r w:rsidRPr="00731644">
        <w:rPr>
          <w:lang w:val="fr-CH"/>
        </w:rPr>
        <w:tab/>
      </w:r>
      <w:r w:rsidR="00221760" w:rsidRPr="00731644">
        <w:rPr>
          <w:lang w:val="fr-CH"/>
        </w:rPr>
        <w:t>C</w:t>
      </w:r>
      <w:r w:rsidR="00283142" w:rsidRPr="00731644">
        <w:rPr>
          <w:lang w:val="fr-CH"/>
        </w:rPr>
        <w:t>e cadre juridique, dont les disposition</w:t>
      </w:r>
      <w:r w:rsidR="00221760" w:rsidRPr="00731644">
        <w:rPr>
          <w:lang w:val="fr-CH"/>
        </w:rPr>
        <w:t>s</w:t>
      </w:r>
      <w:r w:rsidR="00283142" w:rsidRPr="00731644">
        <w:rPr>
          <w:lang w:val="fr-CH"/>
        </w:rPr>
        <w:t xml:space="preserve"> </w:t>
      </w:r>
      <w:r w:rsidR="00221760" w:rsidRPr="00731644">
        <w:rPr>
          <w:lang w:val="fr-CH"/>
        </w:rPr>
        <w:t>définissent les normes applicables aux communications audiovisuelles commerciales et aux contenus des émissions</w:t>
      </w:r>
      <w:r w:rsidR="00C776A4" w:rsidRPr="00731644">
        <w:rPr>
          <w:lang w:val="fr-CH"/>
        </w:rPr>
        <w:t xml:space="preserve">, </w:t>
      </w:r>
      <w:r w:rsidR="00221760" w:rsidRPr="00731644">
        <w:rPr>
          <w:lang w:val="fr-CH"/>
        </w:rPr>
        <w:t>reconnaît le rôle et l</w:t>
      </w:r>
      <w:r w:rsidR="00425386" w:rsidRPr="00731644">
        <w:rPr>
          <w:lang w:val="fr-CH"/>
        </w:rPr>
        <w:t>’</w:t>
      </w:r>
      <w:r w:rsidR="00221760" w:rsidRPr="00731644">
        <w:rPr>
          <w:lang w:val="fr-CH"/>
        </w:rPr>
        <w:t>importance des médias, électroniques notamment</w:t>
      </w:r>
      <w:r w:rsidR="00D669DA" w:rsidRPr="00731644">
        <w:rPr>
          <w:lang w:val="fr-CH"/>
        </w:rPr>
        <w:t>,</w:t>
      </w:r>
      <w:r w:rsidR="00221760" w:rsidRPr="00731644">
        <w:rPr>
          <w:lang w:val="fr-CH"/>
        </w:rPr>
        <w:t xml:space="preserve"> dans la prévention et l</w:t>
      </w:r>
      <w:r w:rsidR="00425386" w:rsidRPr="00731644">
        <w:rPr>
          <w:lang w:val="fr-CH"/>
        </w:rPr>
        <w:t>’</w:t>
      </w:r>
      <w:r w:rsidR="00221760" w:rsidRPr="00731644">
        <w:rPr>
          <w:lang w:val="fr-CH"/>
        </w:rPr>
        <w:t>élimination de l</w:t>
      </w:r>
      <w:r w:rsidR="00425386" w:rsidRPr="00731644">
        <w:rPr>
          <w:lang w:val="fr-CH"/>
        </w:rPr>
        <w:t>’</w:t>
      </w:r>
      <w:r w:rsidR="00221760" w:rsidRPr="00731644">
        <w:rPr>
          <w:lang w:val="fr-CH"/>
        </w:rPr>
        <w:t>intolérance et de la discrimination</w:t>
      </w:r>
      <w:r w:rsidR="00C776A4" w:rsidRPr="00731644">
        <w:rPr>
          <w:lang w:val="fr-CH"/>
        </w:rPr>
        <w:t xml:space="preserve">. </w:t>
      </w:r>
      <w:r w:rsidR="00221760" w:rsidRPr="00731644">
        <w:rPr>
          <w:lang w:val="fr-CH"/>
        </w:rPr>
        <w:t xml:space="preserve">Cette contribution </w:t>
      </w:r>
      <w:r w:rsidR="00D669DA" w:rsidRPr="00731644">
        <w:rPr>
          <w:lang w:val="fr-CH"/>
        </w:rPr>
        <w:t>consiste</w:t>
      </w:r>
      <w:r w:rsidR="00221760" w:rsidRPr="00731644">
        <w:rPr>
          <w:lang w:val="fr-CH"/>
        </w:rPr>
        <w:t xml:space="preserve"> en particulier </w:t>
      </w:r>
      <w:r w:rsidR="00D669DA" w:rsidRPr="00731644">
        <w:rPr>
          <w:lang w:val="fr-CH"/>
        </w:rPr>
        <w:t>dans</w:t>
      </w:r>
      <w:r w:rsidR="00221760" w:rsidRPr="00731644">
        <w:rPr>
          <w:lang w:val="fr-CH"/>
        </w:rPr>
        <w:t xml:space="preserve"> le développement de la compréhension culturelle entre les différents groupes sociaux afin de prévenir les discours haineux et de promouvoir la tolérance et l</w:t>
      </w:r>
      <w:r w:rsidR="00425386" w:rsidRPr="00731644">
        <w:rPr>
          <w:lang w:val="fr-CH"/>
        </w:rPr>
        <w:t>’</w:t>
      </w:r>
      <w:r w:rsidR="00221760" w:rsidRPr="00731644">
        <w:rPr>
          <w:lang w:val="fr-CH"/>
        </w:rPr>
        <w:t>appréciation mutuelle.</w:t>
      </w:r>
    </w:p>
    <w:p w:rsidR="00C776A4" w:rsidRPr="00731644" w:rsidRDefault="00BF1535" w:rsidP="007A429C">
      <w:pPr>
        <w:pStyle w:val="SingleTxtG"/>
        <w:rPr>
          <w:lang w:val="fr-CH"/>
        </w:rPr>
      </w:pPr>
      <w:r w:rsidRPr="00731644">
        <w:rPr>
          <w:lang w:val="fr-CH"/>
        </w:rPr>
        <w:t>160.</w:t>
      </w:r>
      <w:r w:rsidRPr="00731644">
        <w:rPr>
          <w:b/>
          <w:lang w:val="fr-CH"/>
        </w:rPr>
        <w:tab/>
      </w:r>
      <w:r w:rsidR="00221760" w:rsidRPr="00731644">
        <w:rPr>
          <w:lang w:val="fr-CH"/>
        </w:rPr>
        <w:t xml:space="preserve">La </w:t>
      </w:r>
      <w:r w:rsidR="00221760" w:rsidRPr="00DA0274">
        <w:rPr>
          <w:iCs/>
          <w:lang w:val="fr-CH"/>
        </w:rPr>
        <w:t>loi</w:t>
      </w:r>
      <w:r w:rsidR="00221760" w:rsidRPr="00DA0274">
        <w:rPr>
          <w:b/>
          <w:iCs/>
          <w:lang w:val="fr-CH"/>
        </w:rPr>
        <w:t xml:space="preserve"> </w:t>
      </w:r>
      <w:r w:rsidR="00221760" w:rsidRPr="00DA0274">
        <w:rPr>
          <w:iCs/>
          <w:lang w:val="fr-CH"/>
        </w:rPr>
        <w:t xml:space="preserve">relative aux médias </w:t>
      </w:r>
      <w:r w:rsidR="00221760" w:rsidRPr="00731644">
        <w:rPr>
          <w:lang w:val="fr-CH"/>
        </w:rPr>
        <w:t xml:space="preserve">est le texte fondamental </w:t>
      </w:r>
      <w:r w:rsidR="00D669DA" w:rsidRPr="00731644">
        <w:rPr>
          <w:lang w:val="fr-CH"/>
        </w:rPr>
        <w:t>qui régit la création de médias, la publication obligatoire de certaines informations, les droits et obligations des organes d</w:t>
      </w:r>
      <w:r w:rsidR="00425386" w:rsidRPr="00731644">
        <w:rPr>
          <w:lang w:val="fr-CH"/>
        </w:rPr>
        <w:t>’</w:t>
      </w:r>
      <w:r w:rsidR="00D669DA" w:rsidRPr="00731644">
        <w:rPr>
          <w:lang w:val="fr-CH"/>
        </w:rPr>
        <w:t>information, le droit de rectification et de réponse, l</w:t>
      </w:r>
      <w:r w:rsidR="00425386" w:rsidRPr="00731644">
        <w:rPr>
          <w:lang w:val="fr-CH"/>
        </w:rPr>
        <w:t>’</w:t>
      </w:r>
      <w:r w:rsidR="00C776A4" w:rsidRPr="00731644">
        <w:rPr>
          <w:lang w:val="fr-CH"/>
        </w:rPr>
        <w:t xml:space="preserve">obligation </w:t>
      </w:r>
      <w:r w:rsidR="00D669DA" w:rsidRPr="00731644">
        <w:rPr>
          <w:lang w:val="fr-CH"/>
        </w:rPr>
        <w:t>de l</w:t>
      </w:r>
      <w:r w:rsidR="00425386" w:rsidRPr="00731644">
        <w:rPr>
          <w:lang w:val="fr-CH"/>
        </w:rPr>
        <w:t>’</w:t>
      </w:r>
      <w:r w:rsidR="00D669DA" w:rsidRPr="00731644">
        <w:rPr>
          <w:lang w:val="fr-CH"/>
        </w:rPr>
        <w:t>É</w:t>
      </w:r>
      <w:r w:rsidR="008A5B1F" w:rsidRPr="00731644">
        <w:rPr>
          <w:lang w:val="fr-CH"/>
        </w:rPr>
        <w:t>tat d</w:t>
      </w:r>
      <w:r w:rsidR="00425386" w:rsidRPr="00731644">
        <w:rPr>
          <w:lang w:val="fr-CH"/>
        </w:rPr>
        <w:t>’</w:t>
      </w:r>
      <w:r w:rsidR="008A5B1F" w:rsidRPr="00731644">
        <w:rPr>
          <w:lang w:val="fr-CH"/>
        </w:rPr>
        <w:t xml:space="preserve">assurer </w:t>
      </w:r>
      <w:r w:rsidR="00D669DA" w:rsidRPr="00731644">
        <w:rPr>
          <w:lang w:val="fr-CH"/>
        </w:rPr>
        <w:t>la liberté de l</w:t>
      </w:r>
      <w:r w:rsidR="00425386" w:rsidRPr="00731644">
        <w:rPr>
          <w:lang w:val="fr-CH"/>
        </w:rPr>
        <w:t>’</w:t>
      </w:r>
      <w:r w:rsidR="00D669DA" w:rsidRPr="00731644">
        <w:rPr>
          <w:lang w:val="fr-CH"/>
        </w:rPr>
        <w:t>information conformément aux normes contenues dans les documents internationaux relatifs aux droits de l</w:t>
      </w:r>
      <w:r w:rsidR="00425386" w:rsidRPr="00731644">
        <w:rPr>
          <w:lang w:val="fr-CH"/>
        </w:rPr>
        <w:t>’</w:t>
      </w:r>
      <w:r w:rsidR="00D669DA" w:rsidRPr="00731644">
        <w:rPr>
          <w:lang w:val="fr-CH"/>
        </w:rPr>
        <w:t>homme et aux libertés (Organisation des Nations Unies, Organisation pour la sécurité et la coopération en Europe, Conseil de l</w:t>
      </w:r>
      <w:r w:rsidR="00425386" w:rsidRPr="00731644">
        <w:rPr>
          <w:lang w:val="fr-CH"/>
        </w:rPr>
        <w:t>’</w:t>
      </w:r>
      <w:r w:rsidR="00D669DA" w:rsidRPr="00731644">
        <w:rPr>
          <w:lang w:val="fr-CH"/>
        </w:rPr>
        <w:t>Europe, Union européenne). L</w:t>
      </w:r>
      <w:r w:rsidR="00425386" w:rsidRPr="00731644">
        <w:rPr>
          <w:lang w:val="fr-CH"/>
        </w:rPr>
        <w:t>’</w:t>
      </w:r>
      <w:r w:rsidR="001753EC">
        <w:rPr>
          <w:lang w:val="fr-CH"/>
        </w:rPr>
        <w:t>article </w:t>
      </w:r>
      <w:r w:rsidR="00D669DA" w:rsidRPr="00731644">
        <w:rPr>
          <w:lang w:val="fr-CH"/>
        </w:rPr>
        <w:t>premier</w:t>
      </w:r>
      <w:r w:rsidR="00F31DD5" w:rsidRPr="00731644">
        <w:rPr>
          <w:lang w:val="fr-CH"/>
        </w:rPr>
        <w:t xml:space="preserve"> </w:t>
      </w:r>
      <w:r w:rsidR="00D669DA" w:rsidRPr="00731644">
        <w:rPr>
          <w:lang w:val="fr-CH"/>
        </w:rPr>
        <w:t>dispose que la loi est interprétée et appliquée conformément aux principes définis dans la Convention européenne de sauvegarde des droits de l</w:t>
      </w:r>
      <w:r w:rsidR="00425386" w:rsidRPr="00731644">
        <w:rPr>
          <w:lang w:val="fr-CH"/>
        </w:rPr>
        <w:t>’</w:t>
      </w:r>
      <w:r w:rsidR="00D669DA" w:rsidRPr="00731644">
        <w:rPr>
          <w:lang w:val="fr-CH"/>
        </w:rPr>
        <w:t>homme et des libertés fondamentales et respecte la jurisprudence de la Cour européenne des droits de l</w:t>
      </w:r>
      <w:r w:rsidR="00425386" w:rsidRPr="00731644">
        <w:rPr>
          <w:lang w:val="fr-CH"/>
        </w:rPr>
        <w:t>’</w:t>
      </w:r>
      <w:r w:rsidR="00D669DA" w:rsidRPr="00731644">
        <w:rPr>
          <w:lang w:val="fr-CH"/>
        </w:rPr>
        <w:t>homme</w:t>
      </w:r>
      <w:r w:rsidR="00C776A4" w:rsidRPr="00731644">
        <w:rPr>
          <w:lang w:val="fr-CH"/>
        </w:rPr>
        <w:t xml:space="preserve">, </w:t>
      </w:r>
      <w:r w:rsidR="00D669DA" w:rsidRPr="00731644">
        <w:rPr>
          <w:lang w:val="fr-CH"/>
        </w:rPr>
        <w:t>que les médias sont libres et que la censure est interdite.</w:t>
      </w:r>
      <w:r w:rsidR="00C776A4" w:rsidRPr="00731644">
        <w:rPr>
          <w:lang w:val="fr-CH"/>
        </w:rPr>
        <w:t xml:space="preserve"> </w:t>
      </w:r>
      <w:r w:rsidR="00D669DA" w:rsidRPr="00731644">
        <w:rPr>
          <w:lang w:val="fr-CH"/>
        </w:rPr>
        <w:t xml:space="preserve">La loi garantit le droit de </w:t>
      </w:r>
      <w:r w:rsidR="00943F5A" w:rsidRPr="00731644">
        <w:rPr>
          <w:lang w:val="fr-CH"/>
        </w:rPr>
        <w:t>créer de</w:t>
      </w:r>
      <w:r w:rsidR="00C658C6" w:rsidRPr="00731644">
        <w:rPr>
          <w:lang w:val="fr-CH"/>
        </w:rPr>
        <w:t>s</w:t>
      </w:r>
      <w:r w:rsidR="00943F5A" w:rsidRPr="00731644">
        <w:rPr>
          <w:lang w:val="fr-CH"/>
        </w:rPr>
        <w:t xml:space="preserve"> médias </w:t>
      </w:r>
      <w:r w:rsidR="00C658C6" w:rsidRPr="00731644">
        <w:rPr>
          <w:lang w:val="fr-CH"/>
        </w:rPr>
        <w:t>et d</w:t>
      </w:r>
      <w:r w:rsidR="00425386" w:rsidRPr="00731644">
        <w:rPr>
          <w:lang w:val="fr-CH"/>
        </w:rPr>
        <w:t>’</w:t>
      </w:r>
      <w:r w:rsidR="00C658C6" w:rsidRPr="00731644">
        <w:rPr>
          <w:lang w:val="fr-CH"/>
        </w:rPr>
        <w:t xml:space="preserve">assurer leur bon fonctionnement </w:t>
      </w:r>
      <w:r w:rsidR="00943F5A" w:rsidRPr="00731644">
        <w:rPr>
          <w:lang w:val="fr-CH"/>
        </w:rPr>
        <w:t>sur la base</w:t>
      </w:r>
      <w:r w:rsidR="00F31DD5" w:rsidRPr="00731644">
        <w:rPr>
          <w:lang w:val="fr-CH"/>
        </w:rPr>
        <w:t>:</w:t>
      </w:r>
      <w:r w:rsidR="00943F5A" w:rsidRPr="00731644">
        <w:rPr>
          <w:lang w:val="fr-CH"/>
        </w:rPr>
        <w:t xml:space="preserve"> </w:t>
      </w:r>
      <w:r w:rsidR="001560B8" w:rsidRPr="00731644">
        <w:rPr>
          <w:lang w:val="fr-CH"/>
        </w:rPr>
        <w:t xml:space="preserve">de </w:t>
      </w:r>
      <w:r w:rsidR="00943F5A" w:rsidRPr="00731644">
        <w:rPr>
          <w:lang w:val="fr-CH"/>
        </w:rPr>
        <w:t>la liberté d</w:t>
      </w:r>
      <w:r w:rsidR="00425386" w:rsidRPr="00731644">
        <w:rPr>
          <w:lang w:val="fr-CH"/>
        </w:rPr>
        <w:t>’</w:t>
      </w:r>
      <w:r w:rsidR="00943F5A" w:rsidRPr="00731644">
        <w:rPr>
          <w:lang w:val="fr-CH"/>
        </w:rPr>
        <w:t xml:space="preserve">expression, </w:t>
      </w:r>
      <w:r w:rsidR="001560B8" w:rsidRPr="00731644">
        <w:rPr>
          <w:lang w:val="fr-CH"/>
        </w:rPr>
        <w:t xml:space="preserve">de </w:t>
      </w:r>
      <w:r w:rsidR="00943F5A" w:rsidRPr="00731644">
        <w:rPr>
          <w:lang w:val="fr-CH"/>
        </w:rPr>
        <w:t xml:space="preserve">la liberté de rechercher, réunir, propager et publier des informations, </w:t>
      </w:r>
      <w:r w:rsidR="001560B8" w:rsidRPr="00731644">
        <w:rPr>
          <w:lang w:val="fr-CH"/>
        </w:rPr>
        <w:t>du libre accès à toutes les sources d</w:t>
      </w:r>
      <w:r w:rsidR="00425386" w:rsidRPr="00731644">
        <w:rPr>
          <w:lang w:val="fr-CH"/>
        </w:rPr>
        <w:t>’</w:t>
      </w:r>
      <w:r w:rsidR="001560B8" w:rsidRPr="00731644">
        <w:rPr>
          <w:lang w:val="fr-CH"/>
        </w:rPr>
        <w:t>information, de la protection de la personne et de la dignité humaine, et de la libre circulation de l</w:t>
      </w:r>
      <w:r w:rsidR="00425386" w:rsidRPr="00731644">
        <w:rPr>
          <w:lang w:val="fr-CH"/>
        </w:rPr>
        <w:t>’</w:t>
      </w:r>
      <w:r w:rsidR="001560B8" w:rsidRPr="00731644">
        <w:rPr>
          <w:lang w:val="fr-CH"/>
        </w:rPr>
        <w:t>information.</w:t>
      </w:r>
      <w:r w:rsidR="00F31DD5" w:rsidRPr="00731644">
        <w:rPr>
          <w:lang w:val="fr-CH"/>
        </w:rPr>
        <w:t xml:space="preserve"> </w:t>
      </w:r>
      <w:r w:rsidR="001560B8" w:rsidRPr="00731644">
        <w:rPr>
          <w:lang w:val="fr-CH"/>
        </w:rPr>
        <w:t>Elle prévoi</w:t>
      </w:r>
      <w:r w:rsidR="00F81C71" w:rsidRPr="00731644">
        <w:rPr>
          <w:lang w:val="fr-CH"/>
        </w:rPr>
        <w:t>t</w:t>
      </w:r>
      <w:r w:rsidR="001560B8" w:rsidRPr="00731644">
        <w:rPr>
          <w:lang w:val="fr-CH"/>
        </w:rPr>
        <w:t xml:space="preserve"> que l</w:t>
      </w:r>
      <w:r w:rsidR="00425386" w:rsidRPr="00731644">
        <w:rPr>
          <w:lang w:val="fr-CH"/>
        </w:rPr>
        <w:t>’</w:t>
      </w:r>
      <w:r w:rsidR="001560B8" w:rsidRPr="00731644">
        <w:rPr>
          <w:lang w:val="fr-CH"/>
        </w:rPr>
        <w:t xml:space="preserve">État fournit la part des </w:t>
      </w:r>
      <w:r w:rsidR="00F81C71" w:rsidRPr="00731644">
        <w:rPr>
          <w:lang w:val="fr-CH"/>
        </w:rPr>
        <w:t>actifs</w:t>
      </w:r>
      <w:r w:rsidR="001560B8" w:rsidRPr="00731644">
        <w:rPr>
          <w:lang w:val="fr-CH"/>
        </w:rPr>
        <w:t xml:space="preserve"> financiers nécessaire à l</w:t>
      </w:r>
      <w:r w:rsidR="00425386" w:rsidRPr="00731644">
        <w:rPr>
          <w:lang w:val="fr-CH"/>
        </w:rPr>
        <w:t>’</w:t>
      </w:r>
      <w:r w:rsidR="001560B8" w:rsidRPr="00731644">
        <w:rPr>
          <w:lang w:val="fr-CH"/>
        </w:rPr>
        <w:t>exercice des droits constitutionnels et légaux à l</w:t>
      </w:r>
      <w:r w:rsidR="00425386" w:rsidRPr="00731644">
        <w:rPr>
          <w:lang w:val="fr-CH"/>
        </w:rPr>
        <w:t>’</w:t>
      </w:r>
      <w:r w:rsidR="001560B8" w:rsidRPr="00731644">
        <w:rPr>
          <w:lang w:val="fr-CH"/>
        </w:rPr>
        <w:t xml:space="preserve">information sans discrimination, </w:t>
      </w:r>
      <w:r w:rsidR="00344946" w:rsidRPr="00731644">
        <w:rPr>
          <w:lang w:val="fr-CH"/>
        </w:rPr>
        <w:t>à partir</w:t>
      </w:r>
      <w:r w:rsidR="001560B8" w:rsidRPr="00731644">
        <w:rPr>
          <w:lang w:val="fr-CH"/>
        </w:rPr>
        <w:t xml:space="preserve"> de contenus programmatiques importants pour le </w:t>
      </w:r>
      <w:r w:rsidR="003B3EA9" w:rsidRPr="00731644">
        <w:rPr>
          <w:lang w:val="fr-CH"/>
        </w:rPr>
        <w:t>progrès</w:t>
      </w:r>
      <w:r w:rsidR="001560B8" w:rsidRPr="00731644">
        <w:rPr>
          <w:lang w:val="fr-CH"/>
        </w:rPr>
        <w:t xml:space="preserve"> de la science</w:t>
      </w:r>
      <w:r w:rsidR="00E868E5" w:rsidRPr="00731644">
        <w:rPr>
          <w:lang w:val="fr-CH"/>
        </w:rPr>
        <w:t xml:space="preserve"> et</w:t>
      </w:r>
      <w:r w:rsidR="008A5B1F" w:rsidRPr="00731644">
        <w:rPr>
          <w:lang w:val="fr-CH"/>
        </w:rPr>
        <w:t xml:space="preserve"> </w:t>
      </w:r>
      <w:r w:rsidR="001560B8" w:rsidRPr="00731644">
        <w:rPr>
          <w:lang w:val="fr-CH"/>
        </w:rPr>
        <w:t>de l</w:t>
      </w:r>
      <w:r w:rsidR="00425386" w:rsidRPr="00731644">
        <w:rPr>
          <w:lang w:val="fr-CH"/>
        </w:rPr>
        <w:t>’</w:t>
      </w:r>
      <w:r w:rsidR="001560B8" w:rsidRPr="00731644">
        <w:rPr>
          <w:lang w:val="fr-CH"/>
        </w:rPr>
        <w:t>éducation</w:t>
      </w:r>
      <w:r w:rsidR="00E868E5" w:rsidRPr="00731644">
        <w:rPr>
          <w:lang w:val="fr-CH"/>
        </w:rPr>
        <w:t>,</w:t>
      </w:r>
      <w:r w:rsidR="001560B8" w:rsidRPr="00731644">
        <w:rPr>
          <w:lang w:val="fr-CH"/>
        </w:rPr>
        <w:t xml:space="preserve"> la culture</w:t>
      </w:r>
      <w:r w:rsidR="008A5B1F" w:rsidRPr="00731644">
        <w:rPr>
          <w:lang w:val="fr-CH"/>
        </w:rPr>
        <w:t>, et</w:t>
      </w:r>
      <w:r w:rsidR="001560B8" w:rsidRPr="00731644">
        <w:rPr>
          <w:lang w:val="fr-CH"/>
        </w:rPr>
        <w:t xml:space="preserve"> l</w:t>
      </w:r>
      <w:r w:rsidR="00425386" w:rsidRPr="00731644">
        <w:rPr>
          <w:lang w:val="fr-CH"/>
        </w:rPr>
        <w:t>’</w:t>
      </w:r>
      <w:r w:rsidR="001560B8" w:rsidRPr="00731644">
        <w:rPr>
          <w:lang w:val="fr-CH"/>
        </w:rPr>
        <w:t xml:space="preserve">information </w:t>
      </w:r>
      <w:r w:rsidR="00B569C5" w:rsidRPr="00731644">
        <w:rPr>
          <w:lang w:val="fr-CH"/>
        </w:rPr>
        <w:t>des personnes</w:t>
      </w:r>
      <w:r w:rsidR="001560B8" w:rsidRPr="00731644">
        <w:rPr>
          <w:lang w:val="fr-CH"/>
        </w:rPr>
        <w:t xml:space="preserve"> malentendantes ou malvoyantes. </w:t>
      </w:r>
      <w:r w:rsidR="008A5B1F" w:rsidRPr="00731644">
        <w:rPr>
          <w:lang w:val="fr-CH"/>
        </w:rPr>
        <w:t>Afin</w:t>
      </w:r>
      <w:r w:rsidR="001560B8" w:rsidRPr="00731644">
        <w:rPr>
          <w:lang w:val="fr-CH"/>
        </w:rPr>
        <w:t xml:space="preserve"> de permettre l</w:t>
      </w:r>
      <w:r w:rsidR="00425386" w:rsidRPr="00731644">
        <w:rPr>
          <w:lang w:val="fr-CH"/>
        </w:rPr>
        <w:t>’</w:t>
      </w:r>
      <w:r w:rsidR="001560B8" w:rsidRPr="00731644">
        <w:rPr>
          <w:lang w:val="fr-CH"/>
        </w:rPr>
        <w:t>exercice de ces droits, le Monténégro alloue des fonds pour l</w:t>
      </w:r>
      <w:r w:rsidR="00425386" w:rsidRPr="00731644">
        <w:rPr>
          <w:lang w:val="fr-CH"/>
        </w:rPr>
        <w:t>’</w:t>
      </w:r>
      <w:r w:rsidR="001560B8" w:rsidRPr="00731644">
        <w:rPr>
          <w:lang w:val="fr-CH"/>
        </w:rPr>
        <w:t>élaboration de contenus en albanais et dans les langues des aut</w:t>
      </w:r>
      <w:r w:rsidR="00344946" w:rsidRPr="00731644">
        <w:rPr>
          <w:lang w:val="fr-CH"/>
        </w:rPr>
        <w:t>r</w:t>
      </w:r>
      <w:r w:rsidR="001560B8" w:rsidRPr="00731644">
        <w:rPr>
          <w:lang w:val="fr-CH"/>
        </w:rPr>
        <w:t xml:space="preserve">es groupes ethniques ou nationaux </w:t>
      </w:r>
      <w:r w:rsidR="00C776A4" w:rsidRPr="00731644">
        <w:rPr>
          <w:lang w:val="fr-CH"/>
        </w:rPr>
        <w:t>(</w:t>
      </w:r>
      <w:r w:rsidR="00F31DD5" w:rsidRPr="00731644">
        <w:rPr>
          <w:lang w:val="fr-CH"/>
        </w:rPr>
        <w:t>art. </w:t>
      </w:r>
      <w:r w:rsidR="00C776A4" w:rsidRPr="00731644">
        <w:rPr>
          <w:lang w:val="fr-CH"/>
        </w:rPr>
        <w:t xml:space="preserve">3). </w:t>
      </w:r>
      <w:r w:rsidR="001560B8" w:rsidRPr="00731644">
        <w:rPr>
          <w:lang w:val="fr-CH"/>
        </w:rPr>
        <w:t xml:space="preserve">La </w:t>
      </w:r>
      <w:r w:rsidR="001560B8" w:rsidRPr="00852F93">
        <w:rPr>
          <w:iCs/>
          <w:lang w:val="fr-CH"/>
        </w:rPr>
        <w:t xml:space="preserve">loi </w:t>
      </w:r>
      <w:r w:rsidR="00C658C6" w:rsidRPr="00852F93">
        <w:rPr>
          <w:iCs/>
          <w:lang w:val="fr-CH"/>
        </w:rPr>
        <w:t>relative aux</w:t>
      </w:r>
      <w:r w:rsidR="001560B8" w:rsidRPr="00852F93">
        <w:rPr>
          <w:iCs/>
          <w:lang w:val="fr-CH"/>
        </w:rPr>
        <w:t xml:space="preserve"> médias</w:t>
      </w:r>
      <w:r w:rsidR="001560B8" w:rsidRPr="00731644">
        <w:rPr>
          <w:lang w:val="fr-CH"/>
        </w:rPr>
        <w:t xml:space="preserve"> interdit la diffusion d</w:t>
      </w:r>
      <w:r w:rsidR="00425386" w:rsidRPr="00731644">
        <w:rPr>
          <w:lang w:val="fr-CH"/>
        </w:rPr>
        <w:t>’</w:t>
      </w:r>
      <w:r w:rsidR="001560B8" w:rsidRPr="00731644">
        <w:rPr>
          <w:lang w:val="fr-CH"/>
        </w:rPr>
        <w:t>informations et d</w:t>
      </w:r>
      <w:r w:rsidR="00425386" w:rsidRPr="00731644">
        <w:rPr>
          <w:lang w:val="fr-CH"/>
        </w:rPr>
        <w:t>’</w:t>
      </w:r>
      <w:r w:rsidR="001560B8" w:rsidRPr="00731644">
        <w:rPr>
          <w:lang w:val="fr-CH"/>
        </w:rPr>
        <w:t xml:space="preserve">opinions qui incitent à la </w:t>
      </w:r>
      <w:r w:rsidR="00C776A4" w:rsidRPr="00731644">
        <w:rPr>
          <w:lang w:val="fr-CH"/>
        </w:rPr>
        <w:t xml:space="preserve">discrimination, </w:t>
      </w:r>
      <w:r w:rsidR="001560B8" w:rsidRPr="00731644">
        <w:rPr>
          <w:lang w:val="fr-CH"/>
        </w:rPr>
        <w:t xml:space="preserve">la haine ou la </w:t>
      </w:r>
      <w:r w:rsidR="00C776A4" w:rsidRPr="00731644">
        <w:rPr>
          <w:lang w:val="fr-CH"/>
        </w:rPr>
        <w:t xml:space="preserve">violence </w:t>
      </w:r>
      <w:r w:rsidR="001560B8" w:rsidRPr="00731644">
        <w:rPr>
          <w:lang w:val="fr-CH"/>
        </w:rPr>
        <w:t>à l</w:t>
      </w:r>
      <w:r w:rsidR="00425386" w:rsidRPr="00731644">
        <w:rPr>
          <w:lang w:val="fr-CH"/>
        </w:rPr>
        <w:t>’</w:t>
      </w:r>
      <w:r w:rsidR="001560B8" w:rsidRPr="00731644">
        <w:rPr>
          <w:lang w:val="fr-CH"/>
        </w:rPr>
        <w:t xml:space="preserve">égard </w:t>
      </w:r>
      <w:r w:rsidR="00B569C5" w:rsidRPr="00731644">
        <w:rPr>
          <w:lang w:val="fr-CH"/>
        </w:rPr>
        <w:t>de personnes</w:t>
      </w:r>
      <w:r w:rsidR="001560B8" w:rsidRPr="00731644">
        <w:rPr>
          <w:lang w:val="fr-CH"/>
        </w:rPr>
        <w:t xml:space="preserve"> ou de groupes au</w:t>
      </w:r>
      <w:r w:rsidR="00F31DD5" w:rsidRPr="00731644">
        <w:rPr>
          <w:lang w:val="fr-CH"/>
        </w:rPr>
        <w:t xml:space="preserve"> </w:t>
      </w:r>
      <w:r w:rsidR="001560B8" w:rsidRPr="00731644">
        <w:rPr>
          <w:lang w:val="fr-CH"/>
        </w:rPr>
        <w:t>motif qu</w:t>
      </w:r>
      <w:r w:rsidR="00425386" w:rsidRPr="00731644">
        <w:rPr>
          <w:lang w:val="fr-CH"/>
        </w:rPr>
        <w:t>’</w:t>
      </w:r>
      <w:r w:rsidR="001560B8" w:rsidRPr="00731644">
        <w:rPr>
          <w:lang w:val="fr-CH"/>
        </w:rPr>
        <w:t>ils appartiennent</w:t>
      </w:r>
      <w:r w:rsidR="00502A32" w:rsidRPr="00731644">
        <w:rPr>
          <w:lang w:val="fr-CH"/>
        </w:rPr>
        <w:t>,</w:t>
      </w:r>
      <w:r w:rsidR="001560B8" w:rsidRPr="00731644">
        <w:rPr>
          <w:lang w:val="fr-CH"/>
        </w:rPr>
        <w:t xml:space="preserve"> ou n</w:t>
      </w:r>
      <w:r w:rsidR="00425386" w:rsidRPr="00731644">
        <w:rPr>
          <w:lang w:val="fr-CH"/>
        </w:rPr>
        <w:t>’</w:t>
      </w:r>
      <w:r w:rsidR="001560B8" w:rsidRPr="00731644">
        <w:rPr>
          <w:lang w:val="fr-CH"/>
        </w:rPr>
        <w:t>appartiennent pas</w:t>
      </w:r>
      <w:r w:rsidR="00502A32" w:rsidRPr="00731644">
        <w:rPr>
          <w:lang w:val="fr-CH"/>
        </w:rPr>
        <w:t>,</w:t>
      </w:r>
      <w:r w:rsidR="001560B8" w:rsidRPr="00731644">
        <w:rPr>
          <w:lang w:val="fr-CH"/>
        </w:rPr>
        <w:t xml:space="preserve"> </w:t>
      </w:r>
      <w:r w:rsidR="00502A32" w:rsidRPr="00731644">
        <w:rPr>
          <w:lang w:val="fr-CH"/>
        </w:rPr>
        <w:t>à une race, une religion, une</w:t>
      </w:r>
      <w:r w:rsidR="00C776A4" w:rsidRPr="00731644">
        <w:rPr>
          <w:lang w:val="fr-CH"/>
        </w:rPr>
        <w:t xml:space="preserve"> nation, </w:t>
      </w:r>
      <w:r w:rsidR="00502A32" w:rsidRPr="00731644">
        <w:rPr>
          <w:lang w:val="fr-CH"/>
        </w:rPr>
        <w:t>un groupe ethnique</w:t>
      </w:r>
      <w:r w:rsidR="00C776A4" w:rsidRPr="00731644">
        <w:rPr>
          <w:lang w:val="fr-CH"/>
        </w:rPr>
        <w:t xml:space="preserve">, </w:t>
      </w:r>
      <w:r w:rsidR="00502A32" w:rsidRPr="00731644">
        <w:rPr>
          <w:lang w:val="fr-CH"/>
        </w:rPr>
        <w:t xml:space="preserve">un </w:t>
      </w:r>
      <w:r w:rsidR="00C776A4" w:rsidRPr="00731644">
        <w:rPr>
          <w:lang w:val="fr-CH"/>
        </w:rPr>
        <w:t>sex</w:t>
      </w:r>
      <w:r w:rsidR="00502A32" w:rsidRPr="00731644">
        <w:rPr>
          <w:lang w:val="fr-CH"/>
        </w:rPr>
        <w:t>e ou une</w:t>
      </w:r>
      <w:r w:rsidR="00C776A4" w:rsidRPr="00731644">
        <w:rPr>
          <w:lang w:val="fr-CH"/>
        </w:rPr>
        <w:t xml:space="preserve"> orientation </w:t>
      </w:r>
      <w:r w:rsidR="00502A32" w:rsidRPr="00731644">
        <w:rPr>
          <w:lang w:val="fr-CH"/>
        </w:rPr>
        <w:t xml:space="preserve">sexuelle déterminés </w:t>
      </w:r>
      <w:r w:rsidR="00C776A4" w:rsidRPr="00731644">
        <w:rPr>
          <w:lang w:val="fr-CH"/>
        </w:rPr>
        <w:t>(</w:t>
      </w:r>
      <w:r w:rsidR="00F31DD5" w:rsidRPr="00731644">
        <w:rPr>
          <w:lang w:val="fr-CH"/>
        </w:rPr>
        <w:t>art. </w:t>
      </w:r>
      <w:r w:rsidR="001560B8" w:rsidRPr="00731644">
        <w:rPr>
          <w:lang w:val="fr-CH"/>
        </w:rPr>
        <w:t>23</w:t>
      </w:r>
      <w:r w:rsidR="00C776A4" w:rsidRPr="00731644">
        <w:rPr>
          <w:lang w:val="fr-CH"/>
        </w:rPr>
        <w:t>).</w:t>
      </w:r>
    </w:p>
    <w:p w:rsidR="00C776A4" w:rsidRPr="00731644" w:rsidRDefault="003B33B0" w:rsidP="00D53B48">
      <w:pPr>
        <w:pStyle w:val="SingleTxtG"/>
        <w:rPr>
          <w:lang w:val="fr-CH"/>
        </w:rPr>
      </w:pPr>
      <w:r w:rsidRPr="00731644">
        <w:rPr>
          <w:lang w:val="fr-CH"/>
        </w:rPr>
        <w:t>161.</w:t>
      </w:r>
      <w:r w:rsidRPr="00731644">
        <w:rPr>
          <w:lang w:val="fr-CH"/>
        </w:rPr>
        <w:tab/>
      </w:r>
      <w:r w:rsidR="00502A32" w:rsidRPr="00731644">
        <w:rPr>
          <w:lang w:val="fr-CH"/>
        </w:rPr>
        <w:t xml:space="preserve">La chapitre </w:t>
      </w:r>
      <w:r w:rsidR="00C776A4" w:rsidRPr="00731644">
        <w:rPr>
          <w:lang w:val="fr-CH"/>
        </w:rPr>
        <w:t>III</w:t>
      </w:r>
      <w:r w:rsidR="00502A32" w:rsidRPr="00731644">
        <w:rPr>
          <w:lang w:val="fr-CH"/>
        </w:rPr>
        <w:t xml:space="preserve">, Diffusion </w:t>
      </w:r>
      <w:r w:rsidR="00C658C6" w:rsidRPr="00731644">
        <w:rPr>
          <w:lang w:val="fr-CH"/>
        </w:rPr>
        <w:t xml:space="preserve">des </w:t>
      </w:r>
      <w:r w:rsidR="00502A32" w:rsidRPr="00731644">
        <w:rPr>
          <w:lang w:val="fr-CH"/>
        </w:rPr>
        <w:t>média</w:t>
      </w:r>
      <w:r w:rsidR="00C658C6" w:rsidRPr="00731644">
        <w:rPr>
          <w:lang w:val="fr-CH"/>
        </w:rPr>
        <w:t>s</w:t>
      </w:r>
      <w:r w:rsidR="00C776A4" w:rsidRPr="00731644">
        <w:rPr>
          <w:lang w:val="fr-CH"/>
        </w:rPr>
        <w:t xml:space="preserve"> (</w:t>
      </w:r>
      <w:r w:rsidR="00F31DD5" w:rsidRPr="00731644">
        <w:rPr>
          <w:lang w:val="fr-CH"/>
        </w:rPr>
        <w:t>art. </w:t>
      </w:r>
      <w:r w:rsidR="00C776A4" w:rsidRPr="00731644">
        <w:rPr>
          <w:lang w:val="fr-CH"/>
        </w:rPr>
        <w:t xml:space="preserve">10 </w:t>
      </w:r>
      <w:r w:rsidR="00502A32" w:rsidRPr="00731644">
        <w:rPr>
          <w:lang w:val="fr-CH"/>
        </w:rPr>
        <w:t>à</w:t>
      </w:r>
      <w:r w:rsidR="00C776A4" w:rsidRPr="00731644">
        <w:rPr>
          <w:lang w:val="fr-CH"/>
        </w:rPr>
        <w:t xml:space="preserve"> 17)</w:t>
      </w:r>
      <w:r w:rsidR="00F5309C" w:rsidRPr="00731644">
        <w:rPr>
          <w:lang w:val="fr-CH"/>
        </w:rPr>
        <w:t>,</w:t>
      </w:r>
      <w:r w:rsidR="00C776A4" w:rsidRPr="00731644">
        <w:rPr>
          <w:lang w:val="fr-CH"/>
        </w:rPr>
        <w:t xml:space="preserve"> </w:t>
      </w:r>
      <w:r w:rsidR="00502A32" w:rsidRPr="00731644">
        <w:rPr>
          <w:lang w:val="fr-CH"/>
        </w:rPr>
        <w:t xml:space="preserve">de la loi </w:t>
      </w:r>
      <w:r w:rsidR="00EE7356" w:rsidRPr="00731644">
        <w:rPr>
          <w:lang w:val="fr-CH"/>
        </w:rPr>
        <w:t>précitée</w:t>
      </w:r>
      <w:r w:rsidR="00502A32" w:rsidRPr="00731644">
        <w:rPr>
          <w:lang w:val="fr-CH"/>
        </w:rPr>
        <w:t xml:space="preserve"> indique que la juridiction compétente</w:t>
      </w:r>
      <w:r w:rsidR="00C658C6" w:rsidRPr="00731644">
        <w:rPr>
          <w:lang w:val="fr-CH"/>
        </w:rPr>
        <w:t xml:space="preserve"> peut</w:t>
      </w:r>
      <w:r w:rsidR="00502A32" w:rsidRPr="00731644">
        <w:rPr>
          <w:lang w:val="fr-CH"/>
        </w:rPr>
        <w:t>, sur la proposition du procureur, interdire la diffusion de contenus incitant à l</w:t>
      </w:r>
      <w:r w:rsidR="00425386" w:rsidRPr="00731644">
        <w:rPr>
          <w:lang w:val="fr-CH"/>
        </w:rPr>
        <w:t>’</w:t>
      </w:r>
      <w:r w:rsidR="00502A32" w:rsidRPr="00731644">
        <w:rPr>
          <w:lang w:val="fr-CH"/>
        </w:rPr>
        <w:t>intolérance ou à la haine nationale</w:t>
      </w:r>
      <w:r w:rsidR="00C658C6" w:rsidRPr="00731644">
        <w:rPr>
          <w:lang w:val="fr-CH"/>
        </w:rPr>
        <w:t>s</w:t>
      </w:r>
      <w:r w:rsidR="00502A32" w:rsidRPr="00731644">
        <w:rPr>
          <w:lang w:val="fr-CH"/>
        </w:rPr>
        <w:t>, raciale</w:t>
      </w:r>
      <w:r w:rsidR="00C658C6" w:rsidRPr="00731644">
        <w:rPr>
          <w:lang w:val="fr-CH"/>
        </w:rPr>
        <w:t>s</w:t>
      </w:r>
      <w:r w:rsidR="00502A32" w:rsidRPr="00731644">
        <w:rPr>
          <w:lang w:val="fr-CH"/>
        </w:rPr>
        <w:t xml:space="preserve"> ou religieuse</w:t>
      </w:r>
      <w:r w:rsidR="00C658C6" w:rsidRPr="00731644">
        <w:rPr>
          <w:lang w:val="fr-CH"/>
        </w:rPr>
        <w:t>s</w:t>
      </w:r>
      <w:r w:rsidR="00502A32" w:rsidRPr="00731644">
        <w:rPr>
          <w:lang w:val="fr-CH"/>
        </w:rPr>
        <w:t xml:space="preserve">. </w:t>
      </w:r>
    </w:p>
    <w:p w:rsidR="00C776A4" w:rsidRPr="00731644" w:rsidRDefault="003B33B0" w:rsidP="00C15A9A">
      <w:pPr>
        <w:pStyle w:val="SingleTxtG"/>
        <w:rPr>
          <w:lang w:val="fr-CH"/>
        </w:rPr>
      </w:pPr>
      <w:r w:rsidRPr="00731644">
        <w:rPr>
          <w:lang w:val="fr-CH"/>
        </w:rPr>
        <w:t>162.</w:t>
      </w:r>
      <w:r w:rsidRPr="00731644">
        <w:rPr>
          <w:lang w:val="fr-CH"/>
        </w:rPr>
        <w:tab/>
      </w:r>
      <w:r w:rsidR="00502A32" w:rsidRPr="00731644">
        <w:rPr>
          <w:lang w:val="fr-CH"/>
        </w:rPr>
        <w:t xml:space="preserve">La justice est la garante de la non-violation de la liberté </w:t>
      </w:r>
      <w:r w:rsidR="00EE7356" w:rsidRPr="00731644">
        <w:rPr>
          <w:lang w:val="fr-CH"/>
        </w:rPr>
        <w:t>de l</w:t>
      </w:r>
      <w:r w:rsidR="00425386" w:rsidRPr="00731644">
        <w:rPr>
          <w:lang w:val="fr-CH"/>
        </w:rPr>
        <w:t>’</w:t>
      </w:r>
      <w:r w:rsidR="00502A32" w:rsidRPr="00731644">
        <w:rPr>
          <w:lang w:val="fr-CH"/>
        </w:rPr>
        <w:t>information consacrée par la</w:t>
      </w:r>
      <w:r w:rsidR="00F31DD5" w:rsidRPr="00731644">
        <w:rPr>
          <w:lang w:val="fr-CH"/>
        </w:rPr>
        <w:t xml:space="preserve"> </w:t>
      </w:r>
      <w:r w:rsidR="00C776A4" w:rsidRPr="00731644">
        <w:rPr>
          <w:lang w:val="fr-CH"/>
        </w:rPr>
        <w:t xml:space="preserve">Constitution </w:t>
      </w:r>
      <w:r w:rsidR="00502A32" w:rsidRPr="00731644">
        <w:rPr>
          <w:lang w:val="fr-CH"/>
        </w:rPr>
        <w:t xml:space="preserve">et la législation </w:t>
      </w:r>
      <w:r w:rsidR="00F31DD5" w:rsidRPr="00731644">
        <w:rPr>
          <w:lang w:val="fr-CH"/>
        </w:rPr>
        <w:t>(art. </w:t>
      </w:r>
      <w:r w:rsidR="00C776A4" w:rsidRPr="00731644">
        <w:rPr>
          <w:lang w:val="fr-CH"/>
        </w:rPr>
        <w:t>4</w:t>
      </w:r>
      <w:r w:rsidR="00502A32" w:rsidRPr="00731644">
        <w:rPr>
          <w:lang w:val="fr-CH"/>
        </w:rPr>
        <w:t xml:space="preserve"> de la </w:t>
      </w:r>
      <w:r w:rsidR="00502A32" w:rsidRPr="009909C6">
        <w:rPr>
          <w:i/>
          <w:lang w:val="fr-CH"/>
        </w:rPr>
        <w:t>loi relative aux médias</w:t>
      </w:r>
      <w:r w:rsidR="00C776A4" w:rsidRPr="00731644">
        <w:rPr>
          <w:lang w:val="fr-CH"/>
        </w:rPr>
        <w:t>).</w:t>
      </w:r>
    </w:p>
    <w:p w:rsidR="00C776A4" w:rsidRPr="00731644" w:rsidRDefault="003B33B0" w:rsidP="00F5309C">
      <w:pPr>
        <w:pStyle w:val="SingleTxtG"/>
        <w:rPr>
          <w:lang w:val="fr-CH"/>
        </w:rPr>
      </w:pPr>
      <w:r w:rsidRPr="00731644">
        <w:rPr>
          <w:lang w:val="fr-CH"/>
        </w:rPr>
        <w:t>163.</w:t>
      </w:r>
      <w:r w:rsidRPr="00731644">
        <w:rPr>
          <w:b/>
          <w:lang w:val="fr-CH"/>
        </w:rPr>
        <w:tab/>
      </w:r>
      <w:r w:rsidR="00CB7736" w:rsidRPr="00F1384C">
        <w:rPr>
          <w:i/>
          <w:lang w:val="fr-CH"/>
        </w:rPr>
        <w:t>La loi relative aux médias électroniques</w:t>
      </w:r>
      <w:r w:rsidRPr="00F1384C">
        <w:rPr>
          <w:rStyle w:val="FootnoteReference"/>
          <w:lang w:val="fr-CH"/>
        </w:rPr>
        <w:footnoteReference w:id="16"/>
      </w:r>
      <w:r w:rsidR="00C776A4" w:rsidRPr="00731644">
        <w:rPr>
          <w:lang w:val="fr-CH"/>
        </w:rPr>
        <w:t xml:space="preserve"> </w:t>
      </w:r>
      <w:r w:rsidR="00CB7736" w:rsidRPr="00731644">
        <w:rPr>
          <w:lang w:val="fr-CH"/>
        </w:rPr>
        <w:t xml:space="preserve">régit les droits, obligations et responsabilités </w:t>
      </w:r>
      <w:r w:rsidR="00B569C5" w:rsidRPr="00731644">
        <w:rPr>
          <w:lang w:val="fr-CH"/>
        </w:rPr>
        <w:t>des personnes</w:t>
      </w:r>
      <w:r w:rsidR="00CB7736" w:rsidRPr="00731644">
        <w:rPr>
          <w:lang w:val="fr-CH"/>
        </w:rPr>
        <w:t xml:space="preserve"> morales et physiques qui produisent et distribuent des services audiovisuels</w:t>
      </w:r>
      <w:r w:rsidR="00C776A4" w:rsidRPr="00731644">
        <w:rPr>
          <w:lang w:val="fr-CH"/>
        </w:rPr>
        <w:t xml:space="preserve">, </w:t>
      </w:r>
      <w:r w:rsidR="00CB7736" w:rsidRPr="00731644">
        <w:rPr>
          <w:lang w:val="fr-CH"/>
        </w:rPr>
        <w:t>les compétences, le statut et les sources de financement de l</w:t>
      </w:r>
      <w:r w:rsidR="00425386" w:rsidRPr="00731644">
        <w:rPr>
          <w:lang w:val="fr-CH"/>
        </w:rPr>
        <w:t>’</w:t>
      </w:r>
      <w:r w:rsidR="00BD4754" w:rsidRPr="00731644">
        <w:rPr>
          <w:lang w:val="fr-CH"/>
        </w:rPr>
        <w:t>A</w:t>
      </w:r>
      <w:r w:rsidR="00CB7736" w:rsidRPr="00731644">
        <w:rPr>
          <w:lang w:val="fr-CH"/>
        </w:rPr>
        <w:t>gence des médias électroniques</w:t>
      </w:r>
      <w:r w:rsidR="00C776A4" w:rsidRPr="00731644">
        <w:rPr>
          <w:lang w:val="fr-CH"/>
        </w:rPr>
        <w:t xml:space="preserve">, </w:t>
      </w:r>
      <w:r w:rsidR="00CB7736" w:rsidRPr="00731644">
        <w:rPr>
          <w:lang w:val="fr-CH"/>
        </w:rPr>
        <w:t xml:space="preserve">la </w:t>
      </w:r>
      <w:r w:rsidR="00C776A4" w:rsidRPr="00731644">
        <w:rPr>
          <w:lang w:val="fr-CH"/>
        </w:rPr>
        <w:t xml:space="preserve">promotion </w:t>
      </w:r>
      <w:r w:rsidR="00CB7736" w:rsidRPr="00731644">
        <w:rPr>
          <w:lang w:val="fr-CH"/>
        </w:rPr>
        <w:t>du pluralisme des médias et d</w:t>
      </w:r>
      <w:r w:rsidR="00425386" w:rsidRPr="00731644">
        <w:rPr>
          <w:lang w:val="fr-CH"/>
        </w:rPr>
        <w:t>’</w:t>
      </w:r>
      <w:r w:rsidR="00CB7736" w:rsidRPr="00731644">
        <w:rPr>
          <w:lang w:val="fr-CH"/>
        </w:rPr>
        <w:t>autres questions d</w:t>
      </w:r>
      <w:r w:rsidR="00425386" w:rsidRPr="00731644">
        <w:rPr>
          <w:lang w:val="fr-CH"/>
        </w:rPr>
        <w:t>’</w:t>
      </w:r>
      <w:r w:rsidR="00CB7736" w:rsidRPr="00731644">
        <w:rPr>
          <w:lang w:val="fr-CH"/>
        </w:rPr>
        <w:t xml:space="preserve">importance </w:t>
      </w:r>
      <w:r w:rsidR="00DB41D9" w:rsidRPr="00731644">
        <w:rPr>
          <w:lang w:val="fr-CH"/>
        </w:rPr>
        <w:t>touchant</w:t>
      </w:r>
      <w:r w:rsidR="00CB7736" w:rsidRPr="00731644">
        <w:rPr>
          <w:lang w:val="fr-CH"/>
        </w:rPr>
        <w:t xml:space="preserve"> l</w:t>
      </w:r>
      <w:r w:rsidR="00425386" w:rsidRPr="00731644">
        <w:rPr>
          <w:lang w:val="fr-CH"/>
        </w:rPr>
        <w:t>’</w:t>
      </w:r>
      <w:r w:rsidR="00CB7736" w:rsidRPr="00731644">
        <w:rPr>
          <w:lang w:val="fr-CH"/>
        </w:rPr>
        <w:t xml:space="preserve">offre de services audiovisuels, conformément aux normes et conventions internationales </w:t>
      </w:r>
      <w:r w:rsidR="00C776A4" w:rsidRPr="00731644">
        <w:rPr>
          <w:lang w:val="fr-CH"/>
        </w:rPr>
        <w:t>(</w:t>
      </w:r>
      <w:r w:rsidR="00F31DD5" w:rsidRPr="00731644">
        <w:rPr>
          <w:lang w:val="fr-CH"/>
        </w:rPr>
        <w:t>art. </w:t>
      </w:r>
      <w:r w:rsidR="00F1384C">
        <w:rPr>
          <w:lang w:val="fr-CH"/>
        </w:rPr>
        <w:t>1</w:t>
      </w:r>
      <w:r w:rsidR="00F1384C" w:rsidRPr="00F1384C">
        <w:rPr>
          <w:vertAlign w:val="superscript"/>
          <w:lang w:val="fr-CH"/>
        </w:rPr>
        <w:t>er</w:t>
      </w:r>
      <w:r w:rsidR="00C776A4" w:rsidRPr="00731644">
        <w:rPr>
          <w:lang w:val="fr-CH"/>
        </w:rPr>
        <w:t xml:space="preserve">). </w:t>
      </w:r>
      <w:r w:rsidR="00F5309C" w:rsidRPr="00731644">
        <w:rPr>
          <w:lang w:val="fr-CH"/>
        </w:rPr>
        <w:t>La définition des relations dans les services audiovisuels repose sur les prin</w:t>
      </w:r>
      <w:r w:rsidR="00DB41D9" w:rsidRPr="00731644">
        <w:rPr>
          <w:lang w:val="fr-CH"/>
        </w:rPr>
        <w:t>c</w:t>
      </w:r>
      <w:r w:rsidR="00F5309C" w:rsidRPr="00731644">
        <w:rPr>
          <w:lang w:val="fr-CH"/>
        </w:rPr>
        <w:t xml:space="preserve">ipes suivants </w:t>
      </w:r>
      <w:r w:rsidR="00DB41D9" w:rsidRPr="00731644">
        <w:rPr>
          <w:lang w:val="fr-CH"/>
        </w:rPr>
        <w:t>(</w:t>
      </w:r>
      <w:r w:rsidR="00F31DD5" w:rsidRPr="00731644">
        <w:rPr>
          <w:lang w:val="fr-CH"/>
        </w:rPr>
        <w:t>art. </w:t>
      </w:r>
      <w:r w:rsidR="00DB41D9" w:rsidRPr="00731644">
        <w:rPr>
          <w:lang w:val="fr-CH"/>
        </w:rPr>
        <w:t>2)</w:t>
      </w:r>
      <w:r w:rsidR="00F31DD5" w:rsidRPr="00731644">
        <w:rPr>
          <w:lang w:val="fr-CH"/>
        </w:rPr>
        <w:t>:</w:t>
      </w:r>
      <w:r w:rsidR="00F5309C" w:rsidRPr="00731644">
        <w:rPr>
          <w:lang w:val="fr-CH"/>
        </w:rPr>
        <w:t xml:space="preserve"> liberté, professionnalisme et indépendance</w:t>
      </w:r>
      <w:r w:rsidR="00C776A4" w:rsidRPr="00731644">
        <w:rPr>
          <w:lang w:val="fr-CH"/>
        </w:rPr>
        <w:t>;</w:t>
      </w:r>
      <w:r w:rsidR="00DB41D9" w:rsidRPr="00731644">
        <w:rPr>
          <w:lang w:val="fr-CH"/>
        </w:rPr>
        <w:t xml:space="preserve"> </w:t>
      </w:r>
      <w:r w:rsidR="00F5309C" w:rsidRPr="00731644">
        <w:rPr>
          <w:lang w:val="fr-CH"/>
        </w:rPr>
        <w:t>interdiction de toutes les formes de censure</w:t>
      </w:r>
      <w:r w:rsidR="00F31DD5" w:rsidRPr="00731644">
        <w:rPr>
          <w:lang w:val="fr-CH"/>
        </w:rPr>
        <w:t>;</w:t>
      </w:r>
      <w:r w:rsidR="00C776A4" w:rsidRPr="00731644">
        <w:rPr>
          <w:lang w:val="fr-CH"/>
        </w:rPr>
        <w:t xml:space="preserve"> </w:t>
      </w:r>
      <w:r w:rsidR="00F5309C" w:rsidRPr="00731644">
        <w:rPr>
          <w:lang w:val="fr-CH"/>
        </w:rPr>
        <w:t>développement équilibré des fournisseurs de services audiovisuels publics et commerciaux</w:t>
      </w:r>
      <w:r w:rsidR="00F31DD5" w:rsidRPr="00731644">
        <w:rPr>
          <w:lang w:val="fr-CH"/>
        </w:rPr>
        <w:t>;</w:t>
      </w:r>
      <w:r w:rsidR="00DB41D9" w:rsidRPr="00731644">
        <w:rPr>
          <w:lang w:val="fr-CH"/>
        </w:rPr>
        <w:t xml:space="preserve"> </w:t>
      </w:r>
      <w:r w:rsidR="00F5309C" w:rsidRPr="00731644">
        <w:rPr>
          <w:lang w:val="fr-CH"/>
        </w:rPr>
        <w:t>accès libre et égal à tous les services audiovisuels</w:t>
      </w:r>
      <w:r w:rsidR="00F31DD5" w:rsidRPr="00731644">
        <w:rPr>
          <w:lang w:val="fr-CH"/>
        </w:rPr>
        <w:t>;</w:t>
      </w:r>
      <w:r w:rsidR="00C776A4" w:rsidRPr="00731644">
        <w:rPr>
          <w:lang w:val="fr-CH"/>
        </w:rPr>
        <w:t xml:space="preserve"> </w:t>
      </w:r>
      <w:r w:rsidR="00F5309C" w:rsidRPr="00731644">
        <w:rPr>
          <w:lang w:val="fr-CH"/>
        </w:rPr>
        <w:t>développement de la concurrence et du pluralisme</w:t>
      </w:r>
      <w:r w:rsidR="00F31DD5" w:rsidRPr="00731644">
        <w:rPr>
          <w:lang w:val="fr-CH"/>
        </w:rPr>
        <w:t xml:space="preserve">; </w:t>
      </w:r>
      <w:r w:rsidR="00C776A4" w:rsidRPr="00731644">
        <w:rPr>
          <w:lang w:val="fr-CH"/>
        </w:rPr>
        <w:t xml:space="preserve">application </w:t>
      </w:r>
      <w:r w:rsidR="00F5309C" w:rsidRPr="00731644">
        <w:rPr>
          <w:lang w:val="fr-CH"/>
        </w:rPr>
        <w:t xml:space="preserve">des normes </w:t>
      </w:r>
      <w:r w:rsidR="00C776A4" w:rsidRPr="00731644">
        <w:rPr>
          <w:lang w:val="fr-CH"/>
        </w:rPr>
        <w:t>international</w:t>
      </w:r>
      <w:r w:rsidR="00F5309C" w:rsidRPr="00731644">
        <w:rPr>
          <w:lang w:val="fr-CH"/>
        </w:rPr>
        <w:t>es</w:t>
      </w:r>
      <w:r w:rsidR="00F31DD5" w:rsidRPr="00731644">
        <w:rPr>
          <w:lang w:val="fr-CH"/>
        </w:rPr>
        <w:t>;</w:t>
      </w:r>
      <w:r w:rsidR="00C776A4" w:rsidRPr="00731644">
        <w:rPr>
          <w:lang w:val="fr-CH"/>
        </w:rPr>
        <w:t xml:space="preserve"> objectivit</w:t>
      </w:r>
      <w:r w:rsidR="00F5309C" w:rsidRPr="00731644">
        <w:rPr>
          <w:lang w:val="fr-CH"/>
        </w:rPr>
        <w:t>é</w:t>
      </w:r>
      <w:r w:rsidR="00C776A4" w:rsidRPr="00731644">
        <w:rPr>
          <w:lang w:val="fr-CH"/>
        </w:rPr>
        <w:t xml:space="preserve">, </w:t>
      </w:r>
      <w:r w:rsidR="00F5309C" w:rsidRPr="00731644">
        <w:rPr>
          <w:lang w:val="fr-CH"/>
        </w:rPr>
        <w:t xml:space="preserve">interdiction de la </w:t>
      </w:r>
      <w:r w:rsidR="00C776A4" w:rsidRPr="00731644">
        <w:rPr>
          <w:lang w:val="fr-CH"/>
        </w:rPr>
        <w:t>discrimination</w:t>
      </w:r>
      <w:r w:rsidR="00F5309C" w:rsidRPr="00731644">
        <w:rPr>
          <w:lang w:val="fr-CH"/>
        </w:rPr>
        <w:t xml:space="preserve"> et</w:t>
      </w:r>
      <w:r w:rsidR="00C776A4" w:rsidRPr="00731644">
        <w:rPr>
          <w:lang w:val="fr-CH"/>
        </w:rPr>
        <w:t xml:space="preserve"> transparenc</w:t>
      </w:r>
      <w:r w:rsidR="00F5309C" w:rsidRPr="00731644">
        <w:rPr>
          <w:lang w:val="fr-CH"/>
        </w:rPr>
        <w:t>e</w:t>
      </w:r>
      <w:r w:rsidR="00C776A4" w:rsidRPr="00731644">
        <w:rPr>
          <w:lang w:val="fr-CH"/>
        </w:rPr>
        <w:t xml:space="preserve">. </w:t>
      </w:r>
      <w:r w:rsidR="00F5309C" w:rsidRPr="00731644">
        <w:rPr>
          <w:lang w:val="fr-CH"/>
        </w:rPr>
        <w:t xml:space="preserve">Le Monténégro, conformément à </w:t>
      </w:r>
      <w:r w:rsidR="00374D76" w:rsidRPr="00731644">
        <w:rPr>
          <w:lang w:val="fr-CH"/>
        </w:rPr>
        <w:t>l</w:t>
      </w:r>
      <w:r w:rsidR="00425386" w:rsidRPr="00731644">
        <w:rPr>
          <w:lang w:val="fr-CH"/>
        </w:rPr>
        <w:t>’</w:t>
      </w:r>
      <w:r w:rsidR="001753EC">
        <w:rPr>
          <w:lang w:val="fr-CH"/>
        </w:rPr>
        <w:t>article </w:t>
      </w:r>
      <w:r w:rsidR="00C776A4" w:rsidRPr="00731644">
        <w:rPr>
          <w:lang w:val="fr-CH"/>
        </w:rPr>
        <w:t xml:space="preserve">5 </w:t>
      </w:r>
      <w:r w:rsidR="00F5309C" w:rsidRPr="00731644">
        <w:rPr>
          <w:lang w:val="fr-CH"/>
        </w:rPr>
        <w:t>de la loi, assure la liberté de réception et de</w:t>
      </w:r>
      <w:r w:rsidR="00C776A4" w:rsidRPr="00731644">
        <w:rPr>
          <w:lang w:val="fr-CH"/>
        </w:rPr>
        <w:t xml:space="preserve"> retransmission </w:t>
      </w:r>
      <w:r w:rsidR="00DB41D9" w:rsidRPr="00731644">
        <w:rPr>
          <w:lang w:val="fr-CH"/>
        </w:rPr>
        <w:t xml:space="preserve">des émissions des </w:t>
      </w:r>
      <w:r w:rsidR="00F5309C" w:rsidRPr="00731644">
        <w:rPr>
          <w:lang w:val="fr-CH"/>
        </w:rPr>
        <w:t>services audiovisuels des pays membres de l</w:t>
      </w:r>
      <w:r w:rsidR="00425386" w:rsidRPr="00731644">
        <w:rPr>
          <w:lang w:val="fr-CH"/>
        </w:rPr>
        <w:t>’</w:t>
      </w:r>
      <w:r w:rsidR="00DB41D9" w:rsidRPr="00731644">
        <w:rPr>
          <w:lang w:val="fr-CH"/>
        </w:rPr>
        <w:t>U</w:t>
      </w:r>
      <w:r w:rsidR="00F5309C" w:rsidRPr="00731644">
        <w:rPr>
          <w:lang w:val="fr-CH"/>
        </w:rPr>
        <w:t>nion européenne et des autres pays parties à la Convention européenne sur la télévision transfrontière</w:t>
      </w:r>
      <w:r w:rsidR="00F31DD5" w:rsidRPr="00731644">
        <w:rPr>
          <w:lang w:val="fr-CH"/>
        </w:rPr>
        <w:t>;</w:t>
      </w:r>
      <w:r w:rsidR="00F5309C" w:rsidRPr="00731644">
        <w:rPr>
          <w:lang w:val="fr-CH"/>
        </w:rPr>
        <w:t xml:space="preserve"> il peut dans certains cas restreindre la liberté de réception et de </w:t>
      </w:r>
      <w:r w:rsidR="00C776A4" w:rsidRPr="00731644">
        <w:rPr>
          <w:lang w:val="fr-CH"/>
        </w:rPr>
        <w:t>retransmission,</w:t>
      </w:r>
      <w:r w:rsidR="00F5309C" w:rsidRPr="00731644">
        <w:rPr>
          <w:lang w:val="fr-CH"/>
        </w:rPr>
        <w:t xml:space="preserve"> conformément aux accords internationaux et à cette loi, par exemple si le service audiovisuel </w:t>
      </w:r>
      <w:r w:rsidR="00BD4754" w:rsidRPr="00731644">
        <w:rPr>
          <w:lang w:val="fr-CH"/>
        </w:rPr>
        <w:t>considéré compromet la lutte contre l</w:t>
      </w:r>
      <w:r w:rsidR="00425386" w:rsidRPr="00731644">
        <w:rPr>
          <w:lang w:val="fr-CH"/>
        </w:rPr>
        <w:t>’</w:t>
      </w:r>
      <w:r w:rsidR="00BD4754" w:rsidRPr="00731644">
        <w:rPr>
          <w:lang w:val="fr-CH"/>
        </w:rPr>
        <w:t xml:space="preserve">incitation à la haine fondée sur la race, le sexe, la </w:t>
      </w:r>
      <w:r w:rsidR="00C776A4" w:rsidRPr="00731644">
        <w:rPr>
          <w:lang w:val="fr-CH"/>
        </w:rPr>
        <w:t xml:space="preserve">religion </w:t>
      </w:r>
      <w:r w:rsidR="00BD4754" w:rsidRPr="00731644">
        <w:rPr>
          <w:lang w:val="fr-CH"/>
        </w:rPr>
        <w:t xml:space="preserve">ou la </w:t>
      </w:r>
      <w:r w:rsidR="00C776A4" w:rsidRPr="00731644">
        <w:rPr>
          <w:lang w:val="fr-CH"/>
        </w:rPr>
        <w:t>nationalit</w:t>
      </w:r>
      <w:r w:rsidR="00BD4754" w:rsidRPr="00731644">
        <w:rPr>
          <w:lang w:val="fr-CH"/>
        </w:rPr>
        <w:t>é</w:t>
      </w:r>
      <w:r w:rsidR="00C776A4" w:rsidRPr="00731644">
        <w:rPr>
          <w:lang w:val="fr-CH"/>
        </w:rPr>
        <w:t xml:space="preserve"> (</w:t>
      </w:r>
      <w:r w:rsidR="00F31DD5" w:rsidRPr="00731644">
        <w:rPr>
          <w:lang w:val="fr-CH"/>
        </w:rPr>
        <w:t>art. </w:t>
      </w:r>
      <w:r w:rsidR="00C776A4" w:rsidRPr="00731644">
        <w:rPr>
          <w:lang w:val="fr-CH"/>
        </w:rPr>
        <w:t>6).</w:t>
      </w:r>
    </w:p>
    <w:p w:rsidR="00C776A4" w:rsidRPr="00731644" w:rsidRDefault="003B33B0" w:rsidP="007A429C">
      <w:pPr>
        <w:pStyle w:val="SingleTxtG"/>
        <w:rPr>
          <w:lang w:val="fr-CH"/>
        </w:rPr>
      </w:pPr>
      <w:r w:rsidRPr="00731644">
        <w:rPr>
          <w:lang w:val="fr-CH"/>
        </w:rPr>
        <w:t>164.</w:t>
      </w:r>
      <w:r w:rsidRPr="00731644">
        <w:rPr>
          <w:lang w:val="fr-CH"/>
        </w:rPr>
        <w:tab/>
      </w:r>
      <w:r w:rsidR="00DB41D9" w:rsidRPr="00731644">
        <w:rPr>
          <w:lang w:val="fr-CH"/>
        </w:rPr>
        <w:t>L</w:t>
      </w:r>
      <w:r w:rsidR="00425386" w:rsidRPr="00731644">
        <w:rPr>
          <w:lang w:val="fr-CH"/>
        </w:rPr>
        <w:t>’</w:t>
      </w:r>
      <w:r w:rsidR="00BD4754" w:rsidRPr="00731644">
        <w:rPr>
          <w:lang w:val="fr-CH"/>
        </w:rPr>
        <w:t>Agence des médias électroniques est un organe de rég</w:t>
      </w:r>
      <w:r w:rsidR="00DB41D9" w:rsidRPr="00731644">
        <w:rPr>
          <w:lang w:val="fr-CH"/>
        </w:rPr>
        <w:t>ulat</w:t>
      </w:r>
      <w:r w:rsidR="00BD4754" w:rsidRPr="00731644">
        <w:rPr>
          <w:lang w:val="fr-CH"/>
        </w:rPr>
        <w:t>ion indépendant des services</w:t>
      </w:r>
      <w:r w:rsidR="00DB41D9" w:rsidRPr="00731644">
        <w:rPr>
          <w:lang w:val="fr-CH"/>
        </w:rPr>
        <w:t xml:space="preserve"> a</w:t>
      </w:r>
      <w:r w:rsidR="00BD4754" w:rsidRPr="00731644">
        <w:rPr>
          <w:lang w:val="fr-CH"/>
        </w:rPr>
        <w:t>udiovisuels</w:t>
      </w:r>
      <w:r w:rsidR="001D09A3" w:rsidRPr="00731644">
        <w:rPr>
          <w:lang w:val="fr-CH"/>
        </w:rPr>
        <w:t>,</w:t>
      </w:r>
      <w:r w:rsidR="00BD4754" w:rsidRPr="00731644">
        <w:rPr>
          <w:lang w:val="fr-CH"/>
        </w:rPr>
        <w:t xml:space="preserve"> qui exerce des fonctions publiques conformément à la </w:t>
      </w:r>
      <w:r w:rsidR="00BD4754" w:rsidRPr="00852F93">
        <w:rPr>
          <w:iCs/>
          <w:lang w:val="fr-CH"/>
        </w:rPr>
        <w:t>loi sur les médias électroniques</w:t>
      </w:r>
      <w:r w:rsidR="001D09A3" w:rsidRPr="00852F93">
        <w:rPr>
          <w:iCs/>
          <w:lang w:val="fr-CH"/>
        </w:rPr>
        <w:t xml:space="preserve"> </w:t>
      </w:r>
      <w:r w:rsidR="001D09A3" w:rsidRPr="00731644">
        <w:rPr>
          <w:lang w:val="fr-CH"/>
        </w:rPr>
        <w:t>et qui</w:t>
      </w:r>
      <w:r w:rsidR="00BD4754" w:rsidRPr="00731644">
        <w:rPr>
          <w:lang w:val="fr-CH"/>
        </w:rPr>
        <w:t xml:space="preserve"> agit dans l</w:t>
      </w:r>
      <w:r w:rsidR="00425386" w:rsidRPr="00731644">
        <w:rPr>
          <w:lang w:val="fr-CH"/>
        </w:rPr>
        <w:t>’</w:t>
      </w:r>
      <w:r w:rsidR="00BD4754" w:rsidRPr="00731644">
        <w:rPr>
          <w:lang w:val="fr-CH"/>
        </w:rPr>
        <w:t>intérêt public. C</w:t>
      </w:r>
      <w:r w:rsidR="00425386" w:rsidRPr="00731644">
        <w:rPr>
          <w:lang w:val="fr-CH"/>
        </w:rPr>
        <w:t>’</w:t>
      </w:r>
      <w:r w:rsidR="00BD4754" w:rsidRPr="00731644">
        <w:rPr>
          <w:lang w:val="fr-CH"/>
        </w:rPr>
        <w:t xml:space="preserve">est une institution juridiquement et </w:t>
      </w:r>
      <w:r w:rsidR="001D09A3" w:rsidRPr="00731644">
        <w:rPr>
          <w:lang w:val="fr-CH"/>
        </w:rPr>
        <w:t>organiqu</w:t>
      </w:r>
      <w:r w:rsidR="00BD4754" w:rsidRPr="00731644">
        <w:rPr>
          <w:lang w:val="fr-CH"/>
        </w:rPr>
        <w:t>ement indépendante de toute administration et de toute personne physique ou morale produi</w:t>
      </w:r>
      <w:r w:rsidR="00DE0E88" w:rsidRPr="00731644">
        <w:rPr>
          <w:lang w:val="fr-CH"/>
        </w:rPr>
        <w:t>san</w:t>
      </w:r>
      <w:r w:rsidR="00BD4754" w:rsidRPr="00731644">
        <w:rPr>
          <w:lang w:val="fr-CH"/>
        </w:rPr>
        <w:t>t et diffus</w:t>
      </w:r>
      <w:r w:rsidR="00DE0E88" w:rsidRPr="00731644">
        <w:rPr>
          <w:lang w:val="fr-CH"/>
        </w:rPr>
        <w:t>ant</w:t>
      </w:r>
      <w:r w:rsidR="00BD4754" w:rsidRPr="00731644">
        <w:rPr>
          <w:lang w:val="fr-CH"/>
        </w:rPr>
        <w:t xml:space="preserve"> des émissions de radio ou de télévision ou assur</w:t>
      </w:r>
      <w:r w:rsidR="00DE0E88" w:rsidRPr="00731644">
        <w:rPr>
          <w:lang w:val="fr-CH"/>
        </w:rPr>
        <w:t>ant</w:t>
      </w:r>
      <w:r w:rsidR="00BD4754" w:rsidRPr="00731644">
        <w:rPr>
          <w:lang w:val="fr-CH"/>
        </w:rPr>
        <w:t xml:space="preserve"> d</w:t>
      </w:r>
      <w:r w:rsidR="00425386" w:rsidRPr="00731644">
        <w:rPr>
          <w:lang w:val="fr-CH"/>
        </w:rPr>
        <w:t>’</w:t>
      </w:r>
      <w:r w:rsidR="00BD4754" w:rsidRPr="00731644">
        <w:rPr>
          <w:lang w:val="fr-CH"/>
        </w:rPr>
        <w:t>autres services</w:t>
      </w:r>
      <w:r w:rsidR="00DB41D9" w:rsidRPr="00731644">
        <w:rPr>
          <w:lang w:val="fr-CH"/>
        </w:rPr>
        <w:t xml:space="preserve"> </w:t>
      </w:r>
      <w:r w:rsidR="00BD4754" w:rsidRPr="00731644">
        <w:rPr>
          <w:lang w:val="fr-CH"/>
        </w:rPr>
        <w:t>audiovisuels. Elle a été fondée par l</w:t>
      </w:r>
      <w:r w:rsidR="00425386" w:rsidRPr="00731644">
        <w:rPr>
          <w:lang w:val="fr-CH"/>
        </w:rPr>
        <w:t>’</w:t>
      </w:r>
      <w:r w:rsidR="00BD4754" w:rsidRPr="00731644">
        <w:rPr>
          <w:lang w:val="fr-CH"/>
        </w:rPr>
        <w:t>État, dont les droits à ce titre sont exercés par le Conseil de l</w:t>
      </w:r>
      <w:r w:rsidR="00425386" w:rsidRPr="00731644">
        <w:rPr>
          <w:lang w:val="fr-CH"/>
        </w:rPr>
        <w:t>’</w:t>
      </w:r>
      <w:r w:rsidR="00BD4754" w:rsidRPr="00731644">
        <w:rPr>
          <w:lang w:val="fr-CH"/>
        </w:rPr>
        <w:t xml:space="preserve">Agence, conformément à la loi </w:t>
      </w:r>
      <w:r w:rsidR="00C776A4" w:rsidRPr="00731644">
        <w:rPr>
          <w:lang w:val="fr-CH"/>
        </w:rPr>
        <w:t>(</w:t>
      </w:r>
      <w:r w:rsidR="00F31DD5" w:rsidRPr="00731644">
        <w:rPr>
          <w:lang w:val="fr-CH"/>
        </w:rPr>
        <w:t>art. </w:t>
      </w:r>
      <w:r w:rsidR="00C776A4" w:rsidRPr="00731644">
        <w:rPr>
          <w:lang w:val="fr-CH"/>
        </w:rPr>
        <w:t xml:space="preserve">9). </w:t>
      </w:r>
      <w:r w:rsidR="007C213E" w:rsidRPr="00731644">
        <w:rPr>
          <w:lang w:val="fr-CH"/>
        </w:rPr>
        <w:t xml:space="preserve">La loi </w:t>
      </w:r>
      <w:r w:rsidR="001D09A3" w:rsidRPr="00731644">
        <w:rPr>
          <w:lang w:val="fr-CH"/>
        </w:rPr>
        <w:t>énonce clairement</w:t>
      </w:r>
      <w:r w:rsidR="007C213E" w:rsidRPr="00731644">
        <w:rPr>
          <w:lang w:val="fr-CH"/>
        </w:rPr>
        <w:t xml:space="preserve"> les conditions, les processus et les modalités de délivrance des licences</w:t>
      </w:r>
      <w:r w:rsidR="00F31DD5" w:rsidRPr="00731644">
        <w:rPr>
          <w:lang w:val="fr-CH"/>
        </w:rPr>
        <w:t xml:space="preserve"> </w:t>
      </w:r>
      <w:r w:rsidR="007C213E" w:rsidRPr="00731644">
        <w:rPr>
          <w:lang w:val="fr-CH"/>
        </w:rPr>
        <w:t xml:space="preserve">de diffusion radiotélévisée, qui doivent </w:t>
      </w:r>
      <w:r w:rsidR="001D09A3" w:rsidRPr="00731644">
        <w:rPr>
          <w:lang w:val="fr-CH"/>
        </w:rPr>
        <w:t>reposer</w:t>
      </w:r>
      <w:r w:rsidR="007C213E" w:rsidRPr="00731644">
        <w:rPr>
          <w:lang w:val="fr-CH"/>
        </w:rPr>
        <w:t xml:space="preserve"> sur les principes de transparence et de visibilité des </w:t>
      </w:r>
      <w:r w:rsidR="001D09A3" w:rsidRPr="00731644">
        <w:rPr>
          <w:lang w:val="fr-CH"/>
        </w:rPr>
        <w:t>activités</w:t>
      </w:r>
      <w:r w:rsidR="007C213E" w:rsidRPr="00731644">
        <w:rPr>
          <w:lang w:val="fr-CH"/>
        </w:rPr>
        <w:t xml:space="preserve"> de l</w:t>
      </w:r>
      <w:r w:rsidR="00425386" w:rsidRPr="00731644">
        <w:rPr>
          <w:lang w:val="fr-CH"/>
        </w:rPr>
        <w:t>’</w:t>
      </w:r>
      <w:r w:rsidR="001D09A3" w:rsidRPr="00731644">
        <w:rPr>
          <w:lang w:val="fr-CH"/>
        </w:rPr>
        <w:t>autorité</w:t>
      </w:r>
      <w:r w:rsidR="007C213E" w:rsidRPr="00731644">
        <w:rPr>
          <w:lang w:val="fr-CH"/>
        </w:rPr>
        <w:t xml:space="preserve"> de régulation des médias électroniques. </w:t>
      </w:r>
    </w:p>
    <w:p w:rsidR="004E4BB9" w:rsidRPr="00731644" w:rsidRDefault="003B33B0" w:rsidP="00C776A4">
      <w:pPr>
        <w:pStyle w:val="SingleTxtG"/>
        <w:rPr>
          <w:lang w:val="fr-CH"/>
        </w:rPr>
      </w:pPr>
      <w:r w:rsidRPr="00731644">
        <w:rPr>
          <w:lang w:val="fr-CH"/>
        </w:rPr>
        <w:t>165.</w:t>
      </w:r>
      <w:r w:rsidRPr="00731644">
        <w:rPr>
          <w:lang w:val="fr-CH"/>
        </w:rPr>
        <w:tab/>
      </w:r>
      <w:r w:rsidR="001D09A3" w:rsidRPr="00731644">
        <w:rPr>
          <w:lang w:val="fr-CH"/>
        </w:rPr>
        <w:t>L</w:t>
      </w:r>
      <w:r w:rsidR="007C213E" w:rsidRPr="00731644">
        <w:rPr>
          <w:lang w:val="fr-CH"/>
        </w:rPr>
        <w:t>a délivrance des</w:t>
      </w:r>
      <w:r w:rsidR="001D09A3" w:rsidRPr="00731644">
        <w:rPr>
          <w:lang w:val="fr-CH"/>
        </w:rPr>
        <w:t xml:space="preserve"> </w:t>
      </w:r>
      <w:r w:rsidR="007C213E" w:rsidRPr="00731644">
        <w:rPr>
          <w:lang w:val="fr-CH"/>
        </w:rPr>
        <w:t xml:space="preserve">licences de diffusion radiotélévisée, le mode de financement de </w:t>
      </w:r>
      <w:r w:rsidR="004E4BB9" w:rsidRPr="00731644">
        <w:rPr>
          <w:lang w:val="fr-CH"/>
        </w:rPr>
        <w:t>l</w:t>
      </w:r>
      <w:r w:rsidR="00425386" w:rsidRPr="00731644">
        <w:rPr>
          <w:lang w:val="fr-CH"/>
        </w:rPr>
        <w:t>’</w:t>
      </w:r>
      <w:r w:rsidR="004E4BB9" w:rsidRPr="00731644">
        <w:rPr>
          <w:lang w:val="fr-CH"/>
        </w:rPr>
        <w:t>Agence</w:t>
      </w:r>
      <w:r w:rsidR="007C213E" w:rsidRPr="00731644">
        <w:rPr>
          <w:lang w:val="fr-CH"/>
        </w:rPr>
        <w:t xml:space="preserve"> </w:t>
      </w:r>
      <w:r w:rsidR="001D09A3" w:rsidRPr="00731644">
        <w:rPr>
          <w:lang w:val="fr-CH"/>
        </w:rPr>
        <w:t>des</w:t>
      </w:r>
      <w:r w:rsidR="00F31DD5" w:rsidRPr="00731644">
        <w:rPr>
          <w:lang w:val="fr-CH"/>
        </w:rPr>
        <w:t xml:space="preserve"> </w:t>
      </w:r>
      <w:r w:rsidR="001D09A3" w:rsidRPr="00731644">
        <w:rPr>
          <w:lang w:val="fr-CH"/>
        </w:rPr>
        <w:t xml:space="preserve">médias électroniques </w:t>
      </w:r>
      <w:r w:rsidR="007C213E" w:rsidRPr="00731644">
        <w:rPr>
          <w:lang w:val="fr-CH"/>
        </w:rPr>
        <w:t xml:space="preserve">et </w:t>
      </w:r>
      <w:r w:rsidR="00624B2D" w:rsidRPr="00731644">
        <w:rPr>
          <w:lang w:val="fr-CH"/>
        </w:rPr>
        <w:t>le système de</w:t>
      </w:r>
      <w:r w:rsidR="007C213E" w:rsidRPr="00731644">
        <w:rPr>
          <w:lang w:val="fr-CH"/>
        </w:rPr>
        <w:t xml:space="preserve"> désignation des membres de son conseil sont les </w:t>
      </w:r>
      <w:r w:rsidR="001D09A3" w:rsidRPr="00731644">
        <w:rPr>
          <w:lang w:val="fr-CH"/>
        </w:rPr>
        <w:t>éléments</w:t>
      </w:r>
      <w:r w:rsidR="007C213E" w:rsidRPr="00731644">
        <w:rPr>
          <w:lang w:val="fr-CH"/>
        </w:rPr>
        <w:t xml:space="preserve"> qui, selon la loi précitée,</w:t>
      </w:r>
      <w:r w:rsidR="004E4BB9" w:rsidRPr="00731644">
        <w:rPr>
          <w:lang w:val="fr-CH"/>
        </w:rPr>
        <w:t xml:space="preserve"> </w:t>
      </w:r>
      <w:r w:rsidR="007C213E" w:rsidRPr="00731644">
        <w:rPr>
          <w:lang w:val="fr-CH"/>
        </w:rPr>
        <w:t xml:space="preserve">assurent </w:t>
      </w:r>
      <w:r w:rsidR="004E4BB9" w:rsidRPr="00731644">
        <w:rPr>
          <w:lang w:val="fr-CH"/>
        </w:rPr>
        <w:t>l</w:t>
      </w:r>
      <w:r w:rsidR="00425386" w:rsidRPr="00731644">
        <w:rPr>
          <w:lang w:val="fr-CH"/>
        </w:rPr>
        <w:t>’</w:t>
      </w:r>
      <w:r w:rsidR="007C213E" w:rsidRPr="00731644">
        <w:rPr>
          <w:lang w:val="fr-CH"/>
        </w:rPr>
        <w:t xml:space="preserve">indépendance </w:t>
      </w:r>
      <w:r w:rsidR="004E4BB9" w:rsidRPr="00731644">
        <w:rPr>
          <w:lang w:val="fr-CH"/>
        </w:rPr>
        <w:t>institutionnelle, politique et financière de l</w:t>
      </w:r>
      <w:r w:rsidR="00425386" w:rsidRPr="00731644">
        <w:rPr>
          <w:lang w:val="fr-CH"/>
        </w:rPr>
        <w:t>’</w:t>
      </w:r>
      <w:r w:rsidR="004E4BB9" w:rsidRPr="00731644">
        <w:rPr>
          <w:lang w:val="fr-CH"/>
        </w:rPr>
        <w:t xml:space="preserve">organe de régulation de la radiotélévision. </w:t>
      </w:r>
    </w:p>
    <w:p w:rsidR="004E4BB9" w:rsidRPr="00731644" w:rsidRDefault="003B33B0" w:rsidP="00491FBF">
      <w:pPr>
        <w:pStyle w:val="SingleTxtG"/>
        <w:rPr>
          <w:lang w:val="fr-CH"/>
        </w:rPr>
      </w:pPr>
      <w:r w:rsidRPr="00731644">
        <w:rPr>
          <w:iCs/>
          <w:lang w:val="fr-CH"/>
        </w:rPr>
        <w:t>166.</w:t>
      </w:r>
      <w:r w:rsidRPr="00731644">
        <w:rPr>
          <w:iCs/>
          <w:lang w:val="fr-CH"/>
        </w:rPr>
        <w:tab/>
      </w:r>
      <w:r w:rsidR="004E4BB9" w:rsidRPr="00731644">
        <w:rPr>
          <w:iCs/>
          <w:lang w:val="fr-CH"/>
        </w:rPr>
        <w:t xml:space="preserve">En </w:t>
      </w:r>
      <w:r w:rsidR="00C617DA" w:rsidRPr="00731644">
        <w:rPr>
          <w:iCs/>
          <w:lang w:val="fr-CH"/>
        </w:rPr>
        <w:t>application</w:t>
      </w:r>
      <w:r w:rsidR="004E4BB9" w:rsidRPr="00731644">
        <w:rPr>
          <w:iCs/>
          <w:lang w:val="fr-CH"/>
        </w:rPr>
        <w:t xml:space="preserve"> de </w:t>
      </w:r>
      <w:r w:rsidR="00374D76" w:rsidRPr="00731644">
        <w:rPr>
          <w:iCs/>
          <w:lang w:val="fr-CH"/>
        </w:rPr>
        <w:t>l</w:t>
      </w:r>
      <w:r w:rsidR="00425386" w:rsidRPr="00731644">
        <w:rPr>
          <w:iCs/>
          <w:lang w:val="fr-CH"/>
        </w:rPr>
        <w:t>’</w:t>
      </w:r>
      <w:r w:rsidR="001753EC">
        <w:rPr>
          <w:iCs/>
          <w:lang w:val="fr-CH"/>
        </w:rPr>
        <w:t>article </w:t>
      </w:r>
      <w:r w:rsidR="00C776A4" w:rsidRPr="00731644">
        <w:rPr>
          <w:iCs/>
          <w:lang w:val="fr-CH"/>
        </w:rPr>
        <w:t xml:space="preserve">48 </w:t>
      </w:r>
      <w:r w:rsidR="004E4BB9" w:rsidRPr="00731644">
        <w:rPr>
          <w:iCs/>
          <w:lang w:val="fr-CH"/>
        </w:rPr>
        <w:t>de cette loi, il est interdit d</w:t>
      </w:r>
      <w:r w:rsidR="00425386" w:rsidRPr="00731644">
        <w:rPr>
          <w:iCs/>
          <w:lang w:val="fr-CH"/>
        </w:rPr>
        <w:t>’</w:t>
      </w:r>
      <w:r w:rsidR="004E4BB9" w:rsidRPr="00731644">
        <w:rPr>
          <w:iCs/>
          <w:lang w:val="fr-CH"/>
        </w:rPr>
        <w:t xml:space="preserve">encourager ou de propager, à travers les services </w:t>
      </w:r>
      <w:r w:rsidR="00C617DA" w:rsidRPr="00731644">
        <w:rPr>
          <w:iCs/>
          <w:lang w:val="fr-CH"/>
        </w:rPr>
        <w:t>a</w:t>
      </w:r>
      <w:r w:rsidR="004E4BB9" w:rsidRPr="00731644">
        <w:rPr>
          <w:iCs/>
          <w:lang w:val="fr-CH"/>
        </w:rPr>
        <w:t xml:space="preserve">udiovisuels, la haine ou la discrimination </w:t>
      </w:r>
      <w:r w:rsidR="004E4BB9" w:rsidRPr="00731644">
        <w:rPr>
          <w:lang w:val="fr-CH"/>
        </w:rPr>
        <w:t>fondées sur la race, l</w:t>
      </w:r>
      <w:r w:rsidR="00425386" w:rsidRPr="00731644">
        <w:rPr>
          <w:lang w:val="fr-CH"/>
        </w:rPr>
        <w:t>’</w:t>
      </w:r>
      <w:r w:rsidR="004E4BB9" w:rsidRPr="00731644">
        <w:rPr>
          <w:lang w:val="fr-CH"/>
        </w:rPr>
        <w:t>appartenance ethnique,</w:t>
      </w:r>
      <w:r w:rsidR="00F31DD5" w:rsidRPr="00731644">
        <w:rPr>
          <w:lang w:val="fr-CH"/>
        </w:rPr>
        <w:t xml:space="preserve"> </w:t>
      </w:r>
      <w:r w:rsidR="004E4BB9" w:rsidRPr="00731644">
        <w:rPr>
          <w:lang w:val="fr-CH"/>
        </w:rPr>
        <w:t>la couleur, le sexe, la langue, la religion, les convictions politiques ou autres, l</w:t>
      </w:r>
      <w:r w:rsidR="00425386" w:rsidRPr="00731644">
        <w:rPr>
          <w:lang w:val="fr-CH"/>
        </w:rPr>
        <w:t>’</w:t>
      </w:r>
      <w:r w:rsidR="004E4BB9" w:rsidRPr="00731644">
        <w:rPr>
          <w:lang w:val="fr-CH"/>
        </w:rPr>
        <w:t>origine nationale ou sociale, la situation patrimoniale</w:t>
      </w:r>
      <w:r w:rsidR="00C617DA" w:rsidRPr="00731644">
        <w:rPr>
          <w:lang w:val="fr-CH"/>
        </w:rPr>
        <w:t>,</w:t>
      </w:r>
      <w:r w:rsidR="004E4BB9" w:rsidRPr="00731644">
        <w:rPr>
          <w:lang w:val="fr-CH"/>
        </w:rPr>
        <w:t xml:space="preserve"> l</w:t>
      </w:r>
      <w:r w:rsidR="00425386" w:rsidRPr="00731644">
        <w:rPr>
          <w:lang w:val="fr-CH"/>
        </w:rPr>
        <w:t>’</w:t>
      </w:r>
      <w:r w:rsidR="004E4BB9" w:rsidRPr="00731644">
        <w:rPr>
          <w:lang w:val="fr-CH"/>
        </w:rPr>
        <w:t>affiliation à un syndicat, l</w:t>
      </w:r>
      <w:r w:rsidR="00425386" w:rsidRPr="00731644">
        <w:rPr>
          <w:lang w:val="fr-CH"/>
        </w:rPr>
        <w:t>’</w:t>
      </w:r>
      <w:r w:rsidR="00C617DA" w:rsidRPr="00731644">
        <w:rPr>
          <w:lang w:val="fr-CH"/>
        </w:rPr>
        <w:t>instruc</w:t>
      </w:r>
      <w:r w:rsidR="004E4BB9" w:rsidRPr="00731644">
        <w:rPr>
          <w:lang w:val="fr-CH"/>
        </w:rPr>
        <w:t>tion, la condition sociale, la situation matrimoniale ou familiale</w:t>
      </w:r>
      <w:r w:rsidR="00491FBF" w:rsidRPr="00731644">
        <w:rPr>
          <w:lang w:val="fr-CH"/>
        </w:rPr>
        <w:t>, l</w:t>
      </w:r>
      <w:r w:rsidR="00425386" w:rsidRPr="00731644">
        <w:rPr>
          <w:lang w:val="fr-CH"/>
        </w:rPr>
        <w:t>’</w:t>
      </w:r>
      <w:r w:rsidR="00491FBF" w:rsidRPr="00731644">
        <w:rPr>
          <w:lang w:val="fr-CH"/>
        </w:rPr>
        <w:t>âge,</w:t>
      </w:r>
      <w:r w:rsidR="00F31DD5" w:rsidRPr="00731644">
        <w:rPr>
          <w:lang w:val="fr-CH"/>
        </w:rPr>
        <w:t xml:space="preserve"> </w:t>
      </w:r>
      <w:r w:rsidR="004E4BB9" w:rsidRPr="00731644">
        <w:rPr>
          <w:lang w:val="fr-CH"/>
        </w:rPr>
        <w:t>l</w:t>
      </w:r>
      <w:r w:rsidR="00425386" w:rsidRPr="00731644">
        <w:rPr>
          <w:lang w:val="fr-CH"/>
        </w:rPr>
        <w:t>’</w:t>
      </w:r>
      <w:r w:rsidR="004E4BB9" w:rsidRPr="00731644">
        <w:rPr>
          <w:lang w:val="fr-CH"/>
        </w:rPr>
        <w:t xml:space="preserve">état de santé, </w:t>
      </w:r>
      <w:r w:rsidR="00A80B16" w:rsidRPr="00731644">
        <w:rPr>
          <w:lang w:val="fr-CH"/>
        </w:rPr>
        <w:t>le handicap</w:t>
      </w:r>
      <w:r w:rsidR="004E4BB9" w:rsidRPr="00731644">
        <w:rPr>
          <w:lang w:val="fr-CH"/>
        </w:rPr>
        <w:t xml:space="preserve">, </w:t>
      </w:r>
      <w:r w:rsidR="00491FBF" w:rsidRPr="00731644">
        <w:rPr>
          <w:lang w:val="fr-CH"/>
        </w:rPr>
        <w:t>le patrimoine génétique, l</w:t>
      </w:r>
      <w:r w:rsidR="00425386" w:rsidRPr="00731644">
        <w:rPr>
          <w:lang w:val="fr-CH"/>
        </w:rPr>
        <w:t>’</w:t>
      </w:r>
      <w:r w:rsidR="00491FBF" w:rsidRPr="00731644">
        <w:rPr>
          <w:lang w:val="fr-CH"/>
        </w:rPr>
        <w:t>identité sexuelle ou l</w:t>
      </w:r>
      <w:r w:rsidR="00425386" w:rsidRPr="00731644">
        <w:rPr>
          <w:lang w:val="fr-CH"/>
        </w:rPr>
        <w:t>’</w:t>
      </w:r>
      <w:r w:rsidR="00491FBF" w:rsidRPr="00731644">
        <w:rPr>
          <w:lang w:val="fr-CH"/>
        </w:rPr>
        <w:t>orientation sexuelle.</w:t>
      </w:r>
    </w:p>
    <w:p w:rsidR="00C776A4" w:rsidRPr="00731644" w:rsidRDefault="001678CF" w:rsidP="00C15A9A">
      <w:pPr>
        <w:pStyle w:val="SingleTxtG"/>
        <w:rPr>
          <w:lang w:val="fr-CH"/>
        </w:rPr>
      </w:pPr>
      <w:r w:rsidRPr="00731644">
        <w:rPr>
          <w:bCs/>
          <w:lang w:val="fr-CH"/>
        </w:rPr>
        <w:t>167.</w:t>
      </w:r>
      <w:r w:rsidRPr="00731644">
        <w:rPr>
          <w:bCs/>
          <w:lang w:val="fr-CH"/>
        </w:rPr>
        <w:tab/>
      </w:r>
      <w:r w:rsidR="00491FBF" w:rsidRPr="00731644">
        <w:rPr>
          <w:bCs/>
          <w:lang w:val="fr-CH"/>
        </w:rPr>
        <w:t>L</w:t>
      </w:r>
      <w:r w:rsidR="00425386" w:rsidRPr="00731644">
        <w:rPr>
          <w:bCs/>
          <w:lang w:val="fr-CH"/>
        </w:rPr>
        <w:t>’</w:t>
      </w:r>
      <w:r w:rsidR="001753EC">
        <w:rPr>
          <w:bCs/>
          <w:lang w:val="fr-CH"/>
        </w:rPr>
        <w:t>article </w:t>
      </w:r>
      <w:r w:rsidR="00C776A4" w:rsidRPr="00731644">
        <w:rPr>
          <w:bCs/>
          <w:lang w:val="fr-CH"/>
        </w:rPr>
        <w:t xml:space="preserve">55 </w:t>
      </w:r>
      <w:r w:rsidR="00491FBF" w:rsidRPr="00731644">
        <w:rPr>
          <w:bCs/>
          <w:lang w:val="fr-CH"/>
        </w:rPr>
        <w:t xml:space="preserve">fait obligation aux organismes de radiotélévision de contribuer au respect et à la </w:t>
      </w:r>
      <w:r w:rsidR="00C776A4" w:rsidRPr="00731644">
        <w:rPr>
          <w:bCs/>
          <w:lang w:val="fr-CH"/>
        </w:rPr>
        <w:t xml:space="preserve">promotion </w:t>
      </w:r>
      <w:r w:rsidR="00A471B1" w:rsidRPr="00731644">
        <w:rPr>
          <w:bCs/>
          <w:lang w:val="fr-CH"/>
        </w:rPr>
        <w:t>des droits de l</w:t>
      </w:r>
      <w:r w:rsidR="00425386" w:rsidRPr="00731644">
        <w:rPr>
          <w:bCs/>
          <w:lang w:val="fr-CH"/>
        </w:rPr>
        <w:t>’</w:t>
      </w:r>
      <w:r w:rsidR="00A471B1" w:rsidRPr="00731644">
        <w:rPr>
          <w:bCs/>
          <w:lang w:val="fr-CH"/>
        </w:rPr>
        <w:t>homme et des libertés fondamentales, des valeurs et institutions de la démocratie et du pluralisme des idées.</w:t>
      </w:r>
      <w:r w:rsidR="00C776A4" w:rsidRPr="00731644">
        <w:rPr>
          <w:bCs/>
          <w:lang w:val="fr-CH"/>
        </w:rPr>
        <w:t xml:space="preserve"> </w:t>
      </w:r>
      <w:r w:rsidR="00A471B1" w:rsidRPr="00731644">
        <w:rPr>
          <w:bCs/>
          <w:lang w:val="fr-CH"/>
        </w:rPr>
        <w:t>Les organismes publics sont tenus</w:t>
      </w:r>
      <w:r w:rsidR="00C776A4" w:rsidRPr="00731644">
        <w:rPr>
          <w:bCs/>
          <w:lang w:val="fr-CH"/>
        </w:rPr>
        <w:t xml:space="preserve"> (</w:t>
      </w:r>
      <w:r w:rsidR="00F31DD5" w:rsidRPr="00731644">
        <w:rPr>
          <w:bCs/>
          <w:lang w:val="fr-CH"/>
        </w:rPr>
        <w:t>art. </w:t>
      </w:r>
      <w:r w:rsidR="00C776A4" w:rsidRPr="00731644">
        <w:rPr>
          <w:bCs/>
          <w:lang w:val="fr-CH"/>
        </w:rPr>
        <w:t xml:space="preserve">74) </w:t>
      </w:r>
      <w:r w:rsidR="00A471B1" w:rsidRPr="00731644">
        <w:rPr>
          <w:bCs/>
          <w:lang w:val="fr-CH"/>
        </w:rPr>
        <w:t>de produire et de diffuser des émissions de radio et/ou de télévision qui assurent</w:t>
      </w:r>
      <w:r w:rsidR="00F31DD5" w:rsidRPr="00731644">
        <w:rPr>
          <w:bCs/>
          <w:lang w:val="fr-CH"/>
        </w:rPr>
        <w:t xml:space="preserve"> </w:t>
      </w:r>
      <w:r w:rsidR="00A471B1" w:rsidRPr="00731644">
        <w:rPr>
          <w:bCs/>
          <w:lang w:val="fr-CH"/>
        </w:rPr>
        <w:t>l</w:t>
      </w:r>
      <w:r w:rsidR="00425386" w:rsidRPr="00731644">
        <w:rPr>
          <w:bCs/>
          <w:lang w:val="fr-CH"/>
        </w:rPr>
        <w:t>’</w:t>
      </w:r>
      <w:r w:rsidR="00A471B1" w:rsidRPr="00731644">
        <w:rPr>
          <w:bCs/>
          <w:lang w:val="fr-CH"/>
        </w:rPr>
        <w:t>exercice des droits et la satisfaction des intérêts des citoyens et autres entités dans le domaine de l</w:t>
      </w:r>
      <w:r w:rsidR="00425386" w:rsidRPr="00731644">
        <w:rPr>
          <w:bCs/>
          <w:lang w:val="fr-CH"/>
        </w:rPr>
        <w:t>’</w:t>
      </w:r>
      <w:r w:rsidR="00C776A4" w:rsidRPr="00731644">
        <w:rPr>
          <w:bCs/>
          <w:lang w:val="fr-CH"/>
        </w:rPr>
        <w:t xml:space="preserve">information </w:t>
      </w:r>
      <w:r w:rsidR="00A471B1" w:rsidRPr="00731644">
        <w:rPr>
          <w:bCs/>
          <w:lang w:val="fr-CH"/>
        </w:rPr>
        <w:t>et qui s</w:t>
      </w:r>
      <w:r w:rsidR="00425386" w:rsidRPr="00731644">
        <w:rPr>
          <w:bCs/>
          <w:lang w:val="fr-CH"/>
        </w:rPr>
        <w:t>’</w:t>
      </w:r>
      <w:r w:rsidR="00A471B1" w:rsidRPr="00731644">
        <w:rPr>
          <w:bCs/>
          <w:lang w:val="fr-CH"/>
        </w:rPr>
        <w:t xml:space="preserve">adressent </w:t>
      </w:r>
      <w:r w:rsidR="006038EC" w:rsidRPr="00731644">
        <w:rPr>
          <w:bCs/>
          <w:lang w:val="fr-CH"/>
        </w:rPr>
        <w:t>aux</w:t>
      </w:r>
      <w:r w:rsidR="00A471B1" w:rsidRPr="00731644">
        <w:rPr>
          <w:bCs/>
          <w:lang w:val="fr-CH"/>
        </w:rPr>
        <w:t xml:space="preserve"> différentes composantes de la société sans discrimination, eu égard en particulier à des groupes tels que l</w:t>
      </w:r>
      <w:r w:rsidR="00C617DA" w:rsidRPr="00731644">
        <w:rPr>
          <w:bCs/>
          <w:lang w:val="fr-CH"/>
        </w:rPr>
        <w:t>e</w:t>
      </w:r>
      <w:r w:rsidR="00A471B1" w:rsidRPr="00731644">
        <w:rPr>
          <w:bCs/>
          <w:lang w:val="fr-CH"/>
        </w:rPr>
        <w:t xml:space="preserve">s enfants et les jeunes, les membres des minorités et communautés nationales minoritaires, </w:t>
      </w:r>
      <w:r w:rsidR="00CB7658" w:rsidRPr="00731644">
        <w:rPr>
          <w:bCs/>
          <w:lang w:val="fr-CH"/>
        </w:rPr>
        <w:t>les personnes</w:t>
      </w:r>
      <w:r w:rsidR="00A471B1" w:rsidRPr="00731644">
        <w:rPr>
          <w:bCs/>
          <w:lang w:val="fr-CH"/>
        </w:rPr>
        <w:t xml:space="preserve"> handicapées, </w:t>
      </w:r>
      <w:r w:rsidR="00CB7658" w:rsidRPr="00731644">
        <w:rPr>
          <w:bCs/>
          <w:lang w:val="fr-CH"/>
        </w:rPr>
        <w:t>les personnes</w:t>
      </w:r>
      <w:r w:rsidR="00A471B1" w:rsidRPr="00731644">
        <w:rPr>
          <w:bCs/>
          <w:lang w:val="fr-CH"/>
        </w:rPr>
        <w:t xml:space="preserve"> vulnérables aux plans social </w:t>
      </w:r>
      <w:r w:rsidR="00C617DA" w:rsidRPr="00731644">
        <w:rPr>
          <w:bCs/>
          <w:lang w:val="fr-CH"/>
        </w:rPr>
        <w:t>ou</w:t>
      </w:r>
      <w:r w:rsidR="00A471B1" w:rsidRPr="00731644">
        <w:rPr>
          <w:bCs/>
          <w:lang w:val="fr-CH"/>
        </w:rPr>
        <w:t xml:space="preserve"> sanitaire</w:t>
      </w:r>
      <w:r w:rsidR="00C776A4" w:rsidRPr="00731644">
        <w:rPr>
          <w:bCs/>
          <w:lang w:val="fr-CH"/>
        </w:rPr>
        <w:t>, etc.</w:t>
      </w:r>
    </w:p>
    <w:p w:rsidR="00C776A4" w:rsidRPr="00731644" w:rsidRDefault="001678CF" w:rsidP="00D53B48">
      <w:pPr>
        <w:pStyle w:val="SingleTxtG"/>
        <w:rPr>
          <w:lang w:val="fr-CH"/>
        </w:rPr>
      </w:pPr>
      <w:r w:rsidRPr="00731644">
        <w:rPr>
          <w:lang w:val="fr-CH"/>
        </w:rPr>
        <w:t>168.</w:t>
      </w:r>
      <w:r w:rsidRPr="00731644">
        <w:rPr>
          <w:lang w:val="fr-CH"/>
        </w:rPr>
        <w:tab/>
      </w:r>
      <w:r w:rsidR="00C617DA" w:rsidRPr="00731644">
        <w:rPr>
          <w:lang w:val="fr-CH"/>
        </w:rPr>
        <w:t>En vertu de</w:t>
      </w:r>
      <w:r w:rsidR="00A471B1" w:rsidRPr="00731644">
        <w:rPr>
          <w:lang w:val="fr-CH"/>
        </w:rPr>
        <w:t xml:space="preserve"> </w:t>
      </w:r>
      <w:r w:rsidR="00374D76" w:rsidRPr="00731644">
        <w:rPr>
          <w:lang w:val="fr-CH"/>
        </w:rPr>
        <w:t>l</w:t>
      </w:r>
      <w:r w:rsidR="00425386" w:rsidRPr="00731644">
        <w:rPr>
          <w:lang w:val="fr-CH"/>
        </w:rPr>
        <w:t>’</w:t>
      </w:r>
      <w:r w:rsidR="001753EC">
        <w:rPr>
          <w:lang w:val="fr-CH"/>
        </w:rPr>
        <w:t>article </w:t>
      </w:r>
      <w:r w:rsidR="00C776A4" w:rsidRPr="00731644">
        <w:rPr>
          <w:lang w:val="fr-CH"/>
        </w:rPr>
        <w:t xml:space="preserve">76, </w:t>
      </w:r>
      <w:r w:rsidR="00A471B1" w:rsidRPr="00731644">
        <w:rPr>
          <w:lang w:val="fr-CH"/>
        </w:rPr>
        <w:t>est imputé au budget du Monténégro, c</w:t>
      </w:r>
      <w:r w:rsidR="00425386" w:rsidRPr="00731644">
        <w:rPr>
          <w:lang w:val="fr-CH"/>
        </w:rPr>
        <w:t>’</w:t>
      </w:r>
      <w:r w:rsidR="00A471B1" w:rsidRPr="00731644">
        <w:rPr>
          <w:lang w:val="fr-CH"/>
        </w:rPr>
        <w:t>est-à-dire à celui des co</w:t>
      </w:r>
      <w:r w:rsidR="008B312E" w:rsidRPr="00731644">
        <w:rPr>
          <w:lang w:val="fr-CH"/>
        </w:rPr>
        <w:t>llectivit</w:t>
      </w:r>
      <w:r w:rsidR="00A471B1" w:rsidRPr="00731644">
        <w:rPr>
          <w:lang w:val="fr-CH"/>
        </w:rPr>
        <w:t xml:space="preserve">és </w:t>
      </w:r>
      <w:r w:rsidR="008B312E" w:rsidRPr="00731644">
        <w:rPr>
          <w:lang w:val="fr-CH"/>
        </w:rPr>
        <w:t>locales autonomes</w:t>
      </w:r>
      <w:r w:rsidR="008521BE" w:rsidRPr="00731644">
        <w:rPr>
          <w:lang w:val="fr-CH"/>
        </w:rPr>
        <w:t>,</w:t>
      </w:r>
      <w:r w:rsidR="00A471B1" w:rsidRPr="00731644">
        <w:rPr>
          <w:lang w:val="fr-CH"/>
        </w:rPr>
        <w:t xml:space="preserve"> un financement partiel en vue de l</w:t>
      </w:r>
      <w:r w:rsidR="00425386" w:rsidRPr="00731644">
        <w:rPr>
          <w:lang w:val="fr-CH"/>
        </w:rPr>
        <w:t>’</w:t>
      </w:r>
      <w:r w:rsidR="00A471B1" w:rsidRPr="00731644">
        <w:rPr>
          <w:lang w:val="fr-CH"/>
        </w:rPr>
        <w:t>exercice</w:t>
      </w:r>
      <w:r w:rsidR="008521BE" w:rsidRPr="00731644">
        <w:rPr>
          <w:lang w:val="fr-CH"/>
        </w:rPr>
        <w:t xml:space="preserve">, sans discrimination, </w:t>
      </w:r>
      <w:r w:rsidR="00A471B1" w:rsidRPr="00731644">
        <w:rPr>
          <w:lang w:val="fr-CH"/>
        </w:rPr>
        <w:t xml:space="preserve">des droits </w:t>
      </w:r>
      <w:r w:rsidR="008521BE" w:rsidRPr="00731644">
        <w:rPr>
          <w:lang w:val="fr-CH"/>
        </w:rPr>
        <w:t>à l</w:t>
      </w:r>
      <w:r w:rsidR="00425386" w:rsidRPr="00731644">
        <w:rPr>
          <w:lang w:val="fr-CH"/>
        </w:rPr>
        <w:t>’</w:t>
      </w:r>
      <w:r w:rsidR="008521BE" w:rsidRPr="00731644">
        <w:rPr>
          <w:lang w:val="fr-CH"/>
        </w:rPr>
        <w:t>information</w:t>
      </w:r>
      <w:r w:rsidR="00F31DD5" w:rsidRPr="00731644">
        <w:rPr>
          <w:lang w:val="fr-CH"/>
        </w:rPr>
        <w:t xml:space="preserve"> </w:t>
      </w:r>
      <w:r w:rsidR="008521BE" w:rsidRPr="00731644">
        <w:rPr>
          <w:lang w:val="fr-CH"/>
        </w:rPr>
        <w:t xml:space="preserve">garantis par la </w:t>
      </w:r>
      <w:r w:rsidR="00C776A4" w:rsidRPr="00731644">
        <w:rPr>
          <w:lang w:val="fr-CH"/>
        </w:rPr>
        <w:t xml:space="preserve">Constitution </w:t>
      </w:r>
      <w:r w:rsidR="008521BE" w:rsidRPr="00731644">
        <w:rPr>
          <w:lang w:val="fr-CH"/>
        </w:rPr>
        <w:t>et la législation</w:t>
      </w:r>
      <w:r w:rsidR="00C776A4" w:rsidRPr="00731644">
        <w:rPr>
          <w:lang w:val="fr-CH"/>
        </w:rPr>
        <w:t xml:space="preserve">, </w:t>
      </w:r>
      <w:r w:rsidR="008B312E" w:rsidRPr="00731644">
        <w:rPr>
          <w:lang w:val="fr-CH"/>
        </w:rPr>
        <w:t>à partir</w:t>
      </w:r>
      <w:r w:rsidR="008521BE" w:rsidRPr="00731644">
        <w:rPr>
          <w:lang w:val="fr-CH"/>
        </w:rPr>
        <w:t xml:space="preserve"> de contenus importants pour</w:t>
      </w:r>
      <w:r w:rsidR="00F31DD5" w:rsidRPr="00731644">
        <w:rPr>
          <w:lang w:val="fr-CH"/>
        </w:rPr>
        <w:t>:</w:t>
      </w:r>
      <w:r w:rsidR="008521BE" w:rsidRPr="00731644">
        <w:rPr>
          <w:lang w:val="fr-CH"/>
        </w:rPr>
        <w:t xml:space="preserve"> le droit des citoyens du Monténégro d</w:t>
      </w:r>
      <w:r w:rsidR="00425386" w:rsidRPr="00731644">
        <w:rPr>
          <w:lang w:val="fr-CH"/>
        </w:rPr>
        <w:t>’</w:t>
      </w:r>
      <w:r w:rsidR="008521BE" w:rsidRPr="00731644">
        <w:rPr>
          <w:lang w:val="fr-CH"/>
        </w:rPr>
        <w:t xml:space="preserve">être informés des faits </w:t>
      </w:r>
      <w:r w:rsidR="008B312E" w:rsidRPr="00731644">
        <w:rPr>
          <w:lang w:val="fr-CH"/>
        </w:rPr>
        <w:t>dont ils</w:t>
      </w:r>
      <w:r w:rsidR="008521BE" w:rsidRPr="00731644">
        <w:rPr>
          <w:lang w:val="fr-CH"/>
        </w:rPr>
        <w:t xml:space="preserve"> doivent </w:t>
      </w:r>
      <w:r w:rsidR="008B312E" w:rsidRPr="00731644">
        <w:rPr>
          <w:lang w:val="fr-CH"/>
        </w:rPr>
        <w:t>avoir connaissance</w:t>
      </w:r>
      <w:r w:rsidR="00C776A4" w:rsidRPr="00731644">
        <w:rPr>
          <w:lang w:val="fr-CH"/>
        </w:rPr>
        <w:t xml:space="preserve">, </w:t>
      </w:r>
      <w:r w:rsidR="008521BE" w:rsidRPr="00731644">
        <w:rPr>
          <w:lang w:val="fr-CH"/>
        </w:rPr>
        <w:t>l</w:t>
      </w:r>
      <w:r w:rsidR="00425386" w:rsidRPr="00731644">
        <w:rPr>
          <w:lang w:val="fr-CH"/>
        </w:rPr>
        <w:t>’</w:t>
      </w:r>
      <w:r w:rsidR="008521BE" w:rsidRPr="00731644">
        <w:rPr>
          <w:lang w:val="fr-CH"/>
        </w:rPr>
        <w:t xml:space="preserve">exercice des droits des membres des nations et autres communautés nationales minoritaires </w:t>
      </w:r>
      <w:r w:rsidR="008B312E" w:rsidRPr="00731644">
        <w:rPr>
          <w:lang w:val="fr-CH"/>
        </w:rPr>
        <w:t xml:space="preserve">au Monténégro </w:t>
      </w:r>
      <w:r w:rsidR="008521BE" w:rsidRPr="00731644">
        <w:rPr>
          <w:lang w:val="fr-CH"/>
        </w:rPr>
        <w:t>ainsi que des communautés monténégrines à l</w:t>
      </w:r>
      <w:r w:rsidR="00425386" w:rsidRPr="00731644">
        <w:rPr>
          <w:lang w:val="fr-CH"/>
        </w:rPr>
        <w:t>’</w:t>
      </w:r>
      <w:r w:rsidR="008521BE" w:rsidRPr="00731644">
        <w:rPr>
          <w:lang w:val="fr-CH"/>
        </w:rPr>
        <w:t>étranger</w:t>
      </w:r>
      <w:r w:rsidR="00F31DD5" w:rsidRPr="00731644">
        <w:rPr>
          <w:lang w:val="fr-CH"/>
        </w:rPr>
        <w:t>;</w:t>
      </w:r>
      <w:r w:rsidR="00C776A4" w:rsidRPr="00731644">
        <w:rPr>
          <w:lang w:val="fr-CH"/>
        </w:rPr>
        <w:t xml:space="preserve"> </w:t>
      </w:r>
      <w:r w:rsidR="008521BE" w:rsidRPr="00731644">
        <w:rPr>
          <w:lang w:val="fr-CH"/>
        </w:rPr>
        <w:t>l</w:t>
      </w:r>
      <w:r w:rsidR="00425386" w:rsidRPr="00731644">
        <w:rPr>
          <w:lang w:val="fr-CH"/>
        </w:rPr>
        <w:t>’</w:t>
      </w:r>
      <w:r w:rsidR="008521BE" w:rsidRPr="00731644">
        <w:rPr>
          <w:lang w:val="fr-CH"/>
        </w:rPr>
        <w:t>exercice des droits de l</w:t>
      </w:r>
      <w:r w:rsidR="00425386" w:rsidRPr="00731644">
        <w:rPr>
          <w:lang w:val="fr-CH"/>
        </w:rPr>
        <w:t>’</w:t>
      </w:r>
      <w:r w:rsidR="008521BE" w:rsidRPr="00731644">
        <w:rPr>
          <w:lang w:val="fr-CH"/>
        </w:rPr>
        <w:t>homme et des droits politiques des citoyens et l</w:t>
      </w:r>
      <w:r w:rsidR="00425386" w:rsidRPr="00731644">
        <w:rPr>
          <w:lang w:val="fr-CH"/>
        </w:rPr>
        <w:t>’</w:t>
      </w:r>
      <w:r w:rsidR="008521BE" w:rsidRPr="00731644">
        <w:rPr>
          <w:lang w:val="fr-CH"/>
        </w:rPr>
        <w:t>améliorat</w:t>
      </w:r>
      <w:r w:rsidR="00686A30" w:rsidRPr="00731644">
        <w:rPr>
          <w:lang w:val="fr-CH"/>
        </w:rPr>
        <w:t>i</w:t>
      </w:r>
      <w:r w:rsidR="008521BE" w:rsidRPr="00731644">
        <w:rPr>
          <w:lang w:val="fr-CH"/>
        </w:rPr>
        <w:t xml:space="preserve">on </w:t>
      </w:r>
      <w:r w:rsidR="00686A30" w:rsidRPr="00731644">
        <w:rPr>
          <w:lang w:val="fr-CH"/>
        </w:rPr>
        <w:t xml:space="preserve">de la société civile </w:t>
      </w:r>
      <w:r w:rsidR="008B312E" w:rsidRPr="00731644">
        <w:rPr>
          <w:lang w:val="fr-CH"/>
        </w:rPr>
        <w:t xml:space="preserve">ainsi que des institutions </w:t>
      </w:r>
      <w:r w:rsidR="00686A30" w:rsidRPr="00731644">
        <w:rPr>
          <w:lang w:val="fr-CH"/>
        </w:rPr>
        <w:t>juridique</w:t>
      </w:r>
      <w:r w:rsidR="008B312E" w:rsidRPr="00731644">
        <w:rPr>
          <w:lang w:val="fr-CH"/>
        </w:rPr>
        <w:t>s</w:t>
      </w:r>
      <w:r w:rsidR="00686A30" w:rsidRPr="00731644">
        <w:rPr>
          <w:lang w:val="fr-CH"/>
        </w:rPr>
        <w:t xml:space="preserve"> et social</w:t>
      </w:r>
      <w:r w:rsidR="008B312E" w:rsidRPr="00731644">
        <w:rPr>
          <w:lang w:val="fr-CH"/>
        </w:rPr>
        <w:t>es</w:t>
      </w:r>
      <w:r w:rsidR="00686A30" w:rsidRPr="00731644">
        <w:rPr>
          <w:lang w:val="fr-CH"/>
        </w:rPr>
        <w:t xml:space="preserve"> </w:t>
      </w:r>
      <w:r w:rsidR="008B312E" w:rsidRPr="00731644">
        <w:rPr>
          <w:lang w:val="fr-CH"/>
        </w:rPr>
        <w:t>nationales</w:t>
      </w:r>
      <w:r w:rsidR="00F31DD5" w:rsidRPr="00731644">
        <w:rPr>
          <w:lang w:val="fr-CH"/>
        </w:rPr>
        <w:t>;</w:t>
      </w:r>
      <w:r w:rsidR="00C776A4" w:rsidRPr="00731644">
        <w:rPr>
          <w:lang w:val="fr-CH"/>
        </w:rPr>
        <w:t xml:space="preserve"> </w:t>
      </w:r>
      <w:r w:rsidR="00686A30" w:rsidRPr="00731644">
        <w:rPr>
          <w:lang w:val="fr-CH"/>
        </w:rPr>
        <w:t xml:space="preserve">la </w:t>
      </w:r>
      <w:r w:rsidR="008F7876" w:rsidRPr="00731644">
        <w:rPr>
          <w:lang w:val="fr-CH"/>
        </w:rPr>
        <w:t>préservation</w:t>
      </w:r>
      <w:r w:rsidR="00686A30" w:rsidRPr="00731644">
        <w:rPr>
          <w:lang w:val="fr-CH"/>
        </w:rPr>
        <w:t xml:space="preserve"> de l</w:t>
      </w:r>
      <w:r w:rsidR="00425386" w:rsidRPr="00731644">
        <w:rPr>
          <w:lang w:val="fr-CH"/>
        </w:rPr>
        <w:t>’</w:t>
      </w:r>
      <w:r w:rsidR="00686A30" w:rsidRPr="00731644">
        <w:rPr>
          <w:lang w:val="fr-CH"/>
        </w:rPr>
        <w:t>identité nationale et culturelle monténégrine et de l</w:t>
      </w:r>
      <w:r w:rsidR="00425386" w:rsidRPr="00731644">
        <w:rPr>
          <w:lang w:val="fr-CH"/>
        </w:rPr>
        <w:t>’</w:t>
      </w:r>
      <w:r w:rsidR="00686A30" w:rsidRPr="00731644">
        <w:rPr>
          <w:lang w:val="fr-CH"/>
        </w:rPr>
        <w:t>identité culturelle et ethnique des minorités et autres communautés nationales minoritaires</w:t>
      </w:r>
      <w:r w:rsidR="00F31DD5" w:rsidRPr="00731644">
        <w:rPr>
          <w:lang w:val="fr-CH"/>
        </w:rPr>
        <w:t>;</w:t>
      </w:r>
      <w:r w:rsidR="00686A30" w:rsidRPr="00731644">
        <w:rPr>
          <w:lang w:val="fr-CH"/>
        </w:rPr>
        <w:t xml:space="preserve"> l</w:t>
      </w:r>
      <w:r w:rsidR="00425386" w:rsidRPr="00731644">
        <w:rPr>
          <w:lang w:val="fr-CH"/>
        </w:rPr>
        <w:t>’</w:t>
      </w:r>
      <w:r w:rsidR="00686A30" w:rsidRPr="00731644">
        <w:rPr>
          <w:lang w:val="fr-CH"/>
        </w:rPr>
        <w:t>information</w:t>
      </w:r>
      <w:r w:rsidR="008F7876" w:rsidRPr="00731644">
        <w:rPr>
          <w:lang w:val="fr-CH"/>
        </w:rPr>
        <w:t xml:space="preserve"> </w:t>
      </w:r>
      <w:r w:rsidR="00B569C5" w:rsidRPr="00731644">
        <w:rPr>
          <w:lang w:val="fr-CH"/>
        </w:rPr>
        <w:t>des personnes</w:t>
      </w:r>
      <w:r w:rsidR="00686A30" w:rsidRPr="00731644">
        <w:rPr>
          <w:lang w:val="fr-CH"/>
        </w:rPr>
        <w:t xml:space="preserve"> malentendantes et malvoyantes</w:t>
      </w:r>
      <w:r w:rsidR="006038EC" w:rsidRPr="00731644">
        <w:rPr>
          <w:lang w:val="fr-CH"/>
        </w:rPr>
        <w:t>.</w:t>
      </w:r>
    </w:p>
    <w:p w:rsidR="007609CB" w:rsidRPr="00731644" w:rsidRDefault="001678CF" w:rsidP="00C15A9A">
      <w:pPr>
        <w:pStyle w:val="SingleTxtG"/>
        <w:rPr>
          <w:lang w:val="fr-CH"/>
        </w:rPr>
      </w:pPr>
      <w:r w:rsidRPr="00731644">
        <w:rPr>
          <w:lang w:val="fr-CH"/>
        </w:rPr>
        <w:t>169.</w:t>
      </w:r>
      <w:r w:rsidRPr="00731644">
        <w:rPr>
          <w:lang w:val="fr-CH"/>
        </w:rPr>
        <w:tab/>
      </w:r>
      <w:r w:rsidR="00686A30" w:rsidRPr="00731644">
        <w:rPr>
          <w:lang w:val="fr-CH"/>
        </w:rPr>
        <w:t>Aux fins de l</w:t>
      </w:r>
      <w:r w:rsidR="00425386" w:rsidRPr="00731644">
        <w:rPr>
          <w:lang w:val="fr-CH"/>
        </w:rPr>
        <w:t>’</w:t>
      </w:r>
      <w:r w:rsidR="00686A30" w:rsidRPr="00731644">
        <w:rPr>
          <w:lang w:val="fr-CH"/>
        </w:rPr>
        <w:t>exercice de ces droits, le budget du Monténégro, c</w:t>
      </w:r>
      <w:r w:rsidR="00425386" w:rsidRPr="00731644">
        <w:rPr>
          <w:lang w:val="fr-CH"/>
        </w:rPr>
        <w:t>’</w:t>
      </w:r>
      <w:r w:rsidR="00686A30" w:rsidRPr="00731644">
        <w:rPr>
          <w:lang w:val="fr-CH"/>
        </w:rPr>
        <w:t>est-à-dire celui des co</w:t>
      </w:r>
      <w:r w:rsidR="008F7876" w:rsidRPr="00731644">
        <w:rPr>
          <w:lang w:val="fr-CH"/>
        </w:rPr>
        <w:t>llectivités locales</w:t>
      </w:r>
      <w:r w:rsidR="00686A30" w:rsidRPr="00731644">
        <w:rPr>
          <w:lang w:val="fr-CH"/>
        </w:rPr>
        <w:t xml:space="preserve"> autonomes, assure le financement partiel du contenu d</w:t>
      </w:r>
      <w:r w:rsidR="00425386" w:rsidRPr="00731644">
        <w:rPr>
          <w:lang w:val="fr-CH"/>
        </w:rPr>
        <w:t>’</w:t>
      </w:r>
      <w:r w:rsidR="00686A30" w:rsidRPr="00731644">
        <w:rPr>
          <w:lang w:val="fr-CH"/>
        </w:rPr>
        <w:t>émissions diffusées en alba</w:t>
      </w:r>
      <w:r w:rsidR="008F7876" w:rsidRPr="00731644">
        <w:rPr>
          <w:lang w:val="fr-CH"/>
        </w:rPr>
        <w:t>nais et en romani</w:t>
      </w:r>
      <w:r w:rsidR="00C776A4" w:rsidRPr="00731644">
        <w:rPr>
          <w:lang w:val="fr-CH"/>
        </w:rPr>
        <w:t xml:space="preserve">. </w:t>
      </w:r>
      <w:r w:rsidR="00686A30" w:rsidRPr="00731644">
        <w:rPr>
          <w:lang w:val="fr-CH"/>
        </w:rPr>
        <w:t>La loi in</w:t>
      </w:r>
      <w:r w:rsidR="008F7876" w:rsidRPr="00731644">
        <w:rPr>
          <w:lang w:val="fr-CH"/>
        </w:rPr>
        <w:t>t</w:t>
      </w:r>
      <w:r w:rsidR="00686A30" w:rsidRPr="00731644">
        <w:rPr>
          <w:lang w:val="fr-CH"/>
        </w:rPr>
        <w:t xml:space="preserve">erdit </w:t>
      </w:r>
      <w:r w:rsidR="006038EC" w:rsidRPr="00731644">
        <w:rPr>
          <w:lang w:val="fr-CH"/>
        </w:rPr>
        <w:t xml:space="preserve">notamment </w:t>
      </w:r>
      <w:r w:rsidR="00686A30" w:rsidRPr="00731644">
        <w:rPr>
          <w:lang w:val="fr-CH"/>
        </w:rPr>
        <w:t>(</w:t>
      </w:r>
      <w:r w:rsidR="00F31DD5" w:rsidRPr="00731644">
        <w:rPr>
          <w:lang w:val="fr-CH"/>
        </w:rPr>
        <w:t>art. </w:t>
      </w:r>
      <w:r w:rsidR="00C776A4" w:rsidRPr="00731644">
        <w:rPr>
          <w:lang w:val="fr-CH"/>
        </w:rPr>
        <w:t>85</w:t>
      </w:r>
      <w:r w:rsidR="00686A30" w:rsidRPr="00731644">
        <w:rPr>
          <w:lang w:val="fr-CH"/>
        </w:rPr>
        <w:t>) d</w:t>
      </w:r>
      <w:r w:rsidR="00425386" w:rsidRPr="00731644">
        <w:rPr>
          <w:lang w:val="fr-CH"/>
        </w:rPr>
        <w:t>’</w:t>
      </w:r>
      <w:r w:rsidR="00686A30" w:rsidRPr="00731644">
        <w:rPr>
          <w:lang w:val="fr-CH"/>
        </w:rPr>
        <w:t xml:space="preserve">utiliser les moyens audiovisuels </w:t>
      </w:r>
      <w:r w:rsidR="00BF4F82" w:rsidRPr="00731644">
        <w:rPr>
          <w:lang w:val="fr-CH"/>
        </w:rPr>
        <w:t>pour</w:t>
      </w:r>
      <w:r w:rsidR="00686A30" w:rsidRPr="00731644">
        <w:rPr>
          <w:lang w:val="fr-CH"/>
        </w:rPr>
        <w:t xml:space="preserve"> porter atteinte à la dignité humaine et promouvoir</w:t>
      </w:r>
      <w:r w:rsidR="00BF4F82" w:rsidRPr="00731644">
        <w:rPr>
          <w:lang w:val="fr-CH"/>
        </w:rPr>
        <w:t xml:space="preserve"> une</w:t>
      </w:r>
      <w:r w:rsidR="00C776A4" w:rsidRPr="00731644">
        <w:rPr>
          <w:lang w:val="fr-CH"/>
        </w:rPr>
        <w:t xml:space="preserve"> discrimination </w:t>
      </w:r>
      <w:r w:rsidR="00BF4F82" w:rsidRPr="00731644">
        <w:rPr>
          <w:lang w:val="fr-CH"/>
        </w:rPr>
        <w:t>liée au sexe</w:t>
      </w:r>
      <w:r w:rsidR="00C776A4" w:rsidRPr="00731644">
        <w:rPr>
          <w:lang w:val="fr-CH"/>
        </w:rPr>
        <w:t xml:space="preserve">, </w:t>
      </w:r>
      <w:r w:rsidR="00BF4F82" w:rsidRPr="00731644">
        <w:rPr>
          <w:lang w:val="fr-CH"/>
        </w:rPr>
        <w:t xml:space="preserve">à la </w:t>
      </w:r>
      <w:r w:rsidR="00C776A4" w:rsidRPr="00731644">
        <w:rPr>
          <w:lang w:val="fr-CH"/>
        </w:rPr>
        <w:t xml:space="preserve">race, </w:t>
      </w:r>
      <w:r w:rsidR="00BF4F82" w:rsidRPr="00731644">
        <w:rPr>
          <w:lang w:val="fr-CH"/>
        </w:rPr>
        <w:t>à l</w:t>
      </w:r>
      <w:r w:rsidR="00425386" w:rsidRPr="00731644">
        <w:rPr>
          <w:lang w:val="fr-CH"/>
        </w:rPr>
        <w:t>’</w:t>
      </w:r>
      <w:r w:rsidR="00BF4F82" w:rsidRPr="00731644">
        <w:rPr>
          <w:lang w:val="fr-CH"/>
        </w:rPr>
        <w:t xml:space="preserve">origine </w:t>
      </w:r>
      <w:r w:rsidR="00C776A4" w:rsidRPr="00731644">
        <w:rPr>
          <w:lang w:val="fr-CH"/>
        </w:rPr>
        <w:t>national</w:t>
      </w:r>
      <w:r w:rsidR="00BF4F82" w:rsidRPr="00731644">
        <w:rPr>
          <w:lang w:val="fr-CH"/>
        </w:rPr>
        <w:t>e, à la</w:t>
      </w:r>
      <w:r w:rsidR="00C776A4" w:rsidRPr="00731644">
        <w:rPr>
          <w:lang w:val="fr-CH"/>
        </w:rPr>
        <w:t xml:space="preserve"> religion </w:t>
      </w:r>
      <w:r w:rsidR="00BF4F82" w:rsidRPr="00731644">
        <w:rPr>
          <w:lang w:val="fr-CH"/>
        </w:rPr>
        <w:t>ou aux convictions</w:t>
      </w:r>
      <w:r w:rsidR="00C776A4" w:rsidRPr="00731644">
        <w:rPr>
          <w:lang w:val="fr-CH"/>
        </w:rPr>
        <w:t xml:space="preserve">, </w:t>
      </w:r>
      <w:r w:rsidR="00BF4F82" w:rsidRPr="00731644">
        <w:rPr>
          <w:lang w:val="fr-CH"/>
        </w:rPr>
        <w:t>au handicap, à l</w:t>
      </w:r>
      <w:r w:rsidR="00425386" w:rsidRPr="00731644">
        <w:rPr>
          <w:lang w:val="fr-CH"/>
        </w:rPr>
        <w:t>’</w:t>
      </w:r>
      <w:r w:rsidR="00BF4F82" w:rsidRPr="00731644">
        <w:rPr>
          <w:lang w:val="fr-CH"/>
        </w:rPr>
        <w:t>âge ou à l</w:t>
      </w:r>
      <w:r w:rsidR="00425386" w:rsidRPr="00731644">
        <w:rPr>
          <w:lang w:val="fr-CH"/>
        </w:rPr>
        <w:t>’</w:t>
      </w:r>
      <w:r w:rsidR="00BF4F82" w:rsidRPr="00731644">
        <w:rPr>
          <w:lang w:val="fr-CH"/>
        </w:rPr>
        <w:t>orientation sexuelle. Elle prescrit (</w:t>
      </w:r>
      <w:r w:rsidR="00F31DD5" w:rsidRPr="00731644">
        <w:rPr>
          <w:lang w:val="fr-CH"/>
        </w:rPr>
        <w:t>art. </w:t>
      </w:r>
      <w:r w:rsidR="00C776A4" w:rsidRPr="00731644">
        <w:rPr>
          <w:lang w:val="fr-CH"/>
        </w:rPr>
        <w:t>136</w:t>
      </w:r>
      <w:r w:rsidR="00BF4F82" w:rsidRPr="00731644">
        <w:rPr>
          <w:lang w:val="fr-CH"/>
        </w:rPr>
        <w:t>)</w:t>
      </w:r>
      <w:r w:rsidR="00C776A4" w:rsidRPr="00731644">
        <w:rPr>
          <w:lang w:val="fr-CH"/>
        </w:rPr>
        <w:t xml:space="preserve"> </w:t>
      </w:r>
      <w:r w:rsidR="00BF4F82" w:rsidRPr="00731644">
        <w:rPr>
          <w:lang w:val="fr-CH"/>
        </w:rPr>
        <w:t>qu</w:t>
      </w:r>
      <w:r w:rsidR="00425386" w:rsidRPr="00731644">
        <w:rPr>
          <w:lang w:val="fr-CH"/>
        </w:rPr>
        <w:t>’</w:t>
      </w:r>
      <w:r w:rsidR="00BF4F82" w:rsidRPr="00731644">
        <w:rPr>
          <w:lang w:val="fr-CH"/>
        </w:rPr>
        <w:t xml:space="preserve">une partie, fixée par la loi régissant les jeux de hasard, des recettes tirées de ces jeux servira, selon des modalités définies par </w:t>
      </w:r>
      <w:r w:rsidR="008F7876" w:rsidRPr="00731644">
        <w:rPr>
          <w:lang w:val="fr-CH"/>
        </w:rPr>
        <w:t>ladite</w:t>
      </w:r>
      <w:r w:rsidR="00BF4F82" w:rsidRPr="00731644">
        <w:rPr>
          <w:lang w:val="fr-CH"/>
        </w:rPr>
        <w:t xml:space="preserve"> loi, à soutenir le pluralisme des médias, la </w:t>
      </w:r>
      <w:r w:rsidR="00C776A4" w:rsidRPr="00731644">
        <w:rPr>
          <w:lang w:val="fr-CH"/>
        </w:rPr>
        <w:t xml:space="preserve">production </w:t>
      </w:r>
      <w:r w:rsidR="00BF4F82" w:rsidRPr="00731644">
        <w:rPr>
          <w:lang w:val="fr-CH"/>
        </w:rPr>
        <w:t>d</w:t>
      </w:r>
      <w:r w:rsidR="00425386" w:rsidRPr="00731644">
        <w:rPr>
          <w:lang w:val="fr-CH"/>
        </w:rPr>
        <w:t>’</w:t>
      </w:r>
      <w:r w:rsidR="00BF4F82" w:rsidRPr="00731644">
        <w:rPr>
          <w:lang w:val="fr-CH"/>
        </w:rPr>
        <w:t xml:space="preserve">émissions par des chaînes et des stations commerciales et la préservation de la diversité des médias électroniques au Monténégro. </w:t>
      </w:r>
      <w:r w:rsidR="00160921" w:rsidRPr="00731644">
        <w:rPr>
          <w:lang w:val="fr-CH"/>
        </w:rPr>
        <w:t>Ces fonds seront utilisés afin d</w:t>
      </w:r>
      <w:r w:rsidR="00425386" w:rsidRPr="00731644">
        <w:rPr>
          <w:lang w:val="fr-CH"/>
        </w:rPr>
        <w:t>’</w:t>
      </w:r>
      <w:r w:rsidR="00160921" w:rsidRPr="00731644">
        <w:rPr>
          <w:lang w:val="fr-CH"/>
        </w:rPr>
        <w:t>encourager la production d</w:t>
      </w:r>
      <w:r w:rsidR="00425386" w:rsidRPr="00731644">
        <w:rPr>
          <w:lang w:val="fr-CH"/>
        </w:rPr>
        <w:t>’</w:t>
      </w:r>
      <w:r w:rsidR="00160921" w:rsidRPr="00731644">
        <w:rPr>
          <w:lang w:val="fr-CH"/>
        </w:rPr>
        <w:t>émissions commerciales conçues dans l</w:t>
      </w:r>
      <w:r w:rsidR="00425386" w:rsidRPr="00731644">
        <w:rPr>
          <w:lang w:val="fr-CH"/>
        </w:rPr>
        <w:t>’</w:t>
      </w:r>
      <w:r w:rsidR="00160921" w:rsidRPr="00731644">
        <w:rPr>
          <w:lang w:val="fr-CH"/>
        </w:rPr>
        <w:t>intérêt du public et particulièrement importantes</w:t>
      </w:r>
      <w:r w:rsidR="003306B9" w:rsidRPr="00731644">
        <w:rPr>
          <w:lang w:val="fr-CH"/>
        </w:rPr>
        <w:t>, d</w:t>
      </w:r>
      <w:r w:rsidR="00425386" w:rsidRPr="00731644">
        <w:rPr>
          <w:lang w:val="fr-CH"/>
        </w:rPr>
        <w:t>’</w:t>
      </w:r>
      <w:r w:rsidR="003306B9" w:rsidRPr="00731644">
        <w:rPr>
          <w:lang w:val="fr-CH"/>
        </w:rPr>
        <w:t xml:space="preserve">une part, </w:t>
      </w:r>
      <w:r w:rsidR="00160921" w:rsidRPr="00731644">
        <w:rPr>
          <w:lang w:val="fr-CH"/>
        </w:rPr>
        <w:t>pour les membres des nations et autres groupes nationau</w:t>
      </w:r>
      <w:r w:rsidR="006263AF" w:rsidRPr="00731644">
        <w:rPr>
          <w:lang w:val="fr-CH"/>
        </w:rPr>
        <w:t>x</w:t>
      </w:r>
      <w:r w:rsidR="00160921" w:rsidRPr="00731644">
        <w:rPr>
          <w:lang w:val="fr-CH"/>
        </w:rPr>
        <w:t xml:space="preserve"> minoritaires </w:t>
      </w:r>
      <w:r w:rsidR="006263AF" w:rsidRPr="00731644">
        <w:rPr>
          <w:lang w:val="fr-CH"/>
        </w:rPr>
        <w:t>du Monténégro</w:t>
      </w:r>
      <w:r w:rsidR="003306B9" w:rsidRPr="00731644">
        <w:rPr>
          <w:lang w:val="fr-CH"/>
        </w:rPr>
        <w:t>,</w:t>
      </w:r>
      <w:r w:rsidR="006263AF" w:rsidRPr="00731644">
        <w:rPr>
          <w:lang w:val="fr-CH"/>
        </w:rPr>
        <w:t xml:space="preserve"> et </w:t>
      </w:r>
      <w:r w:rsidR="003306B9" w:rsidRPr="00731644">
        <w:rPr>
          <w:lang w:val="fr-CH"/>
        </w:rPr>
        <w:t>d</w:t>
      </w:r>
      <w:r w:rsidR="00425386" w:rsidRPr="00731644">
        <w:rPr>
          <w:lang w:val="fr-CH"/>
        </w:rPr>
        <w:t>’</w:t>
      </w:r>
      <w:r w:rsidR="003306B9" w:rsidRPr="00731644">
        <w:rPr>
          <w:lang w:val="fr-CH"/>
        </w:rPr>
        <w:t xml:space="preserve">autre part, </w:t>
      </w:r>
      <w:r w:rsidR="006263AF" w:rsidRPr="00731644">
        <w:rPr>
          <w:lang w:val="fr-CH"/>
        </w:rPr>
        <w:t>pour</w:t>
      </w:r>
      <w:r w:rsidR="00F31DD5" w:rsidRPr="00731644">
        <w:rPr>
          <w:lang w:val="fr-CH"/>
        </w:rPr>
        <w:t>:</w:t>
      </w:r>
      <w:r w:rsidR="006263AF" w:rsidRPr="00731644">
        <w:rPr>
          <w:lang w:val="fr-CH"/>
        </w:rPr>
        <w:t xml:space="preserve"> </w:t>
      </w:r>
      <w:r w:rsidR="00C776A4" w:rsidRPr="00731644">
        <w:rPr>
          <w:lang w:val="fr-CH"/>
        </w:rPr>
        <w:t>promo</w:t>
      </w:r>
      <w:r w:rsidR="006263AF" w:rsidRPr="00731644">
        <w:rPr>
          <w:lang w:val="fr-CH"/>
        </w:rPr>
        <w:t>uvoir la</w:t>
      </w:r>
      <w:r w:rsidR="00C776A4" w:rsidRPr="00731644">
        <w:rPr>
          <w:lang w:val="fr-CH"/>
        </w:rPr>
        <w:t xml:space="preserve"> pr</w:t>
      </w:r>
      <w:r w:rsidR="006263AF" w:rsidRPr="00731644">
        <w:rPr>
          <w:lang w:val="fr-CH"/>
        </w:rPr>
        <w:t>é</w:t>
      </w:r>
      <w:r w:rsidR="00C776A4" w:rsidRPr="00731644">
        <w:rPr>
          <w:lang w:val="fr-CH"/>
        </w:rPr>
        <w:t xml:space="preserve">vention </w:t>
      </w:r>
      <w:r w:rsidR="006263AF" w:rsidRPr="00731644">
        <w:rPr>
          <w:lang w:val="fr-CH"/>
        </w:rPr>
        <w:t>et l</w:t>
      </w:r>
      <w:r w:rsidR="00425386" w:rsidRPr="00731644">
        <w:rPr>
          <w:lang w:val="fr-CH"/>
        </w:rPr>
        <w:t>’</w:t>
      </w:r>
      <w:r w:rsidR="00C776A4" w:rsidRPr="00731644">
        <w:rPr>
          <w:lang w:val="fr-CH"/>
        </w:rPr>
        <w:t xml:space="preserve">anticipation </w:t>
      </w:r>
      <w:r w:rsidR="006263AF" w:rsidRPr="00731644">
        <w:rPr>
          <w:lang w:val="fr-CH"/>
        </w:rPr>
        <w:t xml:space="preserve">de toutes les formes de </w:t>
      </w:r>
      <w:r w:rsidR="00C776A4" w:rsidRPr="00731644">
        <w:rPr>
          <w:lang w:val="fr-CH"/>
        </w:rPr>
        <w:t>discrimination</w:t>
      </w:r>
      <w:r w:rsidR="00F31DD5" w:rsidRPr="00731644">
        <w:rPr>
          <w:lang w:val="fr-CH"/>
        </w:rPr>
        <w:t>;</w:t>
      </w:r>
      <w:r w:rsidR="00C776A4" w:rsidRPr="00731644">
        <w:rPr>
          <w:lang w:val="fr-CH"/>
        </w:rPr>
        <w:t xml:space="preserve"> </w:t>
      </w:r>
      <w:r w:rsidR="006263AF" w:rsidRPr="00731644">
        <w:rPr>
          <w:lang w:val="fr-CH"/>
        </w:rPr>
        <w:t>favoriser</w:t>
      </w:r>
      <w:r w:rsidR="006038EC" w:rsidRPr="00731644">
        <w:rPr>
          <w:lang w:val="fr-CH"/>
        </w:rPr>
        <w:t xml:space="preserve"> </w:t>
      </w:r>
      <w:r w:rsidR="006263AF" w:rsidRPr="00731644">
        <w:rPr>
          <w:lang w:val="fr-CH"/>
        </w:rPr>
        <w:t>l</w:t>
      </w:r>
      <w:r w:rsidR="00425386" w:rsidRPr="00731644">
        <w:rPr>
          <w:lang w:val="fr-CH"/>
        </w:rPr>
        <w:t>’</w:t>
      </w:r>
      <w:r w:rsidR="00C776A4" w:rsidRPr="00731644">
        <w:rPr>
          <w:lang w:val="fr-CH"/>
        </w:rPr>
        <w:t>in</w:t>
      </w:r>
      <w:r w:rsidR="006038EC" w:rsidRPr="00731644">
        <w:rPr>
          <w:lang w:val="fr-CH"/>
        </w:rPr>
        <w:t>ser</w:t>
      </w:r>
      <w:r w:rsidR="00C776A4" w:rsidRPr="00731644">
        <w:rPr>
          <w:lang w:val="fr-CH"/>
        </w:rPr>
        <w:t xml:space="preserve">tion </w:t>
      </w:r>
      <w:r w:rsidR="006263AF" w:rsidRPr="00731644">
        <w:rPr>
          <w:lang w:val="fr-CH"/>
        </w:rPr>
        <w:t xml:space="preserve">sociale </w:t>
      </w:r>
      <w:r w:rsidR="00B569C5" w:rsidRPr="00731644">
        <w:rPr>
          <w:lang w:val="fr-CH"/>
        </w:rPr>
        <w:t>des personnes</w:t>
      </w:r>
      <w:r w:rsidR="006263AF" w:rsidRPr="00731644">
        <w:rPr>
          <w:lang w:val="fr-CH"/>
        </w:rPr>
        <w:t xml:space="preserve"> handicapées</w:t>
      </w:r>
      <w:r w:rsidR="00F31DD5" w:rsidRPr="00731644">
        <w:rPr>
          <w:lang w:val="fr-CH"/>
        </w:rPr>
        <w:t>;</w:t>
      </w:r>
      <w:r w:rsidR="006263AF" w:rsidRPr="00731644">
        <w:rPr>
          <w:lang w:val="fr-CH"/>
        </w:rPr>
        <w:t xml:space="preserve"> encourager les fournisseurs de services</w:t>
      </w:r>
      <w:r w:rsidR="003306B9" w:rsidRPr="00731644">
        <w:rPr>
          <w:lang w:val="fr-CH"/>
        </w:rPr>
        <w:t xml:space="preserve"> </w:t>
      </w:r>
      <w:r w:rsidR="006263AF" w:rsidRPr="00731644">
        <w:rPr>
          <w:lang w:val="fr-CH"/>
        </w:rPr>
        <w:t xml:space="preserve">audiovisuels à les rendre progressivement accessibles </w:t>
      </w:r>
      <w:r w:rsidR="00516407">
        <w:rPr>
          <w:lang w:val="fr-CH"/>
        </w:rPr>
        <w:t>aux personnes</w:t>
      </w:r>
      <w:r w:rsidR="006263AF" w:rsidRPr="00731644">
        <w:rPr>
          <w:lang w:val="fr-CH"/>
        </w:rPr>
        <w:t xml:space="preserve"> malen</w:t>
      </w:r>
      <w:r w:rsidR="003306B9" w:rsidRPr="00731644">
        <w:rPr>
          <w:lang w:val="fr-CH"/>
        </w:rPr>
        <w:t>t</w:t>
      </w:r>
      <w:r w:rsidR="006263AF" w:rsidRPr="00731644">
        <w:rPr>
          <w:lang w:val="fr-CH"/>
        </w:rPr>
        <w:t>endantes ou malvoyantes</w:t>
      </w:r>
      <w:r w:rsidR="00F31DD5" w:rsidRPr="00731644">
        <w:rPr>
          <w:lang w:val="fr-CH"/>
        </w:rPr>
        <w:t>;</w:t>
      </w:r>
      <w:r w:rsidR="00C776A4" w:rsidRPr="00731644">
        <w:rPr>
          <w:lang w:val="fr-CH"/>
        </w:rPr>
        <w:t xml:space="preserve"> </w:t>
      </w:r>
      <w:r w:rsidR="006263AF" w:rsidRPr="00731644">
        <w:rPr>
          <w:lang w:val="fr-CH"/>
        </w:rPr>
        <w:t xml:space="preserve">promouvoir la jouissance et la </w:t>
      </w:r>
      <w:r w:rsidR="00C776A4" w:rsidRPr="00731644">
        <w:rPr>
          <w:lang w:val="fr-CH"/>
        </w:rPr>
        <w:t xml:space="preserve">protection </w:t>
      </w:r>
      <w:r w:rsidR="006263AF" w:rsidRPr="00731644">
        <w:rPr>
          <w:lang w:val="fr-CH"/>
        </w:rPr>
        <w:t>des droits de l</w:t>
      </w:r>
      <w:r w:rsidR="00425386" w:rsidRPr="00731644">
        <w:rPr>
          <w:lang w:val="fr-CH"/>
        </w:rPr>
        <w:t>’</w:t>
      </w:r>
      <w:r w:rsidR="006263AF" w:rsidRPr="00731644">
        <w:rPr>
          <w:lang w:val="fr-CH"/>
        </w:rPr>
        <w:t>homme</w:t>
      </w:r>
      <w:r w:rsidR="00F31DD5" w:rsidRPr="00731644">
        <w:rPr>
          <w:lang w:val="fr-CH"/>
        </w:rPr>
        <w:t>;</w:t>
      </w:r>
      <w:r w:rsidR="006263AF" w:rsidRPr="00731644">
        <w:rPr>
          <w:lang w:val="fr-CH"/>
        </w:rPr>
        <w:t xml:space="preserve"> encourager la sensibilisation à l</w:t>
      </w:r>
      <w:r w:rsidR="00425386" w:rsidRPr="00731644">
        <w:rPr>
          <w:lang w:val="fr-CH"/>
        </w:rPr>
        <w:t>’</w:t>
      </w:r>
      <w:r w:rsidR="006263AF" w:rsidRPr="00731644">
        <w:rPr>
          <w:lang w:val="fr-CH"/>
        </w:rPr>
        <w:t xml:space="preserve">égalité des sexes. </w:t>
      </w:r>
    </w:p>
    <w:p w:rsidR="001678CF" w:rsidRPr="00731644" w:rsidRDefault="00986C9D" w:rsidP="004A32AB">
      <w:pPr>
        <w:pStyle w:val="SingleTxtG"/>
        <w:rPr>
          <w:lang w:val="fr-CH"/>
        </w:rPr>
      </w:pPr>
      <w:r w:rsidRPr="00731644">
        <w:rPr>
          <w:lang w:val="fr-CH"/>
        </w:rPr>
        <w:t>170.</w:t>
      </w:r>
      <w:r w:rsidRPr="00731644">
        <w:rPr>
          <w:b/>
          <w:lang w:val="fr-CH"/>
        </w:rPr>
        <w:tab/>
      </w:r>
      <w:r w:rsidR="006263AF" w:rsidRPr="00852F93">
        <w:rPr>
          <w:iCs/>
          <w:lang w:val="fr-CH"/>
        </w:rPr>
        <w:t>La</w:t>
      </w:r>
      <w:r w:rsidR="006263AF" w:rsidRPr="002061AB">
        <w:rPr>
          <w:i/>
          <w:lang w:val="fr-CH"/>
        </w:rPr>
        <w:t xml:space="preserve"> loi relative aux services </w:t>
      </w:r>
      <w:r w:rsidR="007A49B7" w:rsidRPr="002061AB">
        <w:rPr>
          <w:i/>
          <w:lang w:val="fr-CH"/>
        </w:rPr>
        <w:t>publics de radiotélé</w:t>
      </w:r>
      <w:r w:rsidR="003306B9" w:rsidRPr="002061AB">
        <w:rPr>
          <w:i/>
          <w:lang w:val="fr-CH"/>
        </w:rPr>
        <w:t>v</w:t>
      </w:r>
      <w:r w:rsidR="007A49B7" w:rsidRPr="002061AB">
        <w:rPr>
          <w:i/>
          <w:lang w:val="fr-CH"/>
        </w:rPr>
        <w:t>ision</w:t>
      </w:r>
      <w:r w:rsidR="006263AF" w:rsidRPr="002061AB">
        <w:rPr>
          <w:i/>
          <w:lang w:val="fr-CH"/>
        </w:rPr>
        <w:t xml:space="preserve"> du Monténégro</w:t>
      </w:r>
      <w:r w:rsidRPr="00731644">
        <w:rPr>
          <w:rStyle w:val="FootnoteReference"/>
          <w:bCs/>
          <w:lang w:val="fr-CH"/>
        </w:rPr>
        <w:footnoteReference w:id="17"/>
      </w:r>
      <w:r w:rsidR="001678CF" w:rsidRPr="00731644">
        <w:rPr>
          <w:lang w:val="fr-CH"/>
        </w:rPr>
        <w:t xml:space="preserve"> </w:t>
      </w:r>
      <w:r w:rsidR="006263AF" w:rsidRPr="00731644">
        <w:rPr>
          <w:lang w:val="fr-CH"/>
        </w:rPr>
        <w:t xml:space="preserve">régit </w:t>
      </w:r>
      <w:r w:rsidR="00F92400" w:rsidRPr="00731644">
        <w:rPr>
          <w:lang w:val="fr-CH"/>
        </w:rPr>
        <w:t>les droits et obligations de</w:t>
      </w:r>
      <w:r w:rsidR="006263AF" w:rsidRPr="00731644">
        <w:rPr>
          <w:lang w:val="fr-CH"/>
        </w:rPr>
        <w:t xml:space="preserve"> la radio et de la télévision publi</w:t>
      </w:r>
      <w:r w:rsidR="00F92400" w:rsidRPr="00731644">
        <w:rPr>
          <w:lang w:val="fr-CH"/>
        </w:rPr>
        <w:t xml:space="preserve">ques </w:t>
      </w:r>
      <w:r w:rsidR="002760E7" w:rsidRPr="00731644">
        <w:rPr>
          <w:lang w:val="fr-CH"/>
        </w:rPr>
        <w:t xml:space="preserve">dans le </w:t>
      </w:r>
      <w:r w:rsidR="00F92400" w:rsidRPr="00731644">
        <w:rPr>
          <w:lang w:val="fr-CH"/>
        </w:rPr>
        <w:t>pays</w:t>
      </w:r>
      <w:r w:rsidR="002760E7" w:rsidRPr="00731644">
        <w:rPr>
          <w:lang w:val="fr-CH"/>
        </w:rPr>
        <w:t>age audiovisuel national</w:t>
      </w:r>
      <w:r w:rsidR="00F92400" w:rsidRPr="00731644">
        <w:rPr>
          <w:lang w:val="fr-CH"/>
        </w:rPr>
        <w:t>.</w:t>
      </w:r>
      <w:r w:rsidR="00F31DD5" w:rsidRPr="00731644">
        <w:rPr>
          <w:lang w:val="fr-CH"/>
        </w:rPr>
        <w:t xml:space="preserve"> </w:t>
      </w:r>
      <w:r w:rsidR="00F92400" w:rsidRPr="00731644">
        <w:rPr>
          <w:lang w:val="fr-CH"/>
        </w:rPr>
        <w:t xml:space="preserve">Le service de radiotélévision publique est, </w:t>
      </w:r>
      <w:r w:rsidR="002760E7" w:rsidRPr="00731644">
        <w:rPr>
          <w:lang w:val="fr-CH"/>
        </w:rPr>
        <w:t>en vertu</w:t>
      </w:r>
      <w:r w:rsidR="00F92400" w:rsidRPr="00731644">
        <w:rPr>
          <w:lang w:val="fr-CH"/>
        </w:rPr>
        <w:t xml:space="preserve"> de la loi, conçu pour </w:t>
      </w:r>
      <w:r w:rsidR="002760E7" w:rsidRPr="00731644">
        <w:rPr>
          <w:lang w:val="fr-CH"/>
        </w:rPr>
        <w:t>satisfaire et élargir</w:t>
      </w:r>
      <w:r w:rsidR="00813CBC" w:rsidRPr="00731644">
        <w:rPr>
          <w:lang w:val="fr-CH"/>
        </w:rPr>
        <w:t xml:space="preserve"> sans discrimination, à la faveur de </w:t>
      </w:r>
      <w:r w:rsidR="00F92400" w:rsidRPr="00731644">
        <w:rPr>
          <w:lang w:val="fr-CH"/>
        </w:rPr>
        <w:t>ses programmes</w:t>
      </w:r>
      <w:r w:rsidR="00813CBC" w:rsidRPr="00731644">
        <w:rPr>
          <w:lang w:val="fr-CH"/>
        </w:rPr>
        <w:t xml:space="preserve"> et de</w:t>
      </w:r>
      <w:r w:rsidR="00F92400" w:rsidRPr="00731644">
        <w:rPr>
          <w:lang w:val="fr-CH"/>
        </w:rPr>
        <w:t xml:space="preserve"> l</w:t>
      </w:r>
      <w:r w:rsidR="00425386" w:rsidRPr="00731644">
        <w:rPr>
          <w:lang w:val="fr-CH"/>
        </w:rPr>
        <w:t>’</w:t>
      </w:r>
      <w:r w:rsidR="00F92400" w:rsidRPr="00731644">
        <w:rPr>
          <w:lang w:val="fr-CH"/>
        </w:rPr>
        <w:t>application de normes élevées d</w:t>
      </w:r>
      <w:r w:rsidR="00425386" w:rsidRPr="00731644">
        <w:rPr>
          <w:lang w:val="fr-CH"/>
        </w:rPr>
        <w:t>’</w:t>
      </w:r>
      <w:r w:rsidR="00F92400" w:rsidRPr="00731644">
        <w:rPr>
          <w:lang w:val="fr-CH"/>
        </w:rPr>
        <w:t>éthique et de qualité professionnelles</w:t>
      </w:r>
      <w:r w:rsidR="002760E7" w:rsidRPr="00731644">
        <w:rPr>
          <w:lang w:val="fr-CH"/>
        </w:rPr>
        <w:t>,</w:t>
      </w:r>
      <w:r w:rsidR="00DC6640" w:rsidRPr="00731644">
        <w:rPr>
          <w:lang w:val="fr-CH"/>
        </w:rPr>
        <w:t xml:space="preserve"> les</w:t>
      </w:r>
      <w:r w:rsidR="00F92400" w:rsidRPr="00731644">
        <w:rPr>
          <w:lang w:val="fr-CH"/>
        </w:rPr>
        <w:t xml:space="preserve"> centres d</w:t>
      </w:r>
      <w:r w:rsidR="00425386" w:rsidRPr="00731644">
        <w:rPr>
          <w:lang w:val="fr-CH"/>
        </w:rPr>
        <w:t>’</w:t>
      </w:r>
      <w:r w:rsidR="00F92400" w:rsidRPr="00731644">
        <w:rPr>
          <w:lang w:val="fr-CH"/>
        </w:rPr>
        <w:t xml:space="preserve">intérêt du public national et local par des émissions </w:t>
      </w:r>
      <w:r w:rsidR="001678CF" w:rsidRPr="00731644">
        <w:rPr>
          <w:lang w:val="fr-CH"/>
        </w:rPr>
        <w:t>informati</w:t>
      </w:r>
      <w:r w:rsidR="002760E7" w:rsidRPr="00731644">
        <w:rPr>
          <w:lang w:val="fr-CH"/>
        </w:rPr>
        <w:t>ves</w:t>
      </w:r>
      <w:r w:rsidR="001678CF" w:rsidRPr="00731644">
        <w:rPr>
          <w:lang w:val="fr-CH"/>
        </w:rPr>
        <w:t>, cultur</w:t>
      </w:r>
      <w:r w:rsidR="00F92400" w:rsidRPr="00731644">
        <w:rPr>
          <w:lang w:val="fr-CH"/>
        </w:rPr>
        <w:t>elles</w:t>
      </w:r>
      <w:r w:rsidR="001678CF" w:rsidRPr="00731644">
        <w:rPr>
          <w:lang w:val="fr-CH"/>
        </w:rPr>
        <w:t xml:space="preserve">, </w:t>
      </w:r>
      <w:r w:rsidR="00F92400" w:rsidRPr="00731644">
        <w:rPr>
          <w:lang w:val="fr-CH"/>
        </w:rPr>
        <w:t>éducatives, sportives et récréatives,</w:t>
      </w:r>
      <w:r w:rsidR="00C666DC" w:rsidRPr="00731644">
        <w:rPr>
          <w:lang w:val="fr-CH"/>
        </w:rPr>
        <w:t xml:space="preserve"> en accordant une attention particulière aux enfants et aux jeunes, aux nations et autres groupes nationaux minoritaires, </w:t>
      </w:r>
      <w:r w:rsidR="00516407">
        <w:rPr>
          <w:lang w:val="fr-CH"/>
        </w:rPr>
        <w:t>aux personnes</w:t>
      </w:r>
      <w:r w:rsidR="00C666DC" w:rsidRPr="00731644">
        <w:rPr>
          <w:lang w:val="fr-CH"/>
        </w:rPr>
        <w:t xml:space="preserve"> handicapées, </w:t>
      </w:r>
      <w:r w:rsidR="00516407">
        <w:rPr>
          <w:lang w:val="fr-CH"/>
        </w:rPr>
        <w:t>aux personnes</w:t>
      </w:r>
      <w:r w:rsidR="00C666DC" w:rsidRPr="00731644">
        <w:rPr>
          <w:lang w:val="fr-CH"/>
        </w:rPr>
        <w:t xml:space="preserve"> socialement vulnérables et à d</w:t>
      </w:r>
      <w:r w:rsidR="00425386" w:rsidRPr="00731644">
        <w:rPr>
          <w:lang w:val="fr-CH"/>
        </w:rPr>
        <w:t>’</w:t>
      </w:r>
      <w:r w:rsidR="00C666DC" w:rsidRPr="00731644">
        <w:rPr>
          <w:lang w:val="fr-CH"/>
        </w:rPr>
        <w:t>autres groupes particuliers,</w:t>
      </w:r>
      <w:r w:rsidR="00F31DD5" w:rsidRPr="00731644">
        <w:rPr>
          <w:lang w:val="fr-CH"/>
        </w:rPr>
        <w:t xml:space="preserve"> </w:t>
      </w:r>
      <w:r w:rsidR="00C666DC" w:rsidRPr="00731644">
        <w:rPr>
          <w:lang w:val="fr-CH"/>
        </w:rPr>
        <w:t>assurant ainsi la promotion et le respect des droits de l</w:t>
      </w:r>
      <w:r w:rsidR="00425386" w:rsidRPr="00731644">
        <w:rPr>
          <w:lang w:val="fr-CH"/>
        </w:rPr>
        <w:t>’</w:t>
      </w:r>
      <w:r w:rsidR="00C666DC" w:rsidRPr="00731644">
        <w:rPr>
          <w:lang w:val="fr-CH"/>
        </w:rPr>
        <w:t xml:space="preserve">homme et des libertés, la promotion du pluralisme de la société et des idées sociales, la </w:t>
      </w:r>
      <w:r w:rsidR="0083174F" w:rsidRPr="00731644">
        <w:rPr>
          <w:lang w:val="fr-CH"/>
        </w:rPr>
        <w:t>promotion</w:t>
      </w:r>
      <w:r w:rsidR="00C666DC" w:rsidRPr="00731644">
        <w:rPr>
          <w:lang w:val="fr-CH"/>
        </w:rPr>
        <w:t xml:space="preserve"> d</w:t>
      </w:r>
      <w:r w:rsidR="00425386" w:rsidRPr="00731644">
        <w:rPr>
          <w:lang w:val="fr-CH"/>
        </w:rPr>
        <w:t>’</w:t>
      </w:r>
      <w:r w:rsidR="00C666DC" w:rsidRPr="00731644">
        <w:rPr>
          <w:lang w:val="fr-CH"/>
        </w:rPr>
        <w:t xml:space="preserve">une culture du dialogue public, ainsi que le respect de la diversité </w:t>
      </w:r>
      <w:r w:rsidR="0083174F" w:rsidRPr="00731644">
        <w:rPr>
          <w:lang w:val="fr-CH"/>
        </w:rPr>
        <w:t>linguistique</w:t>
      </w:r>
      <w:r w:rsidR="001678CF" w:rsidRPr="00731644">
        <w:rPr>
          <w:lang w:val="fr-CH"/>
        </w:rPr>
        <w:t xml:space="preserve">. </w:t>
      </w:r>
      <w:r w:rsidR="00C666DC" w:rsidRPr="00731644">
        <w:rPr>
          <w:lang w:val="fr-CH"/>
        </w:rPr>
        <w:t>Le service de radiotélévision publique contribue de la sorte à la libre</w:t>
      </w:r>
      <w:r w:rsidR="001678CF" w:rsidRPr="00731644">
        <w:rPr>
          <w:lang w:val="fr-CH"/>
        </w:rPr>
        <w:t xml:space="preserve"> formation </w:t>
      </w:r>
      <w:r w:rsidR="00C666DC" w:rsidRPr="00731644">
        <w:rPr>
          <w:lang w:val="fr-CH"/>
        </w:rPr>
        <w:t>de l</w:t>
      </w:r>
      <w:r w:rsidR="00425386" w:rsidRPr="00731644">
        <w:rPr>
          <w:lang w:val="fr-CH"/>
        </w:rPr>
        <w:t>’</w:t>
      </w:r>
      <w:r w:rsidR="001678CF" w:rsidRPr="00731644">
        <w:rPr>
          <w:lang w:val="fr-CH"/>
        </w:rPr>
        <w:t xml:space="preserve">opinion, </w:t>
      </w:r>
      <w:r w:rsidR="00DC6640" w:rsidRPr="00731644">
        <w:rPr>
          <w:lang w:val="fr-CH"/>
        </w:rPr>
        <w:t>grâce à</w:t>
      </w:r>
      <w:r w:rsidR="00C666DC" w:rsidRPr="00731644">
        <w:rPr>
          <w:lang w:val="fr-CH"/>
        </w:rPr>
        <w:t xml:space="preserve"> </w:t>
      </w:r>
      <w:r w:rsidR="00A22811" w:rsidRPr="00731644">
        <w:rPr>
          <w:lang w:val="fr-CH"/>
        </w:rPr>
        <w:t xml:space="preserve">son </w:t>
      </w:r>
      <w:r w:rsidR="00C666DC" w:rsidRPr="00731644">
        <w:rPr>
          <w:lang w:val="fr-CH"/>
        </w:rPr>
        <w:t xml:space="preserve">indépendance </w:t>
      </w:r>
      <w:r w:rsidR="00813CBC" w:rsidRPr="00731644">
        <w:rPr>
          <w:lang w:val="fr-CH"/>
        </w:rPr>
        <w:t>éditoriale en matière de grilles de programme</w:t>
      </w:r>
      <w:r w:rsidR="00C666DC" w:rsidRPr="00731644">
        <w:rPr>
          <w:lang w:val="fr-CH"/>
        </w:rPr>
        <w:t xml:space="preserve">, </w:t>
      </w:r>
      <w:r w:rsidR="00DC6640" w:rsidRPr="00731644">
        <w:rPr>
          <w:lang w:val="fr-CH"/>
        </w:rPr>
        <w:t>de</w:t>
      </w:r>
      <w:r w:rsidR="00C666DC" w:rsidRPr="00731644">
        <w:rPr>
          <w:lang w:val="fr-CH"/>
        </w:rPr>
        <w:t xml:space="preserve"> conception de la </w:t>
      </w:r>
      <w:r w:rsidR="001678CF" w:rsidRPr="00731644">
        <w:rPr>
          <w:lang w:val="fr-CH"/>
        </w:rPr>
        <w:t xml:space="preserve">production </w:t>
      </w:r>
      <w:r w:rsidR="00C666DC" w:rsidRPr="00731644">
        <w:rPr>
          <w:lang w:val="fr-CH"/>
        </w:rPr>
        <w:t xml:space="preserve">et de la </w:t>
      </w:r>
      <w:r w:rsidR="00265A3F" w:rsidRPr="00731644">
        <w:rPr>
          <w:lang w:val="fr-CH"/>
        </w:rPr>
        <w:t>distribut</w:t>
      </w:r>
      <w:r w:rsidR="00C666DC" w:rsidRPr="00731644">
        <w:rPr>
          <w:lang w:val="fr-CH"/>
        </w:rPr>
        <w:t xml:space="preserve">ion, </w:t>
      </w:r>
      <w:r w:rsidR="00DC6640" w:rsidRPr="00731644">
        <w:rPr>
          <w:lang w:val="fr-CH"/>
        </w:rPr>
        <w:t xml:space="preserve">de </w:t>
      </w:r>
      <w:r w:rsidR="00C666DC" w:rsidRPr="00731644">
        <w:rPr>
          <w:lang w:val="fr-CH"/>
        </w:rPr>
        <w:t xml:space="preserve">rédaction et </w:t>
      </w:r>
      <w:r w:rsidR="00DC6640" w:rsidRPr="00731644">
        <w:rPr>
          <w:lang w:val="fr-CH"/>
        </w:rPr>
        <w:t>de</w:t>
      </w:r>
      <w:r w:rsidR="00C666DC" w:rsidRPr="00731644">
        <w:rPr>
          <w:lang w:val="fr-CH"/>
        </w:rPr>
        <w:t xml:space="preserve"> </w:t>
      </w:r>
      <w:r w:rsidR="00265A3F" w:rsidRPr="00731644">
        <w:rPr>
          <w:lang w:val="fr-CH"/>
        </w:rPr>
        <w:t xml:space="preserve">diffusion </w:t>
      </w:r>
      <w:r w:rsidR="00DC6640" w:rsidRPr="00731644">
        <w:rPr>
          <w:lang w:val="fr-CH"/>
        </w:rPr>
        <w:t xml:space="preserve">des </w:t>
      </w:r>
      <w:r w:rsidR="00265A3F" w:rsidRPr="00731644">
        <w:rPr>
          <w:lang w:val="fr-CH"/>
        </w:rPr>
        <w:t>informations d</w:t>
      </w:r>
      <w:r w:rsidR="00425386" w:rsidRPr="00731644">
        <w:rPr>
          <w:lang w:val="fr-CH"/>
        </w:rPr>
        <w:t>’</w:t>
      </w:r>
      <w:r w:rsidR="00265A3F" w:rsidRPr="00731644">
        <w:rPr>
          <w:lang w:val="fr-CH"/>
        </w:rPr>
        <w:t xml:space="preserve">actualité, et </w:t>
      </w:r>
      <w:r w:rsidR="00DC6640" w:rsidRPr="00731644">
        <w:rPr>
          <w:lang w:val="fr-CH"/>
        </w:rPr>
        <w:t>d</w:t>
      </w:r>
      <w:r w:rsidR="00425386" w:rsidRPr="00731644">
        <w:rPr>
          <w:lang w:val="fr-CH"/>
        </w:rPr>
        <w:t>’</w:t>
      </w:r>
      <w:r w:rsidR="00265A3F" w:rsidRPr="00731644">
        <w:rPr>
          <w:lang w:val="fr-CH"/>
        </w:rPr>
        <w:t xml:space="preserve">organisation </w:t>
      </w:r>
      <w:r w:rsidR="00A22811" w:rsidRPr="00731644">
        <w:rPr>
          <w:lang w:val="fr-CH"/>
        </w:rPr>
        <w:t xml:space="preserve">de ses </w:t>
      </w:r>
      <w:r w:rsidR="00265A3F" w:rsidRPr="00731644">
        <w:rPr>
          <w:lang w:val="fr-CH"/>
        </w:rPr>
        <w:t xml:space="preserve">activités </w:t>
      </w:r>
      <w:r w:rsidR="001678CF" w:rsidRPr="00731644">
        <w:rPr>
          <w:lang w:val="fr-CH"/>
        </w:rPr>
        <w:t>(</w:t>
      </w:r>
      <w:r w:rsidR="00F31DD5" w:rsidRPr="00731644">
        <w:rPr>
          <w:lang w:val="fr-CH"/>
        </w:rPr>
        <w:t>art. </w:t>
      </w:r>
      <w:r w:rsidR="001678CF" w:rsidRPr="00731644">
        <w:rPr>
          <w:lang w:val="fr-CH"/>
        </w:rPr>
        <w:t xml:space="preserve">9). </w:t>
      </w:r>
    </w:p>
    <w:p w:rsidR="001678CF" w:rsidRPr="00731644" w:rsidRDefault="006243E3" w:rsidP="00386960">
      <w:pPr>
        <w:pStyle w:val="SingleTxtG"/>
        <w:rPr>
          <w:lang w:val="fr-CH"/>
        </w:rPr>
      </w:pPr>
      <w:r w:rsidRPr="00731644">
        <w:rPr>
          <w:lang w:val="fr-CH"/>
        </w:rPr>
        <w:t>171.</w:t>
      </w:r>
      <w:r w:rsidRPr="00731644">
        <w:rPr>
          <w:lang w:val="fr-CH"/>
        </w:rPr>
        <w:tab/>
      </w:r>
      <w:r w:rsidR="00265A3F" w:rsidRPr="00731644">
        <w:rPr>
          <w:lang w:val="fr-CH"/>
        </w:rPr>
        <w:t>Comme l</w:t>
      </w:r>
      <w:r w:rsidR="00425386" w:rsidRPr="00731644">
        <w:rPr>
          <w:lang w:val="fr-CH"/>
        </w:rPr>
        <w:t>’</w:t>
      </w:r>
      <w:r w:rsidR="00265A3F" w:rsidRPr="00731644">
        <w:rPr>
          <w:lang w:val="fr-CH"/>
        </w:rPr>
        <w:t>indépendance éditoriale</w:t>
      </w:r>
      <w:r w:rsidR="001678CF" w:rsidRPr="00731644">
        <w:rPr>
          <w:lang w:val="fr-CH"/>
        </w:rPr>
        <w:t xml:space="preserve"> (</w:t>
      </w:r>
      <w:r w:rsidR="00F31DD5" w:rsidRPr="00731644">
        <w:rPr>
          <w:lang w:val="fr-CH"/>
        </w:rPr>
        <w:t>art. </w:t>
      </w:r>
      <w:r w:rsidR="001678CF" w:rsidRPr="00731644">
        <w:rPr>
          <w:lang w:val="fr-CH"/>
        </w:rPr>
        <w:t xml:space="preserve">13) </w:t>
      </w:r>
      <w:r w:rsidR="00265A3F" w:rsidRPr="00731644">
        <w:rPr>
          <w:lang w:val="fr-CH"/>
        </w:rPr>
        <w:t>suppose l</w:t>
      </w:r>
      <w:r w:rsidR="00425386" w:rsidRPr="00731644">
        <w:rPr>
          <w:lang w:val="fr-CH"/>
        </w:rPr>
        <w:t>’</w:t>
      </w:r>
      <w:r w:rsidR="00265A3F" w:rsidRPr="00731644">
        <w:rPr>
          <w:lang w:val="fr-CH"/>
        </w:rPr>
        <w:t xml:space="preserve">indépendance des journalistes qui conçoivent le contenu de émissions, la </w:t>
      </w:r>
      <w:r w:rsidR="00265A3F" w:rsidRPr="00852F93">
        <w:rPr>
          <w:iCs/>
          <w:lang w:val="fr-CH"/>
        </w:rPr>
        <w:t>loi relative aux</w:t>
      </w:r>
      <w:r w:rsidR="00A22811" w:rsidRPr="00852F93">
        <w:rPr>
          <w:iCs/>
          <w:lang w:val="fr-CH"/>
        </w:rPr>
        <w:t xml:space="preserve"> services publics de radiotélévision</w:t>
      </w:r>
      <w:r w:rsidR="00A22811" w:rsidRPr="00731644">
        <w:rPr>
          <w:lang w:val="fr-CH"/>
        </w:rPr>
        <w:t xml:space="preserve"> garantit l</w:t>
      </w:r>
      <w:r w:rsidR="00425386" w:rsidRPr="00731644">
        <w:rPr>
          <w:lang w:val="fr-CH"/>
        </w:rPr>
        <w:t>’</w:t>
      </w:r>
      <w:r w:rsidR="00A22811" w:rsidRPr="00731644">
        <w:rPr>
          <w:lang w:val="fr-CH"/>
        </w:rPr>
        <w:t xml:space="preserve">indépendance des journalistes de </w:t>
      </w:r>
      <w:r w:rsidR="00DC6640" w:rsidRPr="00731644">
        <w:rPr>
          <w:lang w:val="fr-CH"/>
        </w:rPr>
        <w:t xml:space="preserve">la </w:t>
      </w:r>
      <w:r w:rsidR="00A22811" w:rsidRPr="00731644">
        <w:rPr>
          <w:lang w:val="fr-CH"/>
        </w:rPr>
        <w:t>Radio</w:t>
      </w:r>
      <w:r w:rsidR="003B3EA9" w:rsidRPr="00731644">
        <w:rPr>
          <w:lang w:val="fr-CH"/>
        </w:rPr>
        <w:t>t</w:t>
      </w:r>
      <w:r w:rsidR="00A22811" w:rsidRPr="00731644">
        <w:rPr>
          <w:lang w:val="fr-CH"/>
        </w:rPr>
        <w:t>élévision du Monténégro (</w:t>
      </w:r>
      <w:r w:rsidR="001678CF" w:rsidRPr="00731644">
        <w:rPr>
          <w:lang w:val="fr-CH"/>
        </w:rPr>
        <w:t>RTCG</w:t>
      </w:r>
      <w:r w:rsidR="00A22811" w:rsidRPr="00731644">
        <w:rPr>
          <w:lang w:val="fr-CH"/>
        </w:rPr>
        <w:t>)</w:t>
      </w:r>
      <w:r w:rsidR="001678CF" w:rsidRPr="00731644">
        <w:rPr>
          <w:lang w:val="fr-CH"/>
        </w:rPr>
        <w:t xml:space="preserve"> </w:t>
      </w:r>
      <w:r w:rsidR="00A22811" w:rsidRPr="00731644">
        <w:rPr>
          <w:lang w:val="fr-CH"/>
        </w:rPr>
        <w:t>dans le</w:t>
      </w:r>
      <w:r w:rsidR="00DC6640" w:rsidRPr="00731644">
        <w:rPr>
          <w:lang w:val="fr-CH"/>
        </w:rPr>
        <w:t>s activités qu</w:t>
      </w:r>
      <w:r w:rsidR="00425386" w:rsidRPr="00731644">
        <w:rPr>
          <w:lang w:val="fr-CH"/>
        </w:rPr>
        <w:t>’</w:t>
      </w:r>
      <w:r w:rsidR="00DC6640" w:rsidRPr="00731644">
        <w:rPr>
          <w:lang w:val="fr-CH"/>
        </w:rPr>
        <w:t>ils mènent</w:t>
      </w:r>
      <w:r w:rsidR="00F31DD5" w:rsidRPr="00731644">
        <w:rPr>
          <w:lang w:val="fr-CH"/>
        </w:rPr>
        <w:t xml:space="preserve"> </w:t>
      </w:r>
      <w:r w:rsidR="00A22811" w:rsidRPr="00731644">
        <w:rPr>
          <w:lang w:val="fr-CH"/>
        </w:rPr>
        <w:t>dans l</w:t>
      </w:r>
      <w:r w:rsidR="00425386" w:rsidRPr="00731644">
        <w:rPr>
          <w:lang w:val="fr-CH"/>
        </w:rPr>
        <w:t>’</w:t>
      </w:r>
      <w:r w:rsidR="00A22811" w:rsidRPr="00731644">
        <w:rPr>
          <w:lang w:val="fr-CH"/>
        </w:rPr>
        <w:t>intérêt du public</w:t>
      </w:r>
      <w:r w:rsidR="001678CF" w:rsidRPr="00731644">
        <w:rPr>
          <w:lang w:val="fr-CH"/>
        </w:rPr>
        <w:t xml:space="preserve">, </w:t>
      </w:r>
      <w:r w:rsidR="00A22811" w:rsidRPr="00731644">
        <w:rPr>
          <w:lang w:val="fr-CH"/>
        </w:rPr>
        <w:t xml:space="preserve">et </w:t>
      </w:r>
      <w:r w:rsidR="00DC6640" w:rsidRPr="00731644">
        <w:rPr>
          <w:lang w:val="fr-CH"/>
        </w:rPr>
        <w:t>empêche qu</w:t>
      </w:r>
      <w:r w:rsidR="00425386" w:rsidRPr="00731644">
        <w:rPr>
          <w:lang w:val="fr-CH"/>
        </w:rPr>
        <w:t>’</w:t>
      </w:r>
      <w:r w:rsidR="00DC6640" w:rsidRPr="00731644">
        <w:rPr>
          <w:lang w:val="fr-CH"/>
        </w:rPr>
        <w:t>ils soient</w:t>
      </w:r>
      <w:r w:rsidR="00A22811" w:rsidRPr="00731644">
        <w:rPr>
          <w:lang w:val="fr-CH"/>
        </w:rPr>
        <w:t xml:space="preserve"> mis en cause pour des vues et des opinions exprimées conformément aux normes de la profession et aux règles de l</w:t>
      </w:r>
      <w:r w:rsidR="00425386" w:rsidRPr="00731644">
        <w:rPr>
          <w:lang w:val="fr-CH"/>
        </w:rPr>
        <w:t>’</w:t>
      </w:r>
      <w:r w:rsidR="00A22811" w:rsidRPr="00731644">
        <w:rPr>
          <w:lang w:val="fr-CH"/>
        </w:rPr>
        <w:t>organisme</w:t>
      </w:r>
      <w:r w:rsidR="00CE7E68" w:rsidRPr="00731644">
        <w:rPr>
          <w:lang w:val="fr-CH"/>
        </w:rPr>
        <w:t xml:space="preserve"> de radiotélévision</w:t>
      </w:r>
      <w:r w:rsidR="00A22811" w:rsidRPr="00731644">
        <w:rPr>
          <w:lang w:val="fr-CH"/>
        </w:rPr>
        <w:t xml:space="preserve"> </w:t>
      </w:r>
      <w:r w:rsidR="001678CF" w:rsidRPr="00731644">
        <w:rPr>
          <w:lang w:val="fr-CH"/>
        </w:rPr>
        <w:t>(</w:t>
      </w:r>
      <w:r w:rsidR="00F31DD5" w:rsidRPr="00731644">
        <w:rPr>
          <w:lang w:val="fr-CH"/>
        </w:rPr>
        <w:t>art. </w:t>
      </w:r>
      <w:r w:rsidR="001678CF" w:rsidRPr="00731644">
        <w:rPr>
          <w:lang w:val="fr-CH"/>
        </w:rPr>
        <w:t xml:space="preserve">14). </w:t>
      </w:r>
      <w:r w:rsidR="00A22811" w:rsidRPr="00731644">
        <w:rPr>
          <w:lang w:val="fr-CH"/>
        </w:rPr>
        <w:t>Les services de radiotélévision publique opèrent dans l</w:t>
      </w:r>
      <w:r w:rsidR="00425386" w:rsidRPr="00731644">
        <w:rPr>
          <w:lang w:val="fr-CH"/>
        </w:rPr>
        <w:t>’</w:t>
      </w:r>
      <w:r w:rsidR="00A22811" w:rsidRPr="00731644">
        <w:rPr>
          <w:lang w:val="fr-CH"/>
        </w:rPr>
        <w:t xml:space="preserve">intérêt du public (des citoyens) et ne sont responsables que devant lui </w:t>
      </w:r>
      <w:r w:rsidR="001678CF" w:rsidRPr="00731644">
        <w:rPr>
          <w:lang w:val="fr-CH"/>
        </w:rPr>
        <w:t>(</w:t>
      </w:r>
      <w:r w:rsidR="00F31DD5" w:rsidRPr="00731644">
        <w:rPr>
          <w:lang w:val="fr-CH"/>
        </w:rPr>
        <w:t>art. </w:t>
      </w:r>
      <w:r w:rsidR="001678CF" w:rsidRPr="00731644">
        <w:rPr>
          <w:lang w:val="fr-CH"/>
        </w:rPr>
        <w:t>12).</w:t>
      </w:r>
    </w:p>
    <w:p w:rsidR="001678CF" w:rsidRPr="00731644" w:rsidRDefault="006243E3" w:rsidP="007A429C">
      <w:pPr>
        <w:pStyle w:val="SingleTxtG"/>
        <w:rPr>
          <w:lang w:val="fr-CH"/>
        </w:rPr>
      </w:pPr>
      <w:r w:rsidRPr="00731644">
        <w:rPr>
          <w:lang w:val="fr-CH"/>
        </w:rPr>
        <w:t>172.</w:t>
      </w:r>
      <w:r w:rsidRPr="00731644">
        <w:rPr>
          <w:lang w:val="fr-CH"/>
        </w:rPr>
        <w:tab/>
      </w:r>
      <w:r w:rsidR="00F00BC7" w:rsidRPr="00852F93">
        <w:rPr>
          <w:iCs/>
          <w:lang w:val="fr-CH"/>
        </w:rPr>
        <w:t>La loi relative aux services publics de radiotélévision</w:t>
      </w:r>
      <w:r w:rsidR="00F00BC7" w:rsidRPr="00731644">
        <w:rPr>
          <w:lang w:val="fr-CH"/>
        </w:rPr>
        <w:t xml:space="preserve"> dispo</w:t>
      </w:r>
      <w:r w:rsidR="00DC6640" w:rsidRPr="00731644">
        <w:rPr>
          <w:lang w:val="fr-CH"/>
        </w:rPr>
        <w:t>s</w:t>
      </w:r>
      <w:r w:rsidR="00F00BC7" w:rsidRPr="00731644">
        <w:rPr>
          <w:lang w:val="fr-CH"/>
        </w:rPr>
        <w:t xml:space="preserve">e que le budget du Monténégro fournit la partie des fonds nécessaires à la production et </w:t>
      </w:r>
      <w:r w:rsidR="00A72A0B" w:rsidRPr="00731644">
        <w:rPr>
          <w:lang w:val="fr-CH"/>
        </w:rPr>
        <w:t xml:space="preserve">à </w:t>
      </w:r>
      <w:r w:rsidR="00F00BC7" w:rsidRPr="00731644">
        <w:rPr>
          <w:lang w:val="fr-CH"/>
        </w:rPr>
        <w:t>la diffusion d</w:t>
      </w:r>
      <w:r w:rsidR="00425386" w:rsidRPr="00731644">
        <w:rPr>
          <w:lang w:val="fr-CH"/>
        </w:rPr>
        <w:t>’</w:t>
      </w:r>
      <w:r w:rsidR="00F00BC7" w:rsidRPr="00731644">
        <w:rPr>
          <w:lang w:val="fr-CH"/>
        </w:rPr>
        <w:t>émissions spéciale</w:t>
      </w:r>
      <w:r w:rsidR="00A72A0B" w:rsidRPr="00731644">
        <w:rPr>
          <w:lang w:val="fr-CH"/>
        </w:rPr>
        <w:t>ment</w:t>
      </w:r>
      <w:r w:rsidR="00F00BC7" w:rsidRPr="00731644">
        <w:rPr>
          <w:lang w:val="fr-CH"/>
        </w:rPr>
        <w:t xml:space="preserve"> </w:t>
      </w:r>
      <w:r w:rsidR="00F1431E" w:rsidRPr="00731644">
        <w:rPr>
          <w:lang w:val="fr-CH"/>
        </w:rPr>
        <w:t>utiles</w:t>
      </w:r>
      <w:r w:rsidR="00F00BC7" w:rsidRPr="00731644">
        <w:rPr>
          <w:lang w:val="fr-CH"/>
        </w:rPr>
        <w:t xml:space="preserve"> pour</w:t>
      </w:r>
      <w:r w:rsidR="00F31DD5" w:rsidRPr="00731644">
        <w:rPr>
          <w:lang w:val="fr-CH"/>
        </w:rPr>
        <w:t xml:space="preserve"> </w:t>
      </w:r>
      <w:r w:rsidR="00F00BC7" w:rsidRPr="00731644">
        <w:rPr>
          <w:lang w:val="fr-CH"/>
        </w:rPr>
        <w:t xml:space="preserve">le </w:t>
      </w:r>
      <w:r w:rsidR="00A72A0B" w:rsidRPr="00731644">
        <w:rPr>
          <w:lang w:val="fr-CH"/>
        </w:rPr>
        <w:t>progrès</w:t>
      </w:r>
      <w:r w:rsidR="00F00BC7" w:rsidRPr="00731644">
        <w:rPr>
          <w:lang w:val="fr-CH"/>
        </w:rPr>
        <w:t xml:space="preserve"> de la scie</w:t>
      </w:r>
      <w:r w:rsidR="001678CF" w:rsidRPr="00731644">
        <w:rPr>
          <w:lang w:val="fr-CH"/>
        </w:rPr>
        <w:t xml:space="preserve">nce </w:t>
      </w:r>
      <w:r w:rsidR="00F00BC7" w:rsidRPr="00731644">
        <w:rPr>
          <w:lang w:val="fr-CH"/>
        </w:rPr>
        <w:t>et de l</w:t>
      </w:r>
      <w:r w:rsidR="00425386" w:rsidRPr="00731644">
        <w:rPr>
          <w:lang w:val="fr-CH"/>
        </w:rPr>
        <w:t>’</w:t>
      </w:r>
      <w:r w:rsidR="00F00BC7" w:rsidRPr="00731644">
        <w:rPr>
          <w:lang w:val="fr-CH"/>
        </w:rPr>
        <w:t xml:space="preserve">éducation, la </w:t>
      </w:r>
      <w:r w:rsidR="001678CF" w:rsidRPr="00731644">
        <w:rPr>
          <w:lang w:val="fr-CH"/>
        </w:rPr>
        <w:t>culture</w:t>
      </w:r>
      <w:r w:rsidR="00A72A0B" w:rsidRPr="00731644">
        <w:rPr>
          <w:lang w:val="fr-CH"/>
        </w:rPr>
        <w:t xml:space="preserve"> ainsi que</w:t>
      </w:r>
      <w:r w:rsidR="001678CF" w:rsidRPr="00731644">
        <w:rPr>
          <w:lang w:val="fr-CH"/>
        </w:rPr>
        <w:t xml:space="preserve"> </w:t>
      </w:r>
      <w:r w:rsidR="00F00BC7" w:rsidRPr="00731644">
        <w:rPr>
          <w:lang w:val="fr-CH"/>
        </w:rPr>
        <w:t>l</w:t>
      </w:r>
      <w:r w:rsidR="00425386" w:rsidRPr="00731644">
        <w:rPr>
          <w:lang w:val="fr-CH"/>
        </w:rPr>
        <w:t>’</w:t>
      </w:r>
      <w:r w:rsidR="001678CF" w:rsidRPr="00731644">
        <w:rPr>
          <w:lang w:val="fr-CH"/>
        </w:rPr>
        <w:t xml:space="preserve">information </w:t>
      </w:r>
      <w:r w:rsidR="00B569C5" w:rsidRPr="00731644">
        <w:rPr>
          <w:lang w:val="fr-CH"/>
        </w:rPr>
        <w:t>des personnes</w:t>
      </w:r>
      <w:r w:rsidR="00F00BC7" w:rsidRPr="00731644">
        <w:rPr>
          <w:lang w:val="fr-CH"/>
        </w:rPr>
        <w:t xml:space="preserve"> malentendantes ou malvoyantes</w:t>
      </w:r>
      <w:r w:rsidR="001678CF" w:rsidRPr="00731644">
        <w:rPr>
          <w:lang w:val="fr-CH"/>
        </w:rPr>
        <w:t xml:space="preserve">, </w:t>
      </w:r>
      <w:r w:rsidR="00F1431E" w:rsidRPr="00731644">
        <w:rPr>
          <w:lang w:val="fr-CH"/>
        </w:rPr>
        <w:t xml:space="preserve">et </w:t>
      </w:r>
      <w:r w:rsidR="00A72A0B" w:rsidRPr="00731644">
        <w:rPr>
          <w:lang w:val="fr-CH"/>
        </w:rPr>
        <w:t>à</w:t>
      </w:r>
      <w:r w:rsidR="00F1431E" w:rsidRPr="00731644">
        <w:rPr>
          <w:lang w:val="fr-CH"/>
        </w:rPr>
        <w:t xml:space="preserve"> </w:t>
      </w:r>
      <w:r w:rsidR="00A72A0B" w:rsidRPr="00731644">
        <w:rPr>
          <w:lang w:val="fr-CH"/>
        </w:rPr>
        <w:t xml:space="preserve">la diffusion </w:t>
      </w:r>
      <w:r w:rsidR="0083174F" w:rsidRPr="00731644">
        <w:rPr>
          <w:lang w:val="fr-CH"/>
        </w:rPr>
        <w:t>des mêmes émissions</w:t>
      </w:r>
      <w:r w:rsidR="00F1431E" w:rsidRPr="00731644">
        <w:rPr>
          <w:lang w:val="fr-CH"/>
        </w:rPr>
        <w:t xml:space="preserve"> en albanais et dans les langues des communautés nationales minoritaires. Le texte précise que les crédits fournis par l</w:t>
      </w:r>
      <w:r w:rsidR="00425386" w:rsidRPr="00731644">
        <w:rPr>
          <w:lang w:val="fr-CH"/>
        </w:rPr>
        <w:t>’</w:t>
      </w:r>
      <w:r w:rsidR="00F1431E" w:rsidRPr="00731644">
        <w:rPr>
          <w:lang w:val="fr-CH"/>
        </w:rPr>
        <w:t>État serv</w:t>
      </w:r>
      <w:r w:rsidR="00A72A0B" w:rsidRPr="00731644">
        <w:rPr>
          <w:lang w:val="fr-CH"/>
        </w:rPr>
        <w:t>e</w:t>
      </w:r>
      <w:r w:rsidR="00F1431E" w:rsidRPr="00731644">
        <w:rPr>
          <w:lang w:val="fr-CH"/>
        </w:rPr>
        <w:t xml:space="preserve">nt exclusivement à la production des contenus de ces émissions </w:t>
      </w:r>
      <w:r w:rsidR="001678CF" w:rsidRPr="00731644">
        <w:rPr>
          <w:lang w:val="fr-CH"/>
        </w:rPr>
        <w:t>(</w:t>
      </w:r>
      <w:r w:rsidR="00F31DD5" w:rsidRPr="00731644">
        <w:rPr>
          <w:lang w:val="fr-CH"/>
        </w:rPr>
        <w:t>art. </w:t>
      </w:r>
      <w:r w:rsidR="001678CF" w:rsidRPr="00731644">
        <w:rPr>
          <w:lang w:val="fr-CH"/>
        </w:rPr>
        <w:t>17).</w:t>
      </w:r>
    </w:p>
    <w:p w:rsidR="001678CF" w:rsidRPr="00731644" w:rsidRDefault="006243E3" w:rsidP="00C15A9A">
      <w:pPr>
        <w:pStyle w:val="SingleTxtG"/>
        <w:rPr>
          <w:lang w:val="fr-CH"/>
        </w:rPr>
      </w:pPr>
      <w:r w:rsidRPr="00731644">
        <w:rPr>
          <w:lang w:val="fr-CH"/>
        </w:rPr>
        <w:t>173.</w:t>
      </w:r>
      <w:r w:rsidRPr="00731644">
        <w:rPr>
          <w:lang w:val="fr-CH"/>
        </w:rPr>
        <w:tab/>
      </w:r>
      <w:r w:rsidR="00A72A0B" w:rsidRPr="00731644">
        <w:rPr>
          <w:lang w:val="fr-CH"/>
        </w:rPr>
        <w:t>L</w:t>
      </w:r>
      <w:r w:rsidR="00F1431E" w:rsidRPr="00731644">
        <w:rPr>
          <w:lang w:val="fr-CH"/>
        </w:rPr>
        <w:t xml:space="preserve">a même loi prévoit la possibilité de créer des studios </w:t>
      </w:r>
      <w:r w:rsidR="00A72A0B" w:rsidRPr="00731644">
        <w:rPr>
          <w:lang w:val="fr-CH"/>
        </w:rPr>
        <w:t xml:space="preserve">de radio et </w:t>
      </w:r>
      <w:r w:rsidR="00F1431E" w:rsidRPr="00731644">
        <w:rPr>
          <w:lang w:val="fr-CH"/>
        </w:rPr>
        <w:t xml:space="preserve">de télévision régionaux, ayant pour </w:t>
      </w:r>
      <w:r w:rsidR="001678CF" w:rsidRPr="00731644">
        <w:rPr>
          <w:lang w:val="fr-CH"/>
        </w:rPr>
        <w:t xml:space="preserve">obligation </w:t>
      </w:r>
      <w:r w:rsidR="00F1431E" w:rsidRPr="00731644">
        <w:rPr>
          <w:lang w:val="fr-CH"/>
        </w:rPr>
        <w:t xml:space="preserve">de </w:t>
      </w:r>
      <w:r w:rsidR="00A72A0B" w:rsidRPr="00731644">
        <w:rPr>
          <w:lang w:val="fr-CH"/>
        </w:rPr>
        <w:t>pr</w:t>
      </w:r>
      <w:r w:rsidR="00F1431E" w:rsidRPr="00731644">
        <w:rPr>
          <w:lang w:val="fr-CH"/>
        </w:rPr>
        <w:t>oduire et de diffuse</w:t>
      </w:r>
      <w:r w:rsidR="00A72A0B" w:rsidRPr="00731644">
        <w:rPr>
          <w:lang w:val="fr-CH"/>
        </w:rPr>
        <w:t>r</w:t>
      </w:r>
      <w:r w:rsidR="00F1431E" w:rsidRPr="00731644">
        <w:rPr>
          <w:lang w:val="fr-CH"/>
        </w:rPr>
        <w:t xml:space="preserve"> des émissions régionales dans les langues des nations et communautés nationales minoritaires de la région </w:t>
      </w:r>
      <w:r w:rsidR="001678CF" w:rsidRPr="00731644">
        <w:rPr>
          <w:lang w:val="fr-CH"/>
        </w:rPr>
        <w:t>(</w:t>
      </w:r>
      <w:r w:rsidR="00F31DD5" w:rsidRPr="00731644">
        <w:rPr>
          <w:lang w:val="fr-CH"/>
        </w:rPr>
        <w:t>art. </w:t>
      </w:r>
      <w:r w:rsidR="001678CF" w:rsidRPr="00731644">
        <w:rPr>
          <w:lang w:val="fr-CH"/>
        </w:rPr>
        <w:t xml:space="preserve">8). </w:t>
      </w:r>
    </w:p>
    <w:p w:rsidR="001678CF" w:rsidRPr="00731644" w:rsidRDefault="006243E3" w:rsidP="00D53B48">
      <w:pPr>
        <w:pStyle w:val="SingleTxtG"/>
        <w:rPr>
          <w:lang w:val="fr-CH"/>
        </w:rPr>
      </w:pPr>
      <w:r w:rsidRPr="00731644">
        <w:rPr>
          <w:lang w:val="fr-CH"/>
        </w:rPr>
        <w:t>174.</w:t>
      </w:r>
      <w:r w:rsidRPr="00731644">
        <w:rPr>
          <w:lang w:val="fr-CH"/>
        </w:rPr>
        <w:tab/>
      </w:r>
      <w:r w:rsidR="00F1431E" w:rsidRPr="00731644">
        <w:rPr>
          <w:lang w:val="fr-CH"/>
        </w:rPr>
        <w:t>En adoptant la loi portant ratification de la Convention européenne sur la télévision transfrontière, l</w:t>
      </w:r>
      <w:r w:rsidR="00E868E5" w:rsidRPr="00731644">
        <w:rPr>
          <w:lang w:val="fr-CH"/>
        </w:rPr>
        <w:t>e</w:t>
      </w:r>
      <w:r w:rsidR="00F1431E" w:rsidRPr="00731644">
        <w:rPr>
          <w:lang w:val="fr-CH"/>
        </w:rPr>
        <w:t xml:space="preserve"> Monténégro s</w:t>
      </w:r>
      <w:r w:rsidR="00425386" w:rsidRPr="00731644">
        <w:rPr>
          <w:lang w:val="fr-CH"/>
        </w:rPr>
        <w:t>’</w:t>
      </w:r>
      <w:r w:rsidR="00F1431E" w:rsidRPr="00731644">
        <w:rPr>
          <w:lang w:val="fr-CH"/>
        </w:rPr>
        <w:t>est doté d</w:t>
      </w:r>
      <w:r w:rsidR="00425386" w:rsidRPr="00731644">
        <w:rPr>
          <w:lang w:val="fr-CH"/>
        </w:rPr>
        <w:t>’</w:t>
      </w:r>
      <w:r w:rsidR="00F1431E" w:rsidRPr="00731644">
        <w:rPr>
          <w:lang w:val="fr-CH"/>
        </w:rPr>
        <w:t>un cadre juridique qui élargit le champ de la liberté d</w:t>
      </w:r>
      <w:r w:rsidR="00425386" w:rsidRPr="00731644">
        <w:rPr>
          <w:lang w:val="fr-CH"/>
        </w:rPr>
        <w:t>’</w:t>
      </w:r>
      <w:r w:rsidR="00F1431E" w:rsidRPr="00731644">
        <w:rPr>
          <w:lang w:val="fr-CH"/>
        </w:rPr>
        <w:t xml:space="preserve">expression </w:t>
      </w:r>
      <w:r w:rsidR="0083174F" w:rsidRPr="00731644">
        <w:rPr>
          <w:lang w:val="fr-CH"/>
        </w:rPr>
        <w:t>conformément</w:t>
      </w:r>
      <w:r w:rsidR="00F1431E" w:rsidRPr="00731644">
        <w:rPr>
          <w:lang w:val="fr-CH"/>
        </w:rPr>
        <w:t xml:space="preserve"> à </w:t>
      </w:r>
      <w:r w:rsidR="00374D76" w:rsidRPr="00731644">
        <w:rPr>
          <w:lang w:val="fr-CH"/>
        </w:rPr>
        <w:t>l</w:t>
      </w:r>
      <w:r w:rsidR="00425386" w:rsidRPr="00731644">
        <w:rPr>
          <w:lang w:val="fr-CH"/>
        </w:rPr>
        <w:t>’</w:t>
      </w:r>
      <w:r w:rsidR="001753EC">
        <w:rPr>
          <w:lang w:val="fr-CH"/>
        </w:rPr>
        <w:t>article </w:t>
      </w:r>
      <w:r w:rsidR="00F1431E" w:rsidRPr="00731644">
        <w:rPr>
          <w:lang w:val="fr-CH"/>
        </w:rPr>
        <w:t>10 de cet instrument.</w:t>
      </w:r>
      <w:r w:rsidR="00F31DD5" w:rsidRPr="00731644">
        <w:rPr>
          <w:lang w:val="fr-CH"/>
        </w:rPr>
        <w:t xml:space="preserve"> </w:t>
      </w:r>
    </w:p>
    <w:p w:rsidR="007A49B7" w:rsidRPr="00731644" w:rsidRDefault="006243E3" w:rsidP="001678CF">
      <w:pPr>
        <w:pStyle w:val="SingleTxtG"/>
        <w:rPr>
          <w:lang w:val="fr-CH"/>
        </w:rPr>
      </w:pPr>
      <w:r w:rsidRPr="00731644">
        <w:rPr>
          <w:lang w:val="fr-CH"/>
        </w:rPr>
        <w:t>175.</w:t>
      </w:r>
      <w:r w:rsidRPr="00731644">
        <w:rPr>
          <w:lang w:val="fr-CH"/>
        </w:rPr>
        <w:tab/>
      </w:r>
      <w:r w:rsidR="009907C3" w:rsidRPr="00731644">
        <w:rPr>
          <w:lang w:val="fr-CH"/>
        </w:rPr>
        <w:t xml:space="preserve">La </w:t>
      </w:r>
      <w:r w:rsidR="009907C3" w:rsidRPr="00852F93">
        <w:rPr>
          <w:iCs/>
          <w:lang w:val="fr-CH"/>
        </w:rPr>
        <w:t>loi relative au libre accès à l</w:t>
      </w:r>
      <w:r w:rsidR="00425386" w:rsidRPr="00852F93">
        <w:rPr>
          <w:iCs/>
          <w:lang w:val="fr-CH"/>
        </w:rPr>
        <w:t>’</w:t>
      </w:r>
      <w:r w:rsidR="009907C3" w:rsidRPr="00852F93">
        <w:rPr>
          <w:iCs/>
          <w:lang w:val="fr-CH"/>
        </w:rPr>
        <w:t>information</w:t>
      </w:r>
      <w:r w:rsidR="009907C3" w:rsidRPr="00731644">
        <w:rPr>
          <w:lang w:val="fr-CH"/>
        </w:rPr>
        <w:t xml:space="preserve"> (</w:t>
      </w:r>
      <w:r w:rsidR="009B5F7C" w:rsidRPr="005072A0">
        <w:rPr>
          <w:i/>
          <w:lang w:val="fr-CH"/>
        </w:rPr>
        <w:t>J</w:t>
      </w:r>
      <w:r w:rsidR="009907C3" w:rsidRPr="005072A0">
        <w:rPr>
          <w:i/>
          <w:lang w:val="fr-CH"/>
        </w:rPr>
        <w:t>ournal officie</w:t>
      </w:r>
      <w:r w:rsidR="000D41F0" w:rsidRPr="000D41F0">
        <w:rPr>
          <w:lang w:val="fr-CH"/>
        </w:rPr>
        <w:t>,</w:t>
      </w:r>
      <w:r w:rsidR="009907C3" w:rsidRPr="00731644">
        <w:rPr>
          <w:lang w:val="fr-CH"/>
        </w:rPr>
        <w:t xml:space="preserve"> </w:t>
      </w:r>
      <w:r w:rsidR="005072A0">
        <w:rPr>
          <w:lang w:val="fr-CH"/>
        </w:rPr>
        <w:t>n</w:t>
      </w:r>
      <w:r w:rsidR="005072A0" w:rsidRPr="005072A0">
        <w:rPr>
          <w:vertAlign w:val="superscript"/>
          <w:lang w:val="fr-CH"/>
        </w:rPr>
        <w:t>o</w:t>
      </w:r>
      <w:r w:rsidR="005072A0">
        <w:rPr>
          <w:lang w:val="fr-CH"/>
        </w:rPr>
        <w:t> </w:t>
      </w:r>
      <w:r w:rsidR="009907C3" w:rsidRPr="00731644">
        <w:rPr>
          <w:lang w:val="fr-CH"/>
        </w:rPr>
        <w:t>68/05) contribue à améliorer l</w:t>
      </w:r>
      <w:r w:rsidR="00425386" w:rsidRPr="00731644">
        <w:rPr>
          <w:lang w:val="fr-CH"/>
        </w:rPr>
        <w:t>’</w:t>
      </w:r>
      <w:r w:rsidR="009907C3" w:rsidRPr="00731644">
        <w:rPr>
          <w:lang w:val="fr-CH"/>
        </w:rPr>
        <w:t xml:space="preserve">application des lois sur les médias et, par </w:t>
      </w:r>
      <w:r w:rsidR="009B5F7C" w:rsidRPr="00731644">
        <w:rPr>
          <w:lang w:val="fr-CH"/>
        </w:rPr>
        <w:t>co</w:t>
      </w:r>
      <w:r w:rsidR="009907C3" w:rsidRPr="00731644">
        <w:rPr>
          <w:lang w:val="fr-CH"/>
        </w:rPr>
        <w:t xml:space="preserve">nséquent, à </w:t>
      </w:r>
      <w:r w:rsidR="009B5F7C" w:rsidRPr="00731644">
        <w:rPr>
          <w:lang w:val="fr-CH"/>
        </w:rPr>
        <w:t>affermir</w:t>
      </w:r>
      <w:r w:rsidR="009907C3" w:rsidRPr="00731644">
        <w:rPr>
          <w:lang w:val="fr-CH"/>
        </w:rPr>
        <w:t xml:space="preserve"> la liberté d</w:t>
      </w:r>
      <w:r w:rsidR="00425386" w:rsidRPr="00731644">
        <w:rPr>
          <w:lang w:val="fr-CH"/>
        </w:rPr>
        <w:t>’</w:t>
      </w:r>
      <w:r w:rsidR="009907C3" w:rsidRPr="00731644">
        <w:rPr>
          <w:lang w:val="fr-CH"/>
        </w:rPr>
        <w:t>exp</w:t>
      </w:r>
      <w:r w:rsidR="001678CF" w:rsidRPr="00731644">
        <w:rPr>
          <w:lang w:val="fr-CH"/>
        </w:rPr>
        <w:t xml:space="preserve">ression. </w:t>
      </w:r>
      <w:r w:rsidR="009907C3" w:rsidRPr="00731644">
        <w:rPr>
          <w:lang w:val="fr-CH"/>
        </w:rPr>
        <w:t>Elle régit les modalités d</w:t>
      </w:r>
      <w:r w:rsidR="00425386" w:rsidRPr="00731644">
        <w:rPr>
          <w:lang w:val="fr-CH"/>
        </w:rPr>
        <w:t>’</w:t>
      </w:r>
      <w:r w:rsidR="009907C3" w:rsidRPr="00731644">
        <w:rPr>
          <w:lang w:val="fr-CH"/>
        </w:rPr>
        <w:t>exercice d</w:t>
      </w:r>
      <w:r w:rsidR="009B5F7C" w:rsidRPr="00731644">
        <w:rPr>
          <w:lang w:val="fr-CH"/>
        </w:rPr>
        <w:t>u</w:t>
      </w:r>
      <w:r w:rsidR="009907C3" w:rsidRPr="00731644">
        <w:rPr>
          <w:lang w:val="fr-CH"/>
        </w:rPr>
        <w:t xml:space="preserve"> droit des citoyens de rechercher, recevoir et utiliser l</w:t>
      </w:r>
      <w:r w:rsidR="00425386" w:rsidRPr="00731644">
        <w:rPr>
          <w:lang w:val="fr-CH"/>
        </w:rPr>
        <w:t>’</w:t>
      </w:r>
      <w:r w:rsidR="009907C3" w:rsidRPr="00731644">
        <w:rPr>
          <w:lang w:val="fr-CH"/>
        </w:rPr>
        <w:t>information détenue par les pouvoirs publics. L</w:t>
      </w:r>
      <w:r w:rsidR="00425386" w:rsidRPr="00731644">
        <w:rPr>
          <w:lang w:val="fr-CH"/>
        </w:rPr>
        <w:t>’</w:t>
      </w:r>
      <w:r w:rsidR="009907C3" w:rsidRPr="00731644">
        <w:rPr>
          <w:lang w:val="fr-CH"/>
        </w:rPr>
        <w:t>accès à cette information est gratuit</w:t>
      </w:r>
      <w:r w:rsidR="009B5F7C" w:rsidRPr="00731644">
        <w:rPr>
          <w:lang w:val="fr-CH"/>
        </w:rPr>
        <w:t xml:space="preserve">, et </w:t>
      </w:r>
      <w:r w:rsidR="0079251A" w:rsidRPr="00731644">
        <w:rPr>
          <w:lang w:val="fr-CH"/>
        </w:rPr>
        <w:t>ouvert</w:t>
      </w:r>
      <w:r w:rsidR="009B5F7C" w:rsidRPr="00731644">
        <w:rPr>
          <w:lang w:val="fr-CH"/>
        </w:rPr>
        <w:t xml:space="preserve"> à </w:t>
      </w:r>
      <w:r w:rsidR="009907C3" w:rsidRPr="00731644">
        <w:rPr>
          <w:lang w:val="fr-CH"/>
        </w:rPr>
        <w:t xml:space="preserve">toutes </w:t>
      </w:r>
      <w:r w:rsidR="00CB7658" w:rsidRPr="00731644">
        <w:rPr>
          <w:lang w:val="fr-CH"/>
        </w:rPr>
        <w:t>les personnes</w:t>
      </w:r>
      <w:r w:rsidR="009907C3" w:rsidRPr="00731644">
        <w:rPr>
          <w:lang w:val="fr-CH"/>
        </w:rPr>
        <w:t xml:space="preserve"> physiques et morales nat</w:t>
      </w:r>
      <w:r w:rsidR="009B5F7C" w:rsidRPr="00731644">
        <w:rPr>
          <w:lang w:val="fr-CH"/>
        </w:rPr>
        <w:t>i</w:t>
      </w:r>
      <w:r w:rsidR="009907C3" w:rsidRPr="00731644">
        <w:rPr>
          <w:lang w:val="fr-CH"/>
        </w:rPr>
        <w:t>onales et étrangères sans distinction.</w:t>
      </w:r>
      <w:r w:rsidR="00F31DD5" w:rsidRPr="00731644">
        <w:rPr>
          <w:lang w:val="fr-CH"/>
        </w:rPr>
        <w:t xml:space="preserve"> </w:t>
      </w:r>
      <w:r w:rsidR="009907C3" w:rsidRPr="00731644">
        <w:rPr>
          <w:lang w:val="fr-CH"/>
        </w:rPr>
        <w:t xml:space="preserve">La loi, qui garantit cet accès conformément aux normes </w:t>
      </w:r>
      <w:r w:rsidR="009B5F7C" w:rsidRPr="00731644">
        <w:rPr>
          <w:lang w:val="fr-CH"/>
        </w:rPr>
        <w:t>des instr</w:t>
      </w:r>
      <w:r w:rsidR="001678CF" w:rsidRPr="00731644">
        <w:rPr>
          <w:lang w:val="fr-CH"/>
        </w:rPr>
        <w:t xml:space="preserve">uments </w:t>
      </w:r>
      <w:r w:rsidR="009907C3" w:rsidRPr="00731644">
        <w:rPr>
          <w:lang w:val="fr-CH"/>
        </w:rPr>
        <w:t xml:space="preserve">internationaux </w:t>
      </w:r>
      <w:r w:rsidR="009B5F7C" w:rsidRPr="00731644">
        <w:rPr>
          <w:lang w:val="fr-CH"/>
        </w:rPr>
        <w:t>des</w:t>
      </w:r>
      <w:r w:rsidR="009907C3" w:rsidRPr="00731644">
        <w:rPr>
          <w:lang w:val="fr-CH"/>
        </w:rPr>
        <w:t xml:space="preserve"> droits de l</w:t>
      </w:r>
      <w:r w:rsidR="00425386" w:rsidRPr="00731644">
        <w:rPr>
          <w:lang w:val="fr-CH"/>
        </w:rPr>
        <w:t>’</w:t>
      </w:r>
      <w:r w:rsidR="009907C3" w:rsidRPr="00731644">
        <w:rPr>
          <w:lang w:val="fr-CH"/>
        </w:rPr>
        <w:t>homme, repose sur les principes de la liberté de l</w:t>
      </w:r>
      <w:r w:rsidR="00425386" w:rsidRPr="00731644">
        <w:rPr>
          <w:lang w:val="fr-CH"/>
        </w:rPr>
        <w:t>’</w:t>
      </w:r>
      <w:r w:rsidR="009907C3" w:rsidRPr="00731644">
        <w:rPr>
          <w:lang w:val="fr-CH"/>
        </w:rPr>
        <w:t>information</w:t>
      </w:r>
      <w:r w:rsidR="001678CF" w:rsidRPr="00731644">
        <w:rPr>
          <w:lang w:val="fr-CH"/>
        </w:rPr>
        <w:t xml:space="preserve">, </w:t>
      </w:r>
      <w:r w:rsidR="009907C3" w:rsidRPr="00731644">
        <w:rPr>
          <w:lang w:val="fr-CH"/>
        </w:rPr>
        <w:t>de l</w:t>
      </w:r>
      <w:r w:rsidR="00425386" w:rsidRPr="00731644">
        <w:rPr>
          <w:lang w:val="fr-CH"/>
        </w:rPr>
        <w:t>’</w:t>
      </w:r>
      <w:r w:rsidR="009907C3" w:rsidRPr="00731644">
        <w:rPr>
          <w:lang w:val="fr-CH"/>
        </w:rPr>
        <w:t>égalité des</w:t>
      </w:r>
      <w:r w:rsidR="001678CF" w:rsidRPr="00731644">
        <w:rPr>
          <w:lang w:val="fr-CH"/>
        </w:rPr>
        <w:t xml:space="preserve"> conditions </w:t>
      </w:r>
      <w:r w:rsidR="009907C3" w:rsidRPr="00731644">
        <w:rPr>
          <w:lang w:val="fr-CH"/>
        </w:rPr>
        <w:t>d</w:t>
      </w:r>
      <w:r w:rsidR="00425386" w:rsidRPr="00731644">
        <w:rPr>
          <w:lang w:val="fr-CH"/>
        </w:rPr>
        <w:t>’</w:t>
      </w:r>
      <w:r w:rsidR="009907C3" w:rsidRPr="00731644">
        <w:rPr>
          <w:lang w:val="fr-CH"/>
        </w:rPr>
        <w:t xml:space="preserve">exercice </w:t>
      </w:r>
      <w:r w:rsidR="0079251A" w:rsidRPr="00731644">
        <w:rPr>
          <w:lang w:val="fr-CH"/>
        </w:rPr>
        <w:t>du</w:t>
      </w:r>
      <w:r w:rsidR="009907C3" w:rsidRPr="00731644">
        <w:rPr>
          <w:lang w:val="fr-CH"/>
        </w:rPr>
        <w:t xml:space="preserve"> </w:t>
      </w:r>
      <w:r w:rsidR="0079251A" w:rsidRPr="00731644">
        <w:rPr>
          <w:lang w:val="fr-CH"/>
        </w:rPr>
        <w:t>libre accès</w:t>
      </w:r>
      <w:r w:rsidR="001678CF" w:rsidRPr="00731644">
        <w:rPr>
          <w:lang w:val="fr-CH"/>
        </w:rPr>
        <w:t xml:space="preserve">, </w:t>
      </w:r>
      <w:r w:rsidR="003C013E" w:rsidRPr="00731644">
        <w:rPr>
          <w:lang w:val="fr-CH"/>
        </w:rPr>
        <w:t xml:space="preserve">ainsi que </w:t>
      </w:r>
      <w:r w:rsidR="009907C3" w:rsidRPr="00731644">
        <w:rPr>
          <w:lang w:val="fr-CH"/>
        </w:rPr>
        <w:t>de l</w:t>
      </w:r>
      <w:r w:rsidR="00425386" w:rsidRPr="00731644">
        <w:rPr>
          <w:lang w:val="fr-CH"/>
        </w:rPr>
        <w:t>’</w:t>
      </w:r>
      <w:r w:rsidR="009907C3" w:rsidRPr="00731644">
        <w:rPr>
          <w:lang w:val="fr-CH"/>
        </w:rPr>
        <w:t>ouverture et de la transparence de</w:t>
      </w:r>
      <w:r w:rsidR="009B5F7C" w:rsidRPr="00731644">
        <w:rPr>
          <w:lang w:val="fr-CH"/>
        </w:rPr>
        <w:t xml:space="preserve"> l</w:t>
      </w:r>
      <w:r w:rsidR="00425386" w:rsidRPr="00731644">
        <w:rPr>
          <w:lang w:val="fr-CH"/>
        </w:rPr>
        <w:t>’</w:t>
      </w:r>
      <w:r w:rsidR="009B5F7C" w:rsidRPr="00731644">
        <w:rPr>
          <w:lang w:val="fr-CH"/>
        </w:rPr>
        <w:t xml:space="preserve">activité </w:t>
      </w:r>
      <w:r w:rsidR="009907C3" w:rsidRPr="00731644">
        <w:rPr>
          <w:lang w:val="fr-CH"/>
        </w:rPr>
        <w:t>des pouvoirs publics et des procédures d</w:t>
      </w:r>
      <w:r w:rsidR="00425386" w:rsidRPr="00731644">
        <w:rPr>
          <w:lang w:val="fr-CH"/>
        </w:rPr>
        <w:t>’</w:t>
      </w:r>
      <w:r w:rsidR="009907C3" w:rsidRPr="00731644">
        <w:rPr>
          <w:lang w:val="fr-CH"/>
        </w:rPr>
        <w:t>urg</w:t>
      </w:r>
      <w:r w:rsidR="0079251A" w:rsidRPr="00731644">
        <w:rPr>
          <w:lang w:val="fr-CH"/>
        </w:rPr>
        <w:t>e</w:t>
      </w:r>
      <w:r w:rsidR="009907C3" w:rsidRPr="00731644">
        <w:rPr>
          <w:lang w:val="fr-CH"/>
        </w:rPr>
        <w:t>nce. L</w:t>
      </w:r>
      <w:r w:rsidR="00425386" w:rsidRPr="00731644">
        <w:rPr>
          <w:lang w:val="fr-CH"/>
        </w:rPr>
        <w:t>’</w:t>
      </w:r>
      <w:r w:rsidR="001753EC">
        <w:rPr>
          <w:lang w:val="fr-CH"/>
        </w:rPr>
        <w:t>article </w:t>
      </w:r>
      <w:r w:rsidR="001678CF" w:rsidRPr="00731644">
        <w:rPr>
          <w:lang w:val="fr-CH"/>
        </w:rPr>
        <w:t xml:space="preserve">3 </w:t>
      </w:r>
      <w:r w:rsidR="009907C3" w:rsidRPr="00731644">
        <w:rPr>
          <w:lang w:val="fr-CH"/>
        </w:rPr>
        <w:t xml:space="preserve">dispose que </w:t>
      </w:r>
      <w:r w:rsidR="0083174F" w:rsidRPr="00731644">
        <w:rPr>
          <w:lang w:val="fr-CH"/>
        </w:rPr>
        <w:t>la</w:t>
      </w:r>
      <w:r w:rsidR="009907C3" w:rsidRPr="00731644">
        <w:rPr>
          <w:lang w:val="fr-CH"/>
        </w:rPr>
        <w:t xml:space="preserve"> divulgation de l</w:t>
      </w:r>
      <w:r w:rsidR="00425386" w:rsidRPr="00731644">
        <w:rPr>
          <w:lang w:val="fr-CH"/>
        </w:rPr>
        <w:t>’</w:t>
      </w:r>
      <w:r w:rsidR="001678CF" w:rsidRPr="00731644">
        <w:rPr>
          <w:lang w:val="fr-CH"/>
        </w:rPr>
        <w:t xml:space="preserve">information </w:t>
      </w:r>
      <w:r w:rsidR="009907C3" w:rsidRPr="00731644">
        <w:rPr>
          <w:lang w:val="fr-CH"/>
        </w:rPr>
        <w:t>détenu</w:t>
      </w:r>
      <w:r w:rsidR="007A49B7" w:rsidRPr="00731644">
        <w:rPr>
          <w:lang w:val="fr-CH"/>
        </w:rPr>
        <w:t>e</w:t>
      </w:r>
      <w:r w:rsidR="009907C3" w:rsidRPr="00731644">
        <w:rPr>
          <w:lang w:val="fr-CH"/>
        </w:rPr>
        <w:t xml:space="preserve"> par les pouvoirs publics </w:t>
      </w:r>
      <w:r w:rsidR="007A49B7" w:rsidRPr="00731644">
        <w:rPr>
          <w:lang w:val="fr-CH"/>
        </w:rPr>
        <w:t>répond à l</w:t>
      </w:r>
      <w:r w:rsidR="00425386" w:rsidRPr="00731644">
        <w:rPr>
          <w:lang w:val="fr-CH"/>
        </w:rPr>
        <w:t>’</w:t>
      </w:r>
      <w:r w:rsidR="007A49B7" w:rsidRPr="00731644">
        <w:rPr>
          <w:lang w:val="fr-CH"/>
        </w:rPr>
        <w:t xml:space="preserve">intérêt public. </w:t>
      </w:r>
    </w:p>
    <w:p w:rsidR="001678CF" w:rsidRPr="00731644" w:rsidRDefault="006243E3" w:rsidP="001678CF">
      <w:pPr>
        <w:pStyle w:val="SingleTxtG"/>
        <w:rPr>
          <w:lang w:val="fr-CH"/>
        </w:rPr>
      </w:pPr>
      <w:r w:rsidRPr="00731644">
        <w:rPr>
          <w:lang w:val="fr-CH"/>
        </w:rPr>
        <w:t>176.</w:t>
      </w:r>
      <w:r w:rsidRPr="00731644">
        <w:rPr>
          <w:lang w:val="fr-CH"/>
        </w:rPr>
        <w:tab/>
      </w:r>
      <w:r w:rsidR="00E92993" w:rsidRPr="00731644">
        <w:rPr>
          <w:lang w:val="fr-CH"/>
        </w:rPr>
        <w:t xml:space="preserve">Dans le système juridique monténégrin, les </w:t>
      </w:r>
      <w:r w:rsidR="0079251A" w:rsidRPr="00731644">
        <w:rPr>
          <w:lang w:val="fr-CH"/>
        </w:rPr>
        <w:t>atteintes à</w:t>
      </w:r>
      <w:r w:rsidR="00E92993" w:rsidRPr="00731644">
        <w:rPr>
          <w:lang w:val="fr-CH"/>
        </w:rPr>
        <w:t xml:space="preserve"> l</w:t>
      </w:r>
      <w:r w:rsidR="00425386" w:rsidRPr="00731644">
        <w:rPr>
          <w:lang w:val="fr-CH"/>
        </w:rPr>
        <w:t>’</w:t>
      </w:r>
      <w:r w:rsidR="00E92993" w:rsidRPr="00731644">
        <w:rPr>
          <w:lang w:val="fr-CH"/>
        </w:rPr>
        <w:t>hon</w:t>
      </w:r>
      <w:r w:rsidR="0079251A" w:rsidRPr="00731644">
        <w:rPr>
          <w:lang w:val="fr-CH"/>
        </w:rPr>
        <w:t>n</w:t>
      </w:r>
      <w:r w:rsidR="00E92993" w:rsidRPr="00731644">
        <w:rPr>
          <w:lang w:val="fr-CH"/>
        </w:rPr>
        <w:t xml:space="preserve">eur et </w:t>
      </w:r>
      <w:r w:rsidR="0079251A" w:rsidRPr="00731644">
        <w:rPr>
          <w:lang w:val="fr-CH"/>
        </w:rPr>
        <w:t>à</w:t>
      </w:r>
      <w:r w:rsidR="00E92993" w:rsidRPr="00731644">
        <w:rPr>
          <w:lang w:val="fr-CH"/>
        </w:rPr>
        <w:t xml:space="preserve"> la réputation engagent la responsabilité</w:t>
      </w:r>
      <w:r w:rsidR="00F31DD5" w:rsidRPr="00731644">
        <w:rPr>
          <w:lang w:val="fr-CH"/>
        </w:rPr>
        <w:t xml:space="preserve"> </w:t>
      </w:r>
      <w:r w:rsidR="00E92993" w:rsidRPr="00731644">
        <w:rPr>
          <w:lang w:val="fr-CH"/>
        </w:rPr>
        <w:t xml:space="preserve">pénale </w:t>
      </w:r>
      <w:r w:rsidR="008635FA" w:rsidRPr="00731644">
        <w:rPr>
          <w:lang w:val="fr-CH"/>
        </w:rPr>
        <w:t xml:space="preserve">et </w:t>
      </w:r>
      <w:r w:rsidR="00E92993" w:rsidRPr="00731644">
        <w:rPr>
          <w:lang w:val="fr-CH"/>
        </w:rPr>
        <w:t>civile de leur auteur,</w:t>
      </w:r>
      <w:r w:rsidR="0079251A" w:rsidRPr="00731644">
        <w:rPr>
          <w:lang w:val="fr-CH"/>
        </w:rPr>
        <w:t xml:space="preserve"> et</w:t>
      </w:r>
      <w:r w:rsidR="00E92993" w:rsidRPr="00731644">
        <w:rPr>
          <w:lang w:val="fr-CH"/>
        </w:rPr>
        <w:t xml:space="preserve"> </w:t>
      </w:r>
      <w:r w:rsidR="0079251A" w:rsidRPr="00731644">
        <w:rPr>
          <w:lang w:val="fr-CH"/>
        </w:rPr>
        <w:t>so</w:t>
      </w:r>
      <w:r w:rsidR="00E92993" w:rsidRPr="00731644">
        <w:rPr>
          <w:lang w:val="fr-CH"/>
        </w:rPr>
        <w:t xml:space="preserve">nt donc de la compétence des </w:t>
      </w:r>
      <w:r w:rsidR="0079251A" w:rsidRPr="00731644">
        <w:rPr>
          <w:lang w:val="fr-CH"/>
        </w:rPr>
        <w:t xml:space="preserve">deux catégories de </w:t>
      </w:r>
      <w:r w:rsidR="00E92993" w:rsidRPr="00731644">
        <w:rPr>
          <w:lang w:val="fr-CH"/>
        </w:rPr>
        <w:t>juridictions</w:t>
      </w:r>
      <w:r w:rsidR="00F31DD5" w:rsidRPr="00731644">
        <w:rPr>
          <w:lang w:val="fr-CH"/>
        </w:rPr>
        <w:t>;</w:t>
      </w:r>
      <w:r w:rsidR="00E92993" w:rsidRPr="00731644">
        <w:rPr>
          <w:lang w:val="fr-CH"/>
        </w:rPr>
        <w:t xml:space="preserve"> les infractions pénales donnent lieu à la publication du jugement</w:t>
      </w:r>
      <w:r w:rsidR="001678CF" w:rsidRPr="00731644">
        <w:rPr>
          <w:lang w:val="fr-CH"/>
        </w:rPr>
        <w:t>.</w:t>
      </w:r>
    </w:p>
    <w:p w:rsidR="001678CF" w:rsidRPr="00731644" w:rsidRDefault="006243E3" w:rsidP="00C15A9A">
      <w:pPr>
        <w:pStyle w:val="SingleTxtG"/>
        <w:rPr>
          <w:lang w:val="fr-CH"/>
        </w:rPr>
      </w:pPr>
      <w:r w:rsidRPr="00731644">
        <w:rPr>
          <w:lang w:val="fr-CH"/>
        </w:rPr>
        <w:t>177.</w:t>
      </w:r>
      <w:r w:rsidRPr="00731644">
        <w:rPr>
          <w:lang w:val="fr-CH"/>
        </w:rPr>
        <w:tab/>
      </w:r>
      <w:r w:rsidR="008635FA" w:rsidRPr="00731644">
        <w:rPr>
          <w:lang w:val="fr-CH"/>
        </w:rPr>
        <w:t xml:space="preserve">Au sujet </w:t>
      </w:r>
      <w:r w:rsidR="00E92993" w:rsidRPr="00731644">
        <w:rPr>
          <w:lang w:val="fr-CH"/>
        </w:rPr>
        <w:t xml:space="preserve">de la responsabilité </w:t>
      </w:r>
      <w:r w:rsidR="008635FA" w:rsidRPr="00731644">
        <w:rPr>
          <w:lang w:val="fr-CH"/>
        </w:rPr>
        <w:t xml:space="preserve">pénale </w:t>
      </w:r>
      <w:r w:rsidR="00E868E5" w:rsidRPr="00731644">
        <w:rPr>
          <w:lang w:val="fr-CH"/>
        </w:rPr>
        <w:t>pour atteinte à l</w:t>
      </w:r>
      <w:r w:rsidR="00425386" w:rsidRPr="00731644">
        <w:rPr>
          <w:lang w:val="fr-CH"/>
        </w:rPr>
        <w:t>’</w:t>
      </w:r>
      <w:r w:rsidR="00E868E5" w:rsidRPr="00731644">
        <w:rPr>
          <w:lang w:val="fr-CH"/>
        </w:rPr>
        <w:t>honneur et à la réputation</w:t>
      </w:r>
      <w:r w:rsidR="001678CF" w:rsidRPr="00731644">
        <w:rPr>
          <w:lang w:val="fr-CH"/>
        </w:rPr>
        <w:t xml:space="preserve">, </w:t>
      </w:r>
      <w:r w:rsidR="003F450E" w:rsidRPr="00731644">
        <w:rPr>
          <w:lang w:val="fr-CH"/>
        </w:rPr>
        <w:t xml:space="preserve">signalons que </w:t>
      </w:r>
      <w:r w:rsidR="00E92993" w:rsidRPr="00731644">
        <w:rPr>
          <w:lang w:val="fr-CH"/>
        </w:rPr>
        <w:t>le</w:t>
      </w:r>
      <w:r w:rsidR="001678CF" w:rsidRPr="00731644">
        <w:rPr>
          <w:lang w:val="fr-CH"/>
        </w:rPr>
        <w:t xml:space="preserve"> Code </w:t>
      </w:r>
      <w:r w:rsidR="00E92993" w:rsidRPr="00731644">
        <w:rPr>
          <w:lang w:val="fr-CH"/>
        </w:rPr>
        <w:t xml:space="preserve">pénal de </w:t>
      </w:r>
      <w:r w:rsidR="001678CF" w:rsidRPr="00731644">
        <w:rPr>
          <w:lang w:val="fr-CH"/>
        </w:rPr>
        <w:t>2003</w:t>
      </w:r>
      <w:r w:rsidR="00E92993" w:rsidRPr="00731644">
        <w:rPr>
          <w:lang w:val="fr-CH"/>
        </w:rPr>
        <w:t xml:space="preserve"> </w:t>
      </w:r>
      <w:r w:rsidR="003F450E" w:rsidRPr="00731644">
        <w:rPr>
          <w:lang w:val="fr-CH"/>
        </w:rPr>
        <w:t>a apporté des changements appréciables au traitement de certaines questions de droit pénal</w:t>
      </w:r>
      <w:r w:rsidR="001678CF" w:rsidRPr="00731644">
        <w:rPr>
          <w:lang w:val="fr-CH"/>
        </w:rPr>
        <w:t xml:space="preserve">, </w:t>
      </w:r>
      <w:r w:rsidR="008635FA" w:rsidRPr="00731644">
        <w:rPr>
          <w:lang w:val="fr-CH"/>
        </w:rPr>
        <w:t xml:space="preserve">parmi lesquelles figurent la </w:t>
      </w:r>
      <w:r w:rsidR="003F450E" w:rsidRPr="00731644">
        <w:rPr>
          <w:lang w:val="fr-CH"/>
        </w:rPr>
        <w:t>diffamation et l</w:t>
      </w:r>
      <w:r w:rsidR="00425386" w:rsidRPr="00731644">
        <w:rPr>
          <w:lang w:val="fr-CH"/>
        </w:rPr>
        <w:t>’</w:t>
      </w:r>
      <w:r w:rsidR="003F450E" w:rsidRPr="00731644">
        <w:rPr>
          <w:lang w:val="fr-CH"/>
        </w:rPr>
        <w:t>insulte, c</w:t>
      </w:r>
      <w:r w:rsidR="00425386" w:rsidRPr="00731644">
        <w:rPr>
          <w:lang w:val="fr-CH"/>
        </w:rPr>
        <w:t>’</w:t>
      </w:r>
      <w:r w:rsidR="003F450E" w:rsidRPr="00731644">
        <w:rPr>
          <w:lang w:val="fr-CH"/>
        </w:rPr>
        <w:t>est-à-dire l</w:t>
      </w:r>
      <w:r w:rsidR="00425386" w:rsidRPr="00731644">
        <w:rPr>
          <w:lang w:val="fr-CH"/>
        </w:rPr>
        <w:t>’</w:t>
      </w:r>
      <w:r w:rsidR="003F450E" w:rsidRPr="00731644">
        <w:rPr>
          <w:lang w:val="fr-CH"/>
        </w:rPr>
        <w:t>ensemble des atteintes à l</w:t>
      </w:r>
      <w:r w:rsidR="00425386" w:rsidRPr="00731644">
        <w:rPr>
          <w:lang w:val="fr-CH"/>
        </w:rPr>
        <w:t>’</w:t>
      </w:r>
      <w:r w:rsidR="003F450E" w:rsidRPr="00731644">
        <w:rPr>
          <w:lang w:val="fr-CH"/>
        </w:rPr>
        <w:t>honneur et à la réputation</w:t>
      </w:r>
      <w:r w:rsidRPr="00731644">
        <w:rPr>
          <w:rStyle w:val="FootnoteReference"/>
          <w:lang w:val="fr-CH"/>
        </w:rPr>
        <w:footnoteReference w:id="18"/>
      </w:r>
      <w:r w:rsidR="003F450E" w:rsidRPr="00731644">
        <w:rPr>
          <w:lang w:val="fr-CH"/>
        </w:rPr>
        <w:t>.</w:t>
      </w:r>
      <w:r w:rsidR="001678CF" w:rsidRPr="00731644">
        <w:rPr>
          <w:lang w:val="fr-CH"/>
        </w:rPr>
        <w:t xml:space="preserve"> </w:t>
      </w:r>
      <w:r w:rsidR="000B6020" w:rsidRPr="00731644">
        <w:rPr>
          <w:lang w:val="fr-CH"/>
        </w:rPr>
        <w:t>Au lieu de la peine de prison prévue</w:t>
      </w:r>
      <w:r w:rsidR="00091064" w:rsidRPr="00731644">
        <w:rPr>
          <w:lang w:val="fr-CH"/>
        </w:rPr>
        <w:t xml:space="preserve"> antérieurement</w:t>
      </w:r>
      <w:r w:rsidR="000B6020" w:rsidRPr="00731644">
        <w:rPr>
          <w:lang w:val="fr-CH"/>
        </w:rPr>
        <w:t>, c</w:t>
      </w:r>
      <w:r w:rsidR="003F450E" w:rsidRPr="00731644">
        <w:rPr>
          <w:lang w:val="fr-CH"/>
        </w:rPr>
        <w:t xml:space="preserve">es infractions </w:t>
      </w:r>
      <w:r w:rsidR="008635FA" w:rsidRPr="00731644">
        <w:rPr>
          <w:lang w:val="fr-CH"/>
        </w:rPr>
        <w:t>n</w:t>
      </w:r>
      <w:r w:rsidR="00425386" w:rsidRPr="00731644">
        <w:rPr>
          <w:lang w:val="fr-CH"/>
        </w:rPr>
        <w:t>’</w:t>
      </w:r>
      <w:r w:rsidR="008635FA" w:rsidRPr="00731644">
        <w:rPr>
          <w:lang w:val="fr-CH"/>
        </w:rPr>
        <w:t>entraînent plus</w:t>
      </w:r>
      <w:r w:rsidR="003F450E" w:rsidRPr="00731644">
        <w:rPr>
          <w:lang w:val="fr-CH"/>
        </w:rPr>
        <w:t xml:space="preserve"> </w:t>
      </w:r>
      <w:r w:rsidR="000B6020" w:rsidRPr="00731644">
        <w:rPr>
          <w:lang w:val="fr-CH"/>
        </w:rPr>
        <w:t xml:space="preserve">maintenant </w:t>
      </w:r>
      <w:r w:rsidR="003F450E" w:rsidRPr="00731644">
        <w:rPr>
          <w:lang w:val="fr-CH"/>
        </w:rPr>
        <w:t>qu</w:t>
      </w:r>
      <w:r w:rsidR="00425386" w:rsidRPr="00731644">
        <w:rPr>
          <w:lang w:val="fr-CH"/>
        </w:rPr>
        <w:t>’</w:t>
      </w:r>
      <w:r w:rsidR="003F450E" w:rsidRPr="00731644">
        <w:rPr>
          <w:lang w:val="fr-CH"/>
        </w:rPr>
        <w:t>une amende – à l</w:t>
      </w:r>
      <w:r w:rsidR="00425386" w:rsidRPr="00731644">
        <w:rPr>
          <w:lang w:val="fr-CH"/>
        </w:rPr>
        <w:t>’</w:t>
      </w:r>
      <w:r w:rsidR="003F450E" w:rsidRPr="00731644">
        <w:rPr>
          <w:lang w:val="fr-CH"/>
        </w:rPr>
        <w:t>ex</w:t>
      </w:r>
      <w:r w:rsidR="000B6020" w:rsidRPr="00731644">
        <w:rPr>
          <w:lang w:val="fr-CH"/>
        </w:rPr>
        <w:t>clusion de toute autre sanction</w:t>
      </w:r>
      <w:r w:rsidR="003F450E" w:rsidRPr="00731644">
        <w:rPr>
          <w:lang w:val="fr-CH"/>
        </w:rPr>
        <w:t>.</w:t>
      </w:r>
      <w:r w:rsidR="00F31DD5" w:rsidRPr="00731644">
        <w:rPr>
          <w:lang w:val="fr-CH"/>
        </w:rPr>
        <w:t xml:space="preserve"> </w:t>
      </w:r>
      <w:r w:rsidR="00667E81" w:rsidRPr="00731644">
        <w:rPr>
          <w:lang w:val="fr-CH"/>
        </w:rPr>
        <w:t>De fait, l</w:t>
      </w:r>
      <w:r w:rsidR="00425386" w:rsidRPr="00731644">
        <w:rPr>
          <w:lang w:val="fr-CH"/>
        </w:rPr>
        <w:t>’</w:t>
      </w:r>
      <w:r w:rsidR="00667E81" w:rsidRPr="00731644">
        <w:rPr>
          <w:lang w:val="fr-CH"/>
        </w:rPr>
        <w:t>assistance spécialisée apportée par le Conseil de l</w:t>
      </w:r>
      <w:r w:rsidR="00425386" w:rsidRPr="00731644">
        <w:rPr>
          <w:lang w:val="fr-CH"/>
        </w:rPr>
        <w:t>’</w:t>
      </w:r>
      <w:r w:rsidR="00667E81" w:rsidRPr="00731644">
        <w:rPr>
          <w:lang w:val="fr-CH"/>
        </w:rPr>
        <w:t>Europe, auquel le Ministère de la justice fait systématiquement appel pour la rédaction des projets de loi, comporte une analyse de droit comparé, laquelle a révélé que les infractions d</w:t>
      </w:r>
      <w:r w:rsidR="00425386" w:rsidRPr="00731644">
        <w:rPr>
          <w:lang w:val="fr-CH"/>
        </w:rPr>
        <w:t>’</w:t>
      </w:r>
      <w:r w:rsidR="00667E81" w:rsidRPr="00731644">
        <w:rPr>
          <w:lang w:val="fr-CH"/>
        </w:rPr>
        <w:t>insulte et de diffamation sont couramment réprimées par le droit pénal des pays européens et que</w:t>
      </w:r>
      <w:r w:rsidR="001678CF" w:rsidRPr="00731644">
        <w:rPr>
          <w:lang w:val="fr-CH"/>
        </w:rPr>
        <w:t xml:space="preserve"> </w:t>
      </w:r>
      <w:r w:rsidR="00667E81" w:rsidRPr="00731644">
        <w:rPr>
          <w:lang w:val="fr-CH"/>
        </w:rPr>
        <w:t>cela n</w:t>
      </w:r>
      <w:r w:rsidR="00425386" w:rsidRPr="00731644">
        <w:rPr>
          <w:lang w:val="fr-CH"/>
        </w:rPr>
        <w:t>’</w:t>
      </w:r>
      <w:r w:rsidR="00667E81" w:rsidRPr="00731644">
        <w:rPr>
          <w:lang w:val="fr-CH"/>
        </w:rPr>
        <w:t>est contraire ni à la jurisprudence de la Cour européenne des droits de l</w:t>
      </w:r>
      <w:r w:rsidR="00425386" w:rsidRPr="00731644">
        <w:rPr>
          <w:lang w:val="fr-CH"/>
        </w:rPr>
        <w:t>’</w:t>
      </w:r>
      <w:r w:rsidR="00667E81" w:rsidRPr="00731644">
        <w:rPr>
          <w:lang w:val="fr-CH"/>
        </w:rPr>
        <w:t xml:space="preserve">homme ni à </w:t>
      </w:r>
      <w:r w:rsidR="00374D76" w:rsidRPr="00731644">
        <w:rPr>
          <w:lang w:val="fr-CH"/>
        </w:rPr>
        <w:t>l</w:t>
      </w:r>
      <w:r w:rsidR="00425386" w:rsidRPr="00731644">
        <w:rPr>
          <w:lang w:val="fr-CH"/>
        </w:rPr>
        <w:t>’</w:t>
      </w:r>
      <w:r w:rsidR="001753EC">
        <w:rPr>
          <w:lang w:val="fr-CH"/>
        </w:rPr>
        <w:t>article </w:t>
      </w:r>
      <w:r w:rsidR="00667E81" w:rsidRPr="00731644">
        <w:rPr>
          <w:lang w:val="fr-CH"/>
        </w:rPr>
        <w:t>10 de la</w:t>
      </w:r>
      <w:r w:rsidR="00F31DD5" w:rsidRPr="00731644">
        <w:rPr>
          <w:lang w:val="fr-CH"/>
        </w:rPr>
        <w:t xml:space="preserve"> </w:t>
      </w:r>
      <w:r w:rsidR="001678CF" w:rsidRPr="00731644">
        <w:rPr>
          <w:lang w:val="fr-CH"/>
        </w:rPr>
        <w:t xml:space="preserve">Convention </w:t>
      </w:r>
      <w:r w:rsidR="00667E81" w:rsidRPr="00731644">
        <w:rPr>
          <w:lang w:val="fr-CH"/>
        </w:rPr>
        <w:t>européenne de sauvegarde des droits de l</w:t>
      </w:r>
      <w:r w:rsidR="00425386" w:rsidRPr="00731644">
        <w:rPr>
          <w:lang w:val="fr-CH"/>
        </w:rPr>
        <w:t>’</w:t>
      </w:r>
      <w:r w:rsidR="00667E81" w:rsidRPr="00731644">
        <w:rPr>
          <w:lang w:val="fr-CH"/>
        </w:rPr>
        <w:t xml:space="preserve">homme et des libertés fondamentales. </w:t>
      </w:r>
      <w:r w:rsidR="000B6020" w:rsidRPr="00731644">
        <w:rPr>
          <w:lang w:val="fr-CH"/>
        </w:rPr>
        <w:t>Il ressort d</w:t>
      </w:r>
      <w:r w:rsidR="00667E81" w:rsidRPr="00731644">
        <w:rPr>
          <w:lang w:val="fr-CH"/>
        </w:rPr>
        <w:t xml:space="preserve">es travaux de recherche menés </w:t>
      </w:r>
      <w:r w:rsidR="000B6020" w:rsidRPr="00731644">
        <w:rPr>
          <w:lang w:val="fr-CH"/>
        </w:rPr>
        <w:t xml:space="preserve">en 2003 </w:t>
      </w:r>
      <w:r w:rsidR="00667E81" w:rsidRPr="00731644">
        <w:rPr>
          <w:lang w:val="fr-CH"/>
        </w:rPr>
        <w:t>par la division des médias de la Direction générale des droits de l</w:t>
      </w:r>
      <w:r w:rsidR="00425386" w:rsidRPr="00731644">
        <w:rPr>
          <w:lang w:val="fr-CH"/>
        </w:rPr>
        <w:t>’</w:t>
      </w:r>
      <w:r w:rsidR="00667E81" w:rsidRPr="00731644">
        <w:rPr>
          <w:lang w:val="fr-CH"/>
        </w:rPr>
        <w:t>homme du Conseil de l</w:t>
      </w:r>
      <w:r w:rsidR="00425386" w:rsidRPr="00731644">
        <w:rPr>
          <w:lang w:val="fr-CH"/>
        </w:rPr>
        <w:t>’</w:t>
      </w:r>
      <w:r w:rsidR="00667E81" w:rsidRPr="00731644">
        <w:rPr>
          <w:lang w:val="fr-CH"/>
        </w:rPr>
        <w:t xml:space="preserve">Europe que deux pays </w:t>
      </w:r>
      <w:r w:rsidR="00915D51" w:rsidRPr="00731644">
        <w:rPr>
          <w:lang w:val="fr-CH"/>
        </w:rPr>
        <w:t xml:space="preserve">européens </w:t>
      </w:r>
      <w:r w:rsidR="00667E81" w:rsidRPr="00731644">
        <w:rPr>
          <w:lang w:val="fr-CH"/>
        </w:rPr>
        <w:t>seulement</w:t>
      </w:r>
      <w:r w:rsidR="00915D51" w:rsidRPr="00731644">
        <w:rPr>
          <w:lang w:val="fr-CH"/>
        </w:rPr>
        <w:t xml:space="preserve"> </w:t>
      </w:r>
      <w:r w:rsidR="001678CF" w:rsidRPr="00731644">
        <w:rPr>
          <w:lang w:val="fr-CH"/>
        </w:rPr>
        <w:t>(</w:t>
      </w:r>
      <w:r w:rsidR="00915D51" w:rsidRPr="00731644">
        <w:rPr>
          <w:lang w:val="fr-CH"/>
        </w:rPr>
        <w:t>le Royaume-Uni de Grande-Bretagne et d</w:t>
      </w:r>
      <w:r w:rsidR="00425386" w:rsidRPr="00731644">
        <w:rPr>
          <w:lang w:val="fr-CH"/>
        </w:rPr>
        <w:t>’</w:t>
      </w:r>
      <w:r w:rsidR="00915D51" w:rsidRPr="00731644">
        <w:rPr>
          <w:lang w:val="fr-CH"/>
        </w:rPr>
        <w:t>Irlande du Nord et la Bosn</w:t>
      </w:r>
      <w:r w:rsidR="000B6020" w:rsidRPr="00731644">
        <w:rPr>
          <w:lang w:val="fr-CH"/>
        </w:rPr>
        <w:t>ie</w:t>
      </w:r>
      <w:r w:rsidR="00915D51" w:rsidRPr="00731644">
        <w:rPr>
          <w:lang w:val="fr-CH"/>
        </w:rPr>
        <w:t>-Herzégovine) parmi les quarante étud</w:t>
      </w:r>
      <w:r w:rsidR="00E868E5" w:rsidRPr="00731644">
        <w:rPr>
          <w:lang w:val="fr-CH"/>
        </w:rPr>
        <w:t>iés</w:t>
      </w:r>
      <w:r w:rsidR="00915D51" w:rsidRPr="00731644">
        <w:rPr>
          <w:lang w:val="fr-CH"/>
        </w:rPr>
        <w:t xml:space="preserve"> ne sanctionnent pas les atteintes à l</w:t>
      </w:r>
      <w:r w:rsidR="00425386" w:rsidRPr="00731644">
        <w:rPr>
          <w:lang w:val="fr-CH"/>
        </w:rPr>
        <w:t>’</w:t>
      </w:r>
      <w:r w:rsidR="00915D51" w:rsidRPr="00731644">
        <w:rPr>
          <w:lang w:val="fr-CH"/>
        </w:rPr>
        <w:t>honneur et à la réputation.</w:t>
      </w:r>
      <w:r w:rsidR="00F31DD5" w:rsidRPr="00731644">
        <w:rPr>
          <w:lang w:val="fr-CH"/>
        </w:rPr>
        <w:t xml:space="preserve"> </w:t>
      </w:r>
      <w:r w:rsidR="00915D51" w:rsidRPr="00731644">
        <w:rPr>
          <w:lang w:val="fr-CH"/>
        </w:rPr>
        <w:t xml:space="preserve">En abolissant la peine de prison </w:t>
      </w:r>
      <w:r w:rsidR="00091064" w:rsidRPr="00731644">
        <w:rPr>
          <w:lang w:val="fr-CH"/>
        </w:rPr>
        <w:t>à ce titre</w:t>
      </w:r>
      <w:r w:rsidR="00915D51" w:rsidRPr="00731644">
        <w:rPr>
          <w:lang w:val="fr-CH"/>
        </w:rPr>
        <w:t>, le Monténégro</w:t>
      </w:r>
      <w:r w:rsidR="00F31DD5" w:rsidRPr="00731644">
        <w:rPr>
          <w:lang w:val="fr-CH"/>
        </w:rPr>
        <w:t xml:space="preserve"> </w:t>
      </w:r>
      <w:r w:rsidR="00915D51" w:rsidRPr="00731644">
        <w:rPr>
          <w:lang w:val="fr-CH"/>
        </w:rPr>
        <w:t xml:space="preserve">a donc </w:t>
      </w:r>
      <w:r w:rsidR="00091064" w:rsidRPr="00731644">
        <w:rPr>
          <w:lang w:val="fr-CH"/>
        </w:rPr>
        <w:t>accompli un important progrès</w:t>
      </w:r>
      <w:r w:rsidR="00915D51" w:rsidRPr="00731644">
        <w:rPr>
          <w:lang w:val="fr-CH"/>
        </w:rPr>
        <w:t>.</w:t>
      </w:r>
      <w:r w:rsidR="001678CF" w:rsidRPr="00731644">
        <w:rPr>
          <w:lang w:val="fr-CH"/>
        </w:rPr>
        <w:t xml:space="preserve"> </w:t>
      </w:r>
      <w:r w:rsidR="00915D51" w:rsidRPr="00731644">
        <w:rPr>
          <w:lang w:val="fr-CH"/>
        </w:rPr>
        <w:t xml:space="preserve">Les </w:t>
      </w:r>
      <w:r w:rsidR="00091064" w:rsidRPr="00731644">
        <w:rPr>
          <w:lang w:val="fr-CH"/>
        </w:rPr>
        <w:t>poursuites consécutives à une atteinte à l</w:t>
      </w:r>
      <w:r w:rsidR="00425386" w:rsidRPr="00731644">
        <w:rPr>
          <w:lang w:val="fr-CH"/>
        </w:rPr>
        <w:t>’</w:t>
      </w:r>
      <w:r w:rsidR="00091064" w:rsidRPr="00731644">
        <w:rPr>
          <w:lang w:val="fr-CH"/>
        </w:rPr>
        <w:t>honneur et à la réputation</w:t>
      </w:r>
      <w:r w:rsidR="00915D51" w:rsidRPr="00731644">
        <w:rPr>
          <w:lang w:val="fr-CH"/>
        </w:rPr>
        <w:t xml:space="preserve">, </w:t>
      </w:r>
      <w:r w:rsidR="00091064" w:rsidRPr="00731644">
        <w:rPr>
          <w:lang w:val="fr-CH"/>
        </w:rPr>
        <w:t>qui</w:t>
      </w:r>
      <w:r w:rsidR="00915D51" w:rsidRPr="00731644">
        <w:rPr>
          <w:lang w:val="fr-CH"/>
        </w:rPr>
        <w:t xml:space="preserve"> étaient naguère engagées d</w:t>
      </w:r>
      <w:r w:rsidR="00425386" w:rsidRPr="00731644">
        <w:rPr>
          <w:lang w:val="fr-CH"/>
        </w:rPr>
        <w:t>’</w:t>
      </w:r>
      <w:r w:rsidR="00915D51" w:rsidRPr="00731644">
        <w:rPr>
          <w:lang w:val="fr-CH"/>
        </w:rPr>
        <w:t xml:space="preserve">office, </w:t>
      </w:r>
      <w:r w:rsidR="00091064" w:rsidRPr="00731644">
        <w:rPr>
          <w:lang w:val="fr-CH"/>
        </w:rPr>
        <w:t>sont</w:t>
      </w:r>
      <w:r w:rsidR="00915D51" w:rsidRPr="00731644">
        <w:rPr>
          <w:lang w:val="fr-CH"/>
        </w:rPr>
        <w:t xml:space="preserve"> maintenant </w:t>
      </w:r>
      <w:r w:rsidR="00091064" w:rsidRPr="00731644">
        <w:rPr>
          <w:lang w:val="fr-CH"/>
        </w:rPr>
        <w:t>laissées à l</w:t>
      </w:r>
      <w:r w:rsidR="00425386" w:rsidRPr="00731644">
        <w:rPr>
          <w:lang w:val="fr-CH"/>
        </w:rPr>
        <w:t>’</w:t>
      </w:r>
      <w:r w:rsidR="00091064" w:rsidRPr="00731644">
        <w:rPr>
          <w:lang w:val="fr-CH"/>
        </w:rPr>
        <w:t>initiative</w:t>
      </w:r>
      <w:r w:rsidR="00915D51" w:rsidRPr="00731644">
        <w:rPr>
          <w:lang w:val="fr-CH"/>
        </w:rPr>
        <w:t xml:space="preserve"> privée.</w:t>
      </w:r>
      <w:r w:rsidR="006443F6" w:rsidRPr="00731644">
        <w:rPr>
          <w:lang w:val="fr-CH"/>
        </w:rPr>
        <w:t xml:space="preserve"> </w:t>
      </w:r>
    </w:p>
    <w:p w:rsidR="001678CF" w:rsidRPr="00731644" w:rsidRDefault="006243E3" w:rsidP="00D53B48">
      <w:pPr>
        <w:pStyle w:val="SingleTxtG"/>
        <w:rPr>
          <w:lang w:val="fr-CH"/>
        </w:rPr>
      </w:pPr>
      <w:r w:rsidRPr="00731644">
        <w:rPr>
          <w:lang w:val="fr-CH"/>
        </w:rPr>
        <w:t>178.</w:t>
      </w:r>
      <w:r w:rsidRPr="00731644">
        <w:rPr>
          <w:lang w:val="fr-CH"/>
        </w:rPr>
        <w:tab/>
      </w:r>
      <w:r w:rsidR="0054656A" w:rsidRPr="00731644">
        <w:rPr>
          <w:lang w:val="fr-CH"/>
        </w:rPr>
        <w:t>La loi portant modification du Code pénal, adoptée par le Parlement le</w:t>
      </w:r>
      <w:r w:rsidR="001678CF" w:rsidRPr="00731644">
        <w:rPr>
          <w:lang w:val="fr-CH"/>
        </w:rPr>
        <w:t xml:space="preserve"> 22 </w:t>
      </w:r>
      <w:r w:rsidR="0054656A" w:rsidRPr="00731644">
        <w:rPr>
          <w:lang w:val="fr-CH"/>
        </w:rPr>
        <w:t>juin</w:t>
      </w:r>
      <w:r w:rsidR="001678CF" w:rsidRPr="00731644">
        <w:rPr>
          <w:lang w:val="fr-CH"/>
        </w:rPr>
        <w:t xml:space="preserve"> 2011, </w:t>
      </w:r>
      <w:r w:rsidR="0054656A" w:rsidRPr="00731644">
        <w:rPr>
          <w:lang w:val="fr-CH"/>
        </w:rPr>
        <w:t>a éliminé</w:t>
      </w:r>
      <w:r w:rsidR="00F31DD5" w:rsidRPr="00731644">
        <w:rPr>
          <w:lang w:val="fr-CH"/>
        </w:rPr>
        <w:t xml:space="preserve"> </w:t>
      </w:r>
      <w:r w:rsidR="0054656A" w:rsidRPr="00731644">
        <w:rPr>
          <w:lang w:val="fr-CH"/>
        </w:rPr>
        <w:t>les infractions d</w:t>
      </w:r>
      <w:r w:rsidR="00425386" w:rsidRPr="00731644">
        <w:rPr>
          <w:lang w:val="fr-CH"/>
        </w:rPr>
        <w:t>’</w:t>
      </w:r>
      <w:r w:rsidR="0054656A" w:rsidRPr="00731644">
        <w:rPr>
          <w:lang w:val="fr-CH"/>
        </w:rPr>
        <w:t>insulte</w:t>
      </w:r>
      <w:r w:rsidR="001678CF" w:rsidRPr="00731644">
        <w:rPr>
          <w:lang w:val="fr-CH"/>
        </w:rPr>
        <w:t xml:space="preserve"> (</w:t>
      </w:r>
      <w:r w:rsidR="00F31DD5" w:rsidRPr="00731644">
        <w:rPr>
          <w:lang w:val="fr-CH"/>
        </w:rPr>
        <w:t>art. </w:t>
      </w:r>
      <w:r w:rsidR="001678CF" w:rsidRPr="00731644">
        <w:rPr>
          <w:lang w:val="fr-CH"/>
        </w:rPr>
        <w:t xml:space="preserve">195) </w:t>
      </w:r>
      <w:r w:rsidR="0054656A" w:rsidRPr="00731644">
        <w:rPr>
          <w:lang w:val="fr-CH"/>
        </w:rPr>
        <w:t>et de diffa</w:t>
      </w:r>
      <w:r w:rsidR="001678CF" w:rsidRPr="00731644">
        <w:rPr>
          <w:lang w:val="fr-CH"/>
        </w:rPr>
        <w:t>mation (</w:t>
      </w:r>
      <w:r w:rsidR="00F31DD5" w:rsidRPr="00731644">
        <w:rPr>
          <w:lang w:val="fr-CH"/>
        </w:rPr>
        <w:t>art. </w:t>
      </w:r>
      <w:r w:rsidR="001678CF" w:rsidRPr="00731644">
        <w:rPr>
          <w:lang w:val="fr-CH"/>
        </w:rPr>
        <w:t xml:space="preserve">196), </w:t>
      </w:r>
      <w:r w:rsidR="0054656A" w:rsidRPr="00731644">
        <w:rPr>
          <w:lang w:val="fr-CH"/>
        </w:rPr>
        <w:t>qui n</w:t>
      </w:r>
      <w:r w:rsidR="00425386" w:rsidRPr="00731644">
        <w:rPr>
          <w:lang w:val="fr-CH"/>
        </w:rPr>
        <w:t>’</w:t>
      </w:r>
      <w:r w:rsidR="0054656A" w:rsidRPr="00731644">
        <w:rPr>
          <w:lang w:val="fr-CH"/>
        </w:rPr>
        <w:t>existent donc plus en tant que telles</w:t>
      </w:r>
      <w:r w:rsidR="001678CF" w:rsidRPr="00731644">
        <w:rPr>
          <w:lang w:val="fr-CH"/>
        </w:rPr>
        <w:t xml:space="preserve">. </w:t>
      </w:r>
      <w:r w:rsidR="0054656A" w:rsidRPr="00731644">
        <w:rPr>
          <w:lang w:val="fr-CH"/>
        </w:rPr>
        <w:t xml:space="preserve">Les victimes éventuelles devront demander réparation par une action civile, et les affaires seront traitées exclusivement par les juridictions civiles. </w:t>
      </w:r>
    </w:p>
    <w:p w:rsidR="001678CF" w:rsidRPr="00731644" w:rsidRDefault="006243E3" w:rsidP="001678CF">
      <w:pPr>
        <w:pStyle w:val="SingleTxtG"/>
        <w:rPr>
          <w:lang w:val="fr-CH"/>
        </w:rPr>
      </w:pPr>
      <w:r w:rsidRPr="00731644">
        <w:rPr>
          <w:lang w:val="fr-CH"/>
        </w:rPr>
        <w:t>179.</w:t>
      </w:r>
      <w:r w:rsidRPr="00731644">
        <w:rPr>
          <w:lang w:val="fr-CH"/>
        </w:rPr>
        <w:tab/>
      </w:r>
      <w:r w:rsidR="008D60A8" w:rsidRPr="00731644">
        <w:rPr>
          <w:lang w:val="fr-CH"/>
        </w:rPr>
        <w:t>La par</w:t>
      </w:r>
      <w:r w:rsidR="00E23BF3" w:rsidRPr="00731644">
        <w:rPr>
          <w:lang w:val="fr-CH"/>
        </w:rPr>
        <w:t>t</w:t>
      </w:r>
      <w:r w:rsidR="008D60A8" w:rsidRPr="00731644">
        <w:rPr>
          <w:lang w:val="fr-CH"/>
        </w:rPr>
        <w:t>ie générale du</w:t>
      </w:r>
      <w:r w:rsidR="001678CF" w:rsidRPr="00731644">
        <w:rPr>
          <w:lang w:val="fr-CH"/>
        </w:rPr>
        <w:t xml:space="preserve"> Code </w:t>
      </w:r>
      <w:r w:rsidR="008D60A8" w:rsidRPr="00731644">
        <w:rPr>
          <w:lang w:val="fr-CH"/>
        </w:rPr>
        <w:t>pénal indique que</w:t>
      </w:r>
      <w:r w:rsidR="00672C2F" w:rsidRPr="00731644">
        <w:rPr>
          <w:lang w:val="fr-CH"/>
        </w:rPr>
        <w:t>, lorsqu</w:t>
      </w:r>
      <w:r w:rsidR="00425386" w:rsidRPr="00731644">
        <w:rPr>
          <w:lang w:val="fr-CH"/>
        </w:rPr>
        <w:t>’</w:t>
      </w:r>
      <w:r w:rsidR="008D60A8" w:rsidRPr="00731644">
        <w:rPr>
          <w:lang w:val="fr-CH"/>
        </w:rPr>
        <w:t>une condamnation a été prononcée à la suite d</w:t>
      </w:r>
      <w:r w:rsidR="00425386" w:rsidRPr="00731644">
        <w:rPr>
          <w:lang w:val="fr-CH"/>
        </w:rPr>
        <w:t>’</w:t>
      </w:r>
      <w:r w:rsidR="008D60A8" w:rsidRPr="00731644">
        <w:rPr>
          <w:lang w:val="fr-CH"/>
        </w:rPr>
        <w:t>une infraction commise</w:t>
      </w:r>
      <w:r w:rsidR="00F31DD5" w:rsidRPr="00731644">
        <w:rPr>
          <w:lang w:val="fr-CH"/>
        </w:rPr>
        <w:t xml:space="preserve"> </w:t>
      </w:r>
      <w:r w:rsidR="008D60A8" w:rsidRPr="00731644">
        <w:rPr>
          <w:lang w:val="fr-CH"/>
        </w:rPr>
        <w:t xml:space="preserve">par </w:t>
      </w:r>
      <w:r w:rsidR="00672C2F" w:rsidRPr="00731644">
        <w:rPr>
          <w:lang w:val="fr-CH"/>
        </w:rPr>
        <w:t>la voie</w:t>
      </w:r>
      <w:r w:rsidR="008D60A8" w:rsidRPr="00731644">
        <w:rPr>
          <w:lang w:val="fr-CH"/>
        </w:rPr>
        <w:t xml:space="preserve"> </w:t>
      </w:r>
      <w:r w:rsidR="007910DA" w:rsidRPr="00731644">
        <w:rPr>
          <w:lang w:val="fr-CH"/>
        </w:rPr>
        <w:t>d</w:t>
      </w:r>
      <w:r w:rsidR="00425386" w:rsidRPr="00731644">
        <w:rPr>
          <w:lang w:val="fr-CH"/>
        </w:rPr>
        <w:t>’</w:t>
      </w:r>
      <w:r w:rsidR="007910DA" w:rsidRPr="00731644">
        <w:rPr>
          <w:lang w:val="fr-CH"/>
        </w:rPr>
        <w:t>un</w:t>
      </w:r>
      <w:r w:rsidR="008D60A8" w:rsidRPr="00731644">
        <w:rPr>
          <w:lang w:val="fr-CH"/>
        </w:rPr>
        <w:t xml:space="preserve"> média</w:t>
      </w:r>
      <w:r w:rsidR="00F31DD5" w:rsidRPr="00731644">
        <w:rPr>
          <w:lang w:val="fr-CH"/>
        </w:rPr>
        <w:t xml:space="preserve"> </w:t>
      </w:r>
      <w:r w:rsidR="008D60A8" w:rsidRPr="00731644">
        <w:rPr>
          <w:lang w:val="fr-CH"/>
        </w:rPr>
        <w:t xml:space="preserve">et </w:t>
      </w:r>
      <w:r w:rsidR="00672C2F" w:rsidRPr="00731644">
        <w:rPr>
          <w:lang w:val="fr-CH"/>
        </w:rPr>
        <w:t>que</w:t>
      </w:r>
      <w:r w:rsidR="008D60A8" w:rsidRPr="00731644">
        <w:rPr>
          <w:lang w:val="fr-CH"/>
        </w:rPr>
        <w:t xml:space="preserve"> </w:t>
      </w:r>
      <w:r w:rsidR="00672C2F" w:rsidRPr="00731644">
        <w:rPr>
          <w:lang w:val="fr-CH"/>
        </w:rPr>
        <w:t>s</w:t>
      </w:r>
      <w:r w:rsidR="008D60A8" w:rsidRPr="00731644">
        <w:rPr>
          <w:lang w:val="fr-CH"/>
        </w:rPr>
        <w:t xml:space="preserve">a publication </w:t>
      </w:r>
      <w:r w:rsidR="00672C2F" w:rsidRPr="00731644">
        <w:rPr>
          <w:lang w:val="fr-CH"/>
        </w:rPr>
        <w:t>est de nature à contribuer</w:t>
      </w:r>
      <w:r w:rsidR="008D60A8" w:rsidRPr="00731644">
        <w:rPr>
          <w:lang w:val="fr-CH"/>
        </w:rPr>
        <w:t xml:space="preserve"> à </w:t>
      </w:r>
      <w:r w:rsidR="007910DA" w:rsidRPr="00731644">
        <w:rPr>
          <w:lang w:val="fr-CH"/>
        </w:rPr>
        <w:t>effacer</w:t>
      </w:r>
      <w:r w:rsidR="008D60A8" w:rsidRPr="00731644">
        <w:rPr>
          <w:lang w:val="fr-CH"/>
        </w:rPr>
        <w:t xml:space="preserve"> ou à </w:t>
      </w:r>
      <w:r w:rsidR="007910DA" w:rsidRPr="00731644">
        <w:rPr>
          <w:lang w:val="fr-CH"/>
        </w:rPr>
        <w:t>atténuer</w:t>
      </w:r>
      <w:r w:rsidR="008D60A8" w:rsidRPr="00731644">
        <w:rPr>
          <w:lang w:val="fr-CH"/>
        </w:rPr>
        <w:t xml:space="preserve"> le préjudice</w:t>
      </w:r>
      <w:r w:rsidR="00684AF0" w:rsidRPr="00731644">
        <w:rPr>
          <w:lang w:val="fr-CH"/>
        </w:rPr>
        <w:t xml:space="preserve"> causé</w:t>
      </w:r>
      <w:r w:rsidR="008D60A8" w:rsidRPr="00731644">
        <w:rPr>
          <w:lang w:val="fr-CH"/>
        </w:rPr>
        <w:t>, le tribunal peut décider de faire publier aux frais de la personne condamnée la totalité ou une partie du</w:t>
      </w:r>
      <w:r w:rsidR="00F31DD5" w:rsidRPr="00731644">
        <w:rPr>
          <w:lang w:val="fr-CH"/>
        </w:rPr>
        <w:t xml:space="preserve"> </w:t>
      </w:r>
      <w:r w:rsidR="008D60A8" w:rsidRPr="00731644">
        <w:rPr>
          <w:lang w:val="fr-CH"/>
        </w:rPr>
        <w:t>jugement</w:t>
      </w:r>
      <w:r w:rsidR="001678CF" w:rsidRPr="00731644">
        <w:rPr>
          <w:lang w:val="fr-CH"/>
        </w:rPr>
        <w:t xml:space="preserve">, </w:t>
      </w:r>
      <w:r w:rsidR="008D60A8" w:rsidRPr="00731644">
        <w:rPr>
          <w:lang w:val="fr-CH"/>
        </w:rPr>
        <w:t>par le même média ou autre</w:t>
      </w:r>
      <w:r w:rsidR="001F61A5" w:rsidRPr="00731644">
        <w:rPr>
          <w:lang w:val="fr-CH"/>
        </w:rPr>
        <w:t>ment</w:t>
      </w:r>
      <w:r w:rsidR="008D60A8" w:rsidRPr="00731644">
        <w:rPr>
          <w:lang w:val="fr-CH"/>
        </w:rPr>
        <w:t xml:space="preserve">. La loi peut prescrire la publication obligatoire du jugement. En pareil cas, le tribunal décide </w:t>
      </w:r>
      <w:r w:rsidR="00684AF0" w:rsidRPr="00731644">
        <w:rPr>
          <w:lang w:val="fr-CH"/>
        </w:rPr>
        <w:t xml:space="preserve">si le jugement sera publié en partie ou en totalité et par </w:t>
      </w:r>
      <w:r w:rsidR="008D60A8" w:rsidRPr="00731644">
        <w:rPr>
          <w:lang w:val="fr-CH"/>
        </w:rPr>
        <w:t>quels médias</w:t>
      </w:r>
      <w:r w:rsidR="00E23BF3" w:rsidRPr="00731644">
        <w:rPr>
          <w:lang w:val="fr-CH"/>
        </w:rPr>
        <w:t>. La publication peut être faite dans les trente</w:t>
      </w:r>
      <w:r w:rsidR="00731644" w:rsidRPr="00731644">
        <w:rPr>
          <w:lang w:val="fr-CH"/>
        </w:rPr>
        <w:t> jours</w:t>
      </w:r>
      <w:r w:rsidR="00E23BF3" w:rsidRPr="00731644">
        <w:rPr>
          <w:lang w:val="fr-CH"/>
        </w:rPr>
        <w:t xml:space="preserve"> </w:t>
      </w:r>
      <w:r w:rsidR="007910DA" w:rsidRPr="00731644">
        <w:rPr>
          <w:lang w:val="fr-CH"/>
        </w:rPr>
        <w:t xml:space="preserve">qui </w:t>
      </w:r>
      <w:r w:rsidR="00E23BF3" w:rsidRPr="00731644">
        <w:rPr>
          <w:lang w:val="fr-CH"/>
        </w:rPr>
        <w:t>suiv</w:t>
      </w:r>
      <w:r w:rsidR="007910DA" w:rsidRPr="00731644">
        <w:rPr>
          <w:lang w:val="fr-CH"/>
        </w:rPr>
        <w:t>e</w:t>
      </w:r>
      <w:r w:rsidR="00E23BF3" w:rsidRPr="00731644">
        <w:rPr>
          <w:lang w:val="fr-CH"/>
        </w:rPr>
        <w:t>nt la date où le jugement est devenu définitif.</w:t>
      </w:r>
      <w:r w:rsidR="00F31DD5" w:rsidRPr="00731644">
        <w:rPr>
          <w:lang w:val="fr-CH"/>
        </w:rPr>
        <w:t xml:space="preserve"> </w:t>
      </w:r>
      <w:r w:rsidR="00E23BF3" w:rsidRPr="00731644">
        <w:rPr>
          <w:lang w:val="fr-CH"/>
        </w:rPr>
        <w:t xml:space="preserve">Un </w:t>
      </w:r>
      <w:r w:rsidR="001753EC">
        <w:rPr>
          <w:lang w:val="fr-CH"/>
        </w:rPr>
        <w:t>article </w:t>
      </w:r>
      <w:r w:rsidR="00E23BF3" w:rsidRPr="00731644">
        <w:rPr>
          <w:lang w:val="fr-CH"/>
        </w:rPr>
        <w:t>distinct du Code dispose qu</w:t>
      </w:r>
      <w:r w:rsidR="00425386" w:rsidRPr="00731644">
        <w:rPr>
          <w:lang w:val="fr-CH"/>
        </w:rPr>
        <w:t>’</w:t>
      </w:r>
      <w:r w:rsidR="00E23BF3" w:rsidRPr="00731644">
        <w:rPr>
          <w:lang w:val="fr-CH"/>
        </w:rPr>
        <w:t>empêcher la publication de réponses et de rectifications est une infraction.</w:t>
      </w:r>
    </w:p>
    <w:p w:rsidR="001678CF" w:rsidRPr="00731644" w:rsidRDefault="006243E3" w:rsidP="001678CF">
      <w:pPr>
        <w:pStyle w:val="SingleTxtG"/>
        <w:rPr>
          <w:lang w:val="fr-CH"/>
        </w:rPr>
      </w:pPr>
      <w:r w:rsidRPr="00731644">
        <w:rPr>
          <w:lang w:val="fr-CH"/>
        </w:rPr>
        <w:t>180.</w:t>
      </w:r>
      <w:r w:rsidRPr="00731644">
        <w:rPr>
          <w:lang w:val="fr-CH"/>
        </w:rPr>
        <w:tab/>
      </w:r>
      <w:r w:rsidR="00E23BF3" w:rsidRPr="00731644">
        <w:rPr>
          <w:lang w:val="fr-CH"/>
        </w:rPr>
        <w:t>Pour ce qui est de la protection civile et du préjudice immatériel, la loi relative aux obligations dispose notamment que le tribunal</w:t>
      </w:r>
      <w:r w:rsidR="007910DA" w:rsidRPr="00731644">
        <w:rPr>
          <w:lang w:val="fr-CH"/>
        </w:rPr>
        <w:t>, s</w:t>
      </w:r>
      <w:r w:rsidR="00425386" w:rsidRPr="00731644">
        <w:rPr>
          <w:lang w:val="fr-CH"/>
        </w:rPr>
        <w:t>’</w:t>
      </w:r>
      <w:r w:rsidR="007910DA" w:rsidRPr="00731644">
        <w:rPr>
          <w:lang w:val="fr-CH"/>
        </w:rPr>
        <w:t>il</w:t>
      </w:r>
      <w:r w:rsidR="00E23BF3" w:rsidRPr="00731644">
        <w:rPr>
          <w:lang w:val="fr-CH"/>
        </w:rPr>
        <w:t xml:space="preserve"> constate que les circonstances de l</w:t>
      </w:r>
      <w:r w:rsidR="00425386" w:rsidRPr="00731644">
        <w:rPr>
          <w:lang w:val="fr-CH"/>
        </w:rPr>
        <w:t>’</w:t>
      </w:r>
      <w:r w:rsidR="00E23BF3" w:rsidRPr="00731644">
        <w:rPr>
          <w:lang w:val="fr-CH"/>
        </w:rPr>
        <w:t>espèce et en particulier l</w:t>
      </w:r>
      <w:r w:rsidR="00425386" w:rsidRPr="00731644">
        <w:rPr>
          <w:lang w:val="fr-CH"/>
        </w:rPr>
        <w:t>’</w:t>
      </w:r>
      <w:r w:rsidR="00E23BF3" w:rsidRPr="00731644">
        <w:rPr>
          <w:lang w:val="fr-CH"/>
        </w:rPr>
        <w:t xml:space="preserve">importance et la durée de la souffrance morale causée par </w:t>
      </w:r>
      <w:r w:rsidR="007910DA" w:rsidRPr="00731644">
        <w:rPr>
          <w:lang w:val="fr-CH"/>
        </w:rPr>
        <w:t>l</w:t>
      </w:r>
      <w:r w:rsidR="00425386" w:rsidRPr="00731644">
        <w:rPr>
          <w:lang w:val="fr-CH"/>
        </w:rPr>
        <w:t>’</w:t>
      </w:r>
      <w:r w:rsidR="007910DA" w:rsidRPr="00731644">
        <w:rPr>
          <w:lang w:val="fr-CH"/>
        </w:rPr>
        <w:t>atteinte à</w:t>
      </w:r>
      <w:r w:rsidR="00E23BF3" w:rsidRPr="00731644">
        <w:rPr>
          <w:lang w:val="fr-CH"/>
        </w:rPr>
        <w:t xml:space="preserve"> la dignité, </w:t>
      </w:r>
      <w:r w:rsidR="007910DA" w:rsidRPr="00731644">
        <w:rPr>
          <w:lang w:val="fr-CH"/>
        </w:rPr>
        <w:t>à</w:t>
      </w:r>
      <w:r w:rsidR="00E23BF3" w:rsidRPr="00731644">
        <w:rPr>
          <w:lang w:val="fr-CH"/>
        </w:rPr>
        <w:t xml:space="preserve"> l</w:t>
      </w:r>
      <w:r w:rsidR="00425386" w:rsidRPr="00731644">
        <w:rPr>
          <w:lang w:val="fr-CH"/>
        </w:rPr>
        <w:t>’</w:t>
      </w:r>
      <w:r w:rsidR="00E23BF3" w:rsidRPr="00731644">
        <w:rPr>
          <w:lang w:val="fr-CH"/>
        </w:rPr>
        <w:t>honneur</w:t>
      </w:r>
      <w:r w:rsidR="007910DA" w:rsidRPr="00731644">
        <w:rPr>
          <w:lang w:val="fr-CH"/>
        </w:rPr>
        <w:t>, à</w:t>
      </w:r>
      <w:r w:rsidR="00E23BF3" w:rsidRPr="00731644">
        <w:rPr>
          <w:lang w:val="fr-CH"/>
        </w:rPr>
        <w:t xml:space="preserve"> la liberté ou </w:t>
      </w:r>
      <w:r w:rsidR="007910DA" w:rsidRPr="00731644">
        <w:rPr>
          <w:lang w:val="fr-CH"/>
        </w:rPr>
        <w:t>aux</w:t>
      </w:r>
      <w:r w:rsidR="00E23BF3" w:rsidRPr="00731644">
        <w:rPr>
          <w:lang w:val="fr-CH"/>
        </w:rPr>
        <w:t xml:space="preserve"> droits de la personne le justifient, accorde une juste réparation, abstraction faite du préjudice </w:t>
      </w:r>
      <w:r w:rsidR="009B43FF" w:rsidRPr="00731644">
        <w:rPr>
          <w:lang w:val="fr-CH"/>
        </w:rPr>
        <w:t>matériel et</w:t>
      </w:r>
      <w:r w:rsidR="00E23BF3" w:rsidRPr="00731644">
        <w:rPr>
          <w:lang w:val="fr-CH"/>
        </w:rPr>
        <w:t xml:space="preserve"> y compris en l</w:t>
      </w:r>
      <w:r w:rsidR="00425386" w:rsidRPr="00731644">
        <w:rPr>
          <w:lang w:val="fr-CH"/>
        </w:rPr>
        <w:t>’</w:t>
      </w:r>
      <w:r w:rsidR="00E23BF3" w:rsidRPr="00731644">
        <w:rPr>
          <w:lang w:val="fr-CH"/>
        </w:rPr>
        <w:t>absence</w:t>
      </w:r>
      <w:r w:rsidR="00F31DD5" w:rsidRPr="00731644">
        <w:rPr>
          <w:lang w:val="fr-CH"/>
        </w:rPr>
        <w:t xml:space="preserve"> </w:t>
      </w:r>
      <w:r w:rsidR="00E23BF3" w:rsidRPr="00731644">
        <w:rPr>
          <w:lang w:val="fr-CH"/>
        </w:rPr>
        <w:t>de celui-ci</w:t>
      </w:r>
      <w:r w:rsidR="001678CF" w:rsidRPr="00731644">
        <w:rPr>
          <w:lang w:val="fr-CH"/>
        </w:rPr>
        <w:t>.</w:t>
      </w:r>
    </w:p>
    <w:p w:rsidR="004C7BF6" w:rsidRPr="00731644" w:rsidRDefault="00E23BF3" w:rsidP="004C7BF6">
      <w:pPr>
        <w:pStyle w:val="H23G"/>
        <w:rPr>
          <w:lang w:val="fr-CH"/>
        </w:rPr>
      </w:pPr>
      <w:r w:rsidRPr="00731644">
        <w:rPr>
          <w:lang w:val="fr-CH"/>
        </w:rPr>
        <w:tab/>
      </w:r>
      <w:r w:rsidRPr="00731644">
        <w:rPr>
          <w:lang w:val="fr-CH"/>
        </w:rPr>
        <w:tab/>
        <w:t>Liberté de réunion et d</w:t>
      </w:r>
      <w:r w:rsidR="00425386" w:rsidRPr="00731644">
        <w:rPr>
          <w:lang w:val="fr-CH"/>
        </w:rPr>
        <w:t>’</w:t>
      </w:r>
      <w:r w:rsidR="004C7BF6" w:rsidRPr="00731644">
        <w:rPr>
          <w:lang w:val="fr-CH"/>
        </w:rPr>
        <w:t>association</w:t>
      </w:r>
    </w:p>
    <w:p w:rsidR="00FD75AC" w:rsidRPr="00731644" w:rsidRDefault="004C7BF6" w:rsidP="004C7BF6">
      <w:pPr>
        <w:pStyle w:val="SingleTxtG"/>
        <w:rPr>
          <w:lang w:val="fr-CH"/>
        </w:rPr>
      </w:pPr>
      <w:r w:rsidRPr="00731644">
        <w:rPr>
          <w:lang w:val="fr-CH"/>
        </w:rPr>
        <w:t>181.</w:t>
      </w:r>
      <w:r w:rsidRPr="00731644">
        <w:rPr>
          <w:lang w:val="fr-CH"/>
        </w:rPr>
        <w:tab/>
      </w:r>
      <w:r w:rsidR="009B43FF" w:rsidRPr="00731644">
        <w:rPr>
          <w:lang w:val="fr-CH"/>
        </w:rPr>
        <w:t>L</w:t>
      </w:r>
      <w:r w:rsidR="00FD75AC" w:rsidRPr="00731644">
        <w:rPr>
          <w:lang w:val="fr-CH"/>
        </w:rPr>
        <w:t>a liberté de réunion et d</w:t>
      </w:r>
      <w:r w:rsidR="00425386" w:rsidRPr="00731644">
        <w:rPr>
          <w:lang w:val="fr-CH"/>
        </w:rPr>
        <w:t>’</w:t>
      </w:r>
      <w:r w:rsidR="00FD75AC" w:rsidRPr="00731644">
        <w:rPr>
          <w:lang w:val="fr-CH"/>
        </w:rPr>
        <w:t xml:space="preserve">association des citoyens est garantie par la </w:t>
      </w:r>
      <w:r w:rsidRPr="00731644">
        <w:rPr>
          <w:lang w:val="fr-CH"/>
        </w:rPr>
        <w:t xml:space="preserve">Constitution </w:t>
      </w:r>
      <w:r w:rsidR="00FD75AC" w:rsidRPr="00731644">
        <w:rPr>
          <w:lang w:val="fr-CH"/>
        </w:rPr>
        <w:t>et fait partie des droits et libertés politiques</w:t>
      </w:r>
      <w:r w:rsidRPr="00731644">
        <w:rPr>
          <w:lang w:val="fr-CH"/>
        </w:rPr>
        <w:t xml:space="preserve">. </w:t>
      </w:r>
      <w:r w:rsidR="00FD75AC" w:rsidRPr="00731644">
        <w:rPr>
          <w:lang w:val="fr-CH"/>
        </w:rPr>
        <w:t>La</w:t>
      </w:r>
      <w:r w:rsidRPr="00731644">
        <w:rPr>
          <w:lang w:val="fr-CH"/>
        </w:rPr>
        <w:t xml:space="preserve"> Constitution </w:t>
      </w:r>
      <w:r w:rsidR="00FD75AC" w:rsidRPr="00731644">
        <w:rPr>
          <w:lang w:val="fr-CH"/>
        </w:rPr>
        <w:t xml:space="preserve">assure la liberté </w:t>
      </w:r>
      <w:r w:rsidR="001F61A5" w:rsidRPr="00731644">
        <w:rPr>
          <w:lang w:val="fr-CH"/>
        </w:rPr>
        <w:t xml:space="preserve">de créer des </w:t>
      </w:r>
      <w:r w:rsidR="00FD75AC" w:rsidRPr="00731644">
        <w:rPr>
          <w:lang w:val="fr-CH"/>
        </w:rPr>
        <w:t>association</w:t>
      </w:r>
      <w:r w:rsidR="001F61A5" w:rsidRPr="00731644">
        <w:rPr>
          <w:lang w:val="fr-CH"/>
        </w:rPr>
        <w:t>s</w:t>
      </w:r>
      <w:r w:rsidR="00FD75AC" w:rsidRPr="00731644">
        <w:rPr>
          <w:lang w:val="fr-CH"/>
        </w:rPr>
        <w:t xml:space="preserve"> et </w:t>
      </w:r>
      <w:r w:rsidR="001F61A5" w:rsidRPr="00731644">
        <w:rPr>
          <w:lang w:val="fr-CH"/>
        </w:rPr>
        <w:t xml:space="preserve">de mener des </w:t>
      </w:r>
      <w:r w:rsidR="00FD75AC" w:rsidRPr="00731644">
        <w:rPr>
          <w:lang w:val="fr-CH"/>
        </w:rPr>
        <w:t>activité</w:t>
      </w:r>
      <w:r w:rsidR="001F61A5" w:rsidRPr="00731644">
        <w:rPr>
          <w:lang w:val="fr-CH"/>
        </w:rPr>
        <w:t>s</w:t>
      </w:r>
      <w:r w:rsidR="00FD75AC" w:rsidRPr="00731644">
        <w:rPr>
          <w:lang w:val="fr-CH"/>
        </w:rPr>
        <w:t xml:space="preserve"> politique</w:t>
      </w:r>
      <w:r w:rsidR="001F61A5" w:rsidRPr="00731644">
        <w:rPr>
          <w:lang w:val="fr-CH"/>
        </w:rPr>
        <w:t>s</w:t>
      </w:r>
      <w:r w:rsidR="00FD75AC" w:rsidRPr="00731644">
        <w:rPr>
          <w:lang w:val="fr-CH"/>
        </w:rPr>
        <w:t>, syndicale</w:t>
      </w:r>
      <w:r w:rsidR="001F61A5" w:rsidRPr="00731644">
        <w:rPr>
          <w:lang w:val="fr-CH"/>
        </w:rPr>
        <w:t>s</w:t>
      </w:r>
      <w:r w:rsidR="00FD75AC" w:rsidRPr="00731644">
        <w:rPr>
          <w:lang w:val="fr-CH"/>
        </w:rPr>
        <w:t xml:space="preserve"> ou autre</w:t>
      </w:r>
      <w:r w:rsidR="001F61A5" w:rsidRPr="00731644">
        <w:rPr>
          <w:lang w:val="fr-CH"/>
        </w:rPr>
        <w:t>s</w:t>
      </w:r>
      <w:r w:rsidR="00FD75AC" w:rsidRPr="00731644">
        <w:rPr>
          <w:lang w:val="fr-CH"/>
        </w:rPr>
        <w:t xml:space="preserve"> sans </w:t>
      </w:r>
      <w:r w:rsidR="001F61A5" w:rsidRPr="00731644">
        <w:rPr>
          <w:lang w:val="fr-CH"/>
        </w:rPr>
        <w:t>qu</w:t>
      </w:r>
      <w:r w:rsidR="00425386" w:rsidRPr="00731644">
        <w:rPr>
          <w:lang w:val="fr-CH"/>
        </w:rPr>
        <w:t>’</w:t>
      </w:r>
      <w:r w:rsidR="001F61A5" w:rsidRPr="00731644">
        <w:rPr>
          <w:lang w:val="fr-CH"/>
        </w:rPr>
        <w:t xml:space="preserve">une </w:t>
      </w:r>
      <w:r w:rsidR="00FD75AC" w:rsidRPr="00731644">
        <w:rPr>
          <w:lang w:val="fr-CH"/>
        </w:rPr>
        <w:t>autorisation</w:t>
      </w:r>
      <w:r w:rsidR="001F61A5" w:rsidRPr="00731644">
        <w:rPr>
          <w:lang w:val="fr-CH"/>
        </w:rPr>
        <w:t xml:space="preserve"> soit requise</w:t>
      </w:r>
      <w:r w:rsidR="00FD75AC" w:rsidRPr="00731644">
        <w:rPr>
          <w:lang w:val="fr-CH"/>
        </w:rPr>
        <w:t>, sous réserve d</w:t>
      </w:r>
      <w:r w:rsidR="00425386" w:rsidRPr="00731644">
        <w:rPr>
          <w:lang w:val="fr-CH"/>
        </w:rPr>
        <w:t>’</w:t>
      </w:r>
      <w:r w:rsidR="00FD75AC" w:rsidRPr="00731644">
        <w:rPr>
          <w:lang w:val="fr-CH"/>
        </w:rPr>
        <w:t>une inscription auprès de l</w:t>
      </w:r>
      <w:r w:rsidR="00425386" w:rsidRPr="00731644">
        <w:rPr>
          <w:lang w:val="fr-CH"/>
        </w:rPr>
        <w:t>’</w:t>
      </w:r>
      <w:r w:rsidR="00FD75AC" w:rsidRPr="00731644">
        <w:rPr>
          <w:lang w:val="fr-CH"/>
        </w:rPr>
        <w:t>autorité compétente.</w:t>
      </w:r>
      <w:r w:rsidR="006443F6" w:rsidRPr="00731644">
        <w:rPr>
          <w:lang w:val="fr-CH"/>
        </w:rPr>
        <w:t xml:space="preserve"> </w:t>
      </w:r>
      <w:bookmarkStart w:id="1" w:name="SADRZAJ_007"/>
    </w:p>
    <w:p w:rsidR="004C7BF6" w:rsidRPr="00731644" w:rsidRDefault="004C7BF6" w:rsidP="004C7BF6">
      <w:pPr>
        <w:pStyle w:val="SingleTxtG"/>
        <w:rPr>
          <w:lang w:val="fr-CH"/>
        </w:rPr>
      </w:pPr>
      <w:r w:rsidRPr="00731644">
        <w:rPr>
          <w:lang w:val="fr-CH"/>
        </w:rPr>
        <w:t>182.</w:t>
      </w:r>
      <w:r w:rsidRPr="00731644">
        <w:rPr>
          <w:lang w:val="fr-CH"/>
        </w:rPr>
        <w:tab/>
      </w:r>
      <w:r w:rsidR="00FD75AC" w:rsidRPr="00731644">
        <w:rPr>
          <w:lang w:val="fr-CH"/>
        </w:rPr>
        <w:t>L</w:t>
      </w:r>
      <w:r w:rsidR="00425386" w:rsidRPr="00731644">
        <w:rPr>
          <w:lang w:val="fr-CH"/>
        </w:rPr>
        <w:t>’</w:t>
      </w:r>
      <w:r w:rsidR="001753EC">
        <w:rPr>
          <w:lang w:val="fr-CH"/>
        </w:rPr>
        <w:t>article </w:t>
      </w:r>
      <w:r w:rsidRPr="00731644">
        <w:rPr>
          <w:lang w:val="fr-CH"/>
        </w:rPr>
        <w:t xml:space="preserve">52 </w:t>
      </w:r>
      <w:r w:rsidR="00FD75AC" w:rsidRPr="00731644">
        <w:rPr>
          <w:lang w:val="fr-CH"/>
        </w:rPr>
        <w:t>de la</w:t>
      </w:r>
      <w:r w:rsidRPr="00731644">
        <w:rPr>
          <w:lang w:val="fr-CH"/>
        </w:rPr>
        <w:t xml:space="preserve"> Constitution </w:t>
      </w:r>
      <w:r w:rsidR="00FD75AC" w:rsidRPr="00731644">
        <w:rPr>
          <w:lang w:val="fr-CH"/>
        </w:rPr>
        <w:t>cons</w:t>
      </w:r>
      <w:r w:rsidR="009B43FF" w:rsidRPr="00731644">
        <w:rPr>
          <w:lang w:val="fr-CH"/>
        </w:rPr>
        <w:t>a</w:t>
      </w:r>
      <w:r w:rsidR="00FD75AC" w:rsidRPr="00731644">
        <w:rPr>
          <w:lang w:val="fr-CH"/>
        </w:rPr>
        <w:t xml:space="preserve">cre la liberté de </w:t>
      </w:r>
      <w:r w:rsidR="000B7667" w:rsidRPr="00731644">
        <w:rPr>
          <w:lang w:val="fr-CH"/>
        </w:rPr>
        <w:t xml:space="preserve">tenir des </w:t>
      </w:r>
      <w:r w:rsidR="00FD75AC" w:rsidRPr="00731644">
        <w:rPr>
          <w:lang w:val="fr-CH"/>
        </w:rPr>
        <w:t>réunion</w:t>
      </w:r>
      <w:r w:rsidR="000B7667" w:rsidRPr="00731644">
        <w:rPr>
          <w:lang w:val="fr-CH"/>
        </w:rPr>
        <w:t>s</w:t>
      </w:r>
      <w:r w:rsidR="00FD75AC" w:rsidRPr="00731644">
        <w:rPr>
          <w:lang w:val="fr-CH"/>
        </w:rPr>
        <w:t xml:space="preserve"> pacifique</w:t>
      </w:r>
      <w:r w:rsidR="000B7667" w:rsidRPr="00731644">
        <w:rPr>
          <w:lang w:val="fr-CH"/>
        </w:rPr>
        <w:t>s</w:t>
      </w:r>
      <w:r w:rsidR="00FD75AC" w:rsidRPr="00731644">
        <w:rPr>
          <w:lang w:val="fr-CH"/>
        </w:rPr>
        <w:t xml:space="preserve"> sans </w:t>
      </w:r>
      <w:r w:rsidR="001F61A5" w:rsidRPr="00731644">
        <w:rPr>
          <w:lang w:val="fr-CH"/>
        </w:rPr>
        <w:t>nécessité d</w:t>
      </w:r>
      <w:r w:rsidR="00425386" w:rsidRPr="00731644">
        <w:rPr>
          <w:lang w:val="fr-CH"/>
        </w:rPr>
        <w:t>’</w:t>
      </w:r>
      <w:r w:rsidR="00FD75AC" w:rsidRPr="00731644">
        <w:rPr>
          <w:lang w:val="fr-CH"/>
        </w:rPr>
        <w:t>un agrément, après inscription préalable auprès de l</w:t>
      </w:r>
      <w:r w:rsidR="00425386" w:rsidRPr="00731644">
        <w:rPr>
          <w:lang w:val="fr-CH"/>
        </w:rPr>
        <w:t>’</w:t>
      </w:r>
      <w:r w:rsidR="00FD75AC" w:rsidRPr="00731644">
        <w:rPr>
          <w:lang w:val="fr-CH"/>
        </w:rPr>
        <w:t>autorité compétente.</w:t>
      </w:r>
      <w:r w:rsidR="00F31DD5" w:rsidRPr="00731644">
        <w:rPr>
          <w:lang w:val="fr-CH"/>
        </w:rPr>
        <w:t xml:space="preserve"> </w:t>
      </w:r>
      <w:r w:rsidR="00FD75AC" w:rsidRPr="00731644">
        <w:rPr>
          <w:lang w:val="fr-CH"/>
        </w:rPr>
        <w:t>L</w:t>
      </w:r>
      <w:r w:rsidR="00425386" w:rsidRPr="00731644">
        <w:rPr>
          <w:lang w:val="fr-CH"/>
        </w:rPr>
        <w:t>’</w:t>
      </w:r>
      <w:r w:rsidR="00FD75AC" w:rsidRPr="00731644">
        <w:rPr>
          <w:lang w:val="fr-CH"/>
        </w:rPr>
        <w:t xml:space="preserve">application des dispositions constitutionnelles est assurée par la </w:t>
      </w:r>
      <w:r w:rsidR="00FD75AC" w:rsidRPr="00852F93">
        <w:rPr>
          <w:iCs/>
          <w:lang w:val="fr-CH"/>
        </w:rPr>
        <w:t xml:space="preserve">loi relative aux réunions pacifiques </w:t>
      </w:r>
      <w:r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5072A0">
        <w:rPr>
          <w:lang w:val="fr-CH"/>
        </w:rPr>
        <w:t>n</w:t>
      </w:r>
      <w:r w:rsidR="005072A0" w:rsidRPr="005072A0">
        <w:rPr>
          <w:vertAlign w:val="superscript"/>
          <w:lang w:val="fr-CH"/>
        </w:rPr>
        <w:t>o</w:t>
      </w:r>
      <w:r w:rsidR="005072A0">
        <w:rPr>
          <w:lang w:val="fr-CH"/>
        </w:rPr>
        <w:t> </w:t>
      </w:r>
      <w:r w:rsidRPr="00731644">
        <w:rPr>
          <w:lang w:val="fr-CH"/>
        </w:rPr>
        <w:t xml:space="preserve">31/05) </w:t>
      </w:r>
      <w:r w:rsidR="00FD75AC" w:rsidRPr="00731644">
        <w:rPr>
          <w:lang w:val="fr-CH"/>
        </w:rPr>
        <w:t>qui, conformément aux</w:t>
      </w:r>
      <w:r w:rsidR="00F31DD5" w:rsidRPr="00731644">
        <w:rPr>
          <w:lang w:val="fr-CH"/>
        </w:rPr>
        <w:t xml:space="preserve"> </w:t>
      </w:r>
      <w:r w:rsidR="00924B84" w:rsidRPr="00731644">
        <w:rPr>
          <w:lang w:val="fr-CH"/>
        </w:rPr>
        <w:t>engagements relatifs à</w:t>
      </w:r>
      <w:r w:rsidR="000B7667" w:rsidRPr="00731644">
        <w:rPr>
          <w:lang w:val="fr-CH"/>
        </w:rPr>
        <w:t xml:space="preserve"> la dimension humaine énoncés à la conférence de</w:t>
      </w:r>
      <w:r w:rsidR="00F31DD5" w:rsidRPr="00731644">
        <w:rPr>
          <w:lang w:val="fr-CH"/>
        </w:rPr>
        <w:t xml:space="preserve"> </w:t>
      </w:r>
      <w:r w:rsidR="00FD75AC" w:rsidRPr="00731644">
        <w:rPr>
          <w:lang w:val="fr-CH"/>
        </w:rPr>
        <w:t>l</w:t>
      </w:r>
      <w:r w:rsidR="00425386" w:rsidRPr="00731644">
        <w:rPr>
          <w:lang w:val="fr-CH"/>
        </w:rPr>
        <w:t>’</w:t>
      </w:r>
      <w:r w:rsidR="00FD75AC" w:rsidRPr="00731644">
        <w:rPr>
          <w:lang w:val="fr-CH"/>
        </w:rPr>
        <w:t>Organisation pour la sécurité et la coopération en Europe (</w:t>
      </w:r>
      <w:r w:rsidR="000B7667" w:rsidRPr="00731644">
        <w:rPr>
          <w:lang w:val="fr-CH"/>
        </w:rPr>
        <w:t xml:space="preserve">OSCE) tenue à </w:t>
      </w:r>
      <w:r w:rsidRPr="00731644">
        <w:rPr>
          <w:lang w:val="fr-CH"/>
        </w:rPr>
        <w:t>Copenhag</w:t>
      </w:r>
      <w:r w:rsidR="00FD75AC" w:rsidRPr="00731644">
        <w:rPr>
          <w:lang w:val="fr-CH"/>
        </w:rPr>
        <w:t>ue</w:t>
      </w:r>
      <w:r w:rsidRPr="00731644">
        <w:rPr>
          <w:lang w:val="fr-CH"/>
        </w:rPr>
        <w:t xml:space="preserve"> </w:t>
      </w:r>
      <w:r w:rsidR="00FD75AC" w:rsidRPr="00731644">
        <w:rPr>
          <w:lang w:val="fr-CH"/>
        </w:rPr>
        <w:t>et</w:t>
      </w:r>
      <w:r w:rsidR="00924B84" w:rsidRPr="00731644">
        <w:rPr>
          <w:lang w:val="fr-CH"/>
        </w:rPr>
        <w:t>,</w:t>
      </w:r>
      <w:r w:rsidR="00FD75AC" w:rsidRPr="00731644">
        <w:rPr>
          <w:lang w:val="fr-CH"/>
        </w:rPr>
        <w:t xml:space="preserve"> notamment</w:t>
      </w:r>
      <w:r w:rsidR="00924B84" w:rsidRPr="00731644">
        <w:rPr>
          <w:lang w:val="fr-CH"/>
        </w:rPr>
        <w:t>,</w:t>
      </w:r>
      <w:r w:rsidR="00FD75AC" w:rsidRPr="00731644">
        <w:rPr>
          <w:lang w:val="fr-CH"/>
        </w:rPr>
        <w:t xml:space="preserve"> aux</w:t>
      </w:r>
      <w:r w:rsidR="00F31DD5" w:rsidRPr="00731644">
        <w:rPr>
          <w:lang w:val="fr-CH"/>
        </w:rPr>
        <w:t xml:space="preserve"> </w:t>
      </w:r>
      <w:r w:rsidRPr="00731644">
        <w:rPr>
          <w:lang w:val="fr-CH"/>
        </w:rPr>
        <w:t>recomm</w:t>
      </w:r>
      <w:r w:rsidR="00FD75AC" w:rsidRPr="00731644">
        <w:rPr>
          <w:lang w:val="fr-CH"/>
        </w:rPr>
        <w:t>a</w:t>
      </w:r>
      <w:r w:rsidRPr="00731644">
        <w:rPr>
          <w:lang w:val="fr-CH"/>
        </w:rPr>
        <w:t xml:space="preserve">ndations </w:t>
      </w:r>
      <w:r w:rsidR="00924B84" w:rsidRPr="00731644">
        <w:rPr>
          <w:lang w:val="fr-CH"/>
        </w:rPr>
        <w:t>formulées à Varsovie en 2002</w:t>
      </w:r>
      <w:r w:rsidRPr="00731644">
        <w:rPr>
          <w:lang w:val="fr-CH"/>
        </w:rPr>
        <w:t>, affirm</w:t>
      </w:r>
      <w:r w:rsidR="001D407E" w:rsidRPr="00731644">
        <w:rPr>
          <w:lang w:val="fr-CH"/>
        </w:rPr>
        <w:t>e</w:t>
      </w:r>
      <w:r w:rsidRPr="00731644">
        <w:rPr>
          <w:lang w:val="fr-CH"/>
        </w:rPr>
        <w:t xml:space="preserve"> </w:t>
      </w:r>
      <w:r w:rsidR="001D407E" w:rsidRPr="00731644">
        <w:rPr>
          <w:lang w:val="fr-CH"/>
        </w:rPr>
        <w:t>la liberté de réunion publique</w:t>
      </w:r>
      <w:r w:rsidRPr="00731644">
        <w:rPr>
          <w:lang w:val="fr-CH"/>
        </w:rPr>
        <w:t>.</w:t>
      </w:r>
    </w:p>
    <w:p w:rsidR="004C7BF6" w:rsidRPr="00731644" w:rsidRDefault="004C7BF6" w:rsidP="004C7BF6">
      <w:pPr>
        <w:pStyle w:val="SingleTxtG"/>
        <w:rPr>
          <w:lang w:val="fr-CH"/>
        </w:rPr>
      </w:pPr>
      <w:r w:rsidRPr="00731644">
        <w:rPr>
          <w:lang w:val="fr-CH"/>
        </w:rPr>
        <w:t>183.</w:t>
      </w:r>
      <w:r w:rsidRPr="00731644">
        <w:rPr>
          <w:lang w:val="fr-CH"/>
        </w:rPr>
        <w:tab/>
      </w:r>
      <w:r w:rsidR="00A11C89" w:rsidRPr="00731644">
        <w:rPr>
          <w:lang w:val="fr-CH"/>
        </w:rPr>
        <w:t>U</w:t>
      </w:r>
      <w:r w:rsidR="001D407E" w:rsidRPr="00731644">
        <w:rPr>
          <w:lang w:val="fr-CH"/>
        </w:rPr>
        <w:t xml:space="preserve">ne réunion publique peut être tenue sous réserve </w:t>
      </w:r>
      <w:r w:rsidR="0083174F" w:rsidRPr="00731644">
        <w:rPr>
          <w:lang w:val="fr-CH"/>
        </w:rPr>
        <w:t>d</w:t>
      </w:r>
      <w:r w:rsidR="00425386" w:rsidRPr="00731644">
        <w:rPr>
          <w:lang w:val="fr-CH"/>
        </w:rPr>
        <w:t>’</w:t>
      </w:r>
      <w:r w:rsidR="0083174F" w:rsidRPr="00731644">
        <w:rPr>
          <w:lang w:val="fr-CH"/>
        </w:rPr>
        <w:t>une</w:t>
      </w:r>
      <w:r w:rsidR="001D407E" w:rsidRPr="00731644">
        <w:rPr>
          <w:lang w:val="fr-CH"/>
        </w:rPr>
        <w:t xml:space="preserve"> notification préalable, qui doit être </w:t>
      </w:r>
      <w:r w:rsidR="00C048D4" w:rsidRPr="00731644">
        <w:rPr>
          <w:lang w:val="fr-CH"/>
        </w:rPr>
        <w:t>adressée</w:t>
      </w:r>
      <w:r w:rsidR="001D407E" w:rsidRPr="00731644">
        <w:rPr>
          <w:lang w:val="fr-CH"/>
        </w:rPr>
        <w:t>, cinq</w:t>
      </w:r>
      <w:r w:rsidR="00731644" w:rsidRPr="00731644">
        <w:rPr>
          <w:lang w:val="fr-CH"/>
        </w:rPr>
        <w:t> jours</w:t>
      </w:r>
      <w:r w:rsidR="001D407E" w:rsidRPr="00731644">
        <w:rPr>
          <w:lang w:val="fr-CH"/>
        </w:rPr>
        <w:t xml:space="preserve"> au moins avant la date prévue de la réunion, à l</w:t>
      </w:r>
      <w:r w:rsidR="00425386" w:rsidRPr="00731644">
        <w:rPr>
          <w:lang w:val="fr-CH"/>
        </w:rPr>
        <w:t>’</w:t>
      </w:r>
      <w:r w:rsidR="001D407E" w:rsidRPr="00731644">
        <w:rPr>
          <w:lang w:val="fr-CH"/>
        </w:rPr>
        <w:t xml:space="preserve">unité </w:t>
      </w:r>
      <w:r w:rsidR="00A11C89" w:rsidRPr="00731644">
        <w:rPr>
          <w:lang w:val="fr-CH"/>
        </w:rPr>
        <w:t xml:space="preserve">régionale </w:t>
      </w:r>
      <w:r w:rsidR="002B4897" w:rsidRPr="00731644">
        <w:rPr>
          <w:lang w:val="fr-CH"/>
        </w:rPr>
        <w:t xml:space="preserve">territorialement compétente </w:t>
      </w:r>
      <w:r w:rsidR="001D407E" w:rsidRPr="00731644">
        <w:rPr>
          <w:lang w:val="fr-CH"/>
        </w:rPr>
        <w:t>de la Direction de la police. La notification doit préciser l</w:t>
      </w:r>
      <w:r w:rsidR="00425386" w:rsidRPr="00731644">
        <w:rPr>
          <w:lang w:val="fr-CH"/>
        </w:rPr>
        <w:t>’</w:t>
      </w:r>
      <w:r w:rsidR="001D407E" w:rsidRPr="00731644">
        <w:rPr>
          <w:lang w:val="fr-CH"/>
        </w:rPr>
        <w:t>objectif, le programme, le lieu</w:t>
      </w:r>
      <w:r w:rsidR="002B4897" w:rsidRPr="00731644">
        <w:rPr>
          <w:lang w:val="fr-CH"/>
        </w:rPr>
        <w:t>, la date</w:t>
      </w:r>
      <w:r w:rsidR="001D407E" w:rsidRPr="00731644">
        <w:rPr>
          <w:lang w:val="fr-CH"/>
        </w:rPr>
        <w:t xml:space="preserve"> et l</w:t>
      </w:r>
      <w:r w:rsidR="00425386" w:rsidRPr="00731644">
        <w:rPr>
          <w:lang w:val="fr-CH"/>
        </w:rPr>
        <w:t>’</w:t>
      </w:r>
      <w:r w:rsidR="001D407E" w:rsidRPr="00731644">
        <w:rPr>
          <w:lang w:val="fr-CH"/>
        </w:rPr>
        <w:t>heure de la réunion, donner des renseignements sur l</w:t>
      </w:r>
      <w:r w:rsidR="00425386" w:rsidRPr="00731644">
        <w:rPr>
          <w:lang w:val="fr-CH"/>
        </w:rPr>
        <w:t>’</w:t>
      </w:r>
      <w:r w:rsidR="001D407E" w:rsidRPr="00731644">
        <w:rPr>
          <w:lang w:val="fr-CH"/>
        </w:rPr>
        <w:t>organisateur ou son re</w:t>
      </w:r>
      <w:r w:rsidR="00C048D4" w:rsidRPr="00731644">
        <w:rPr>
          <w:lang w:val="fr-CH"/>
        </w:rPr>
        <w:t>p</w:t>
      </w:r>
      <w:r w:rsidR="001D407E" w:rsidRPr="00731644">
        <w:rPr>
          <w:lang w:val="fr-CH"/>
        </w:rPr>
        <w:t>résentant et sur le responsable de la réunion, et indiquer l</w:t>
      </w:r>
      <w:r w:rsidR="00425386" w:rsidRPr="00731644">
        <w:rPr>
          <w:lang w:val="fr-CH"/>
        </w:rPr>
        <w:t>’</w:t>
      </w:r>
      <w:r w:rsidR="001D407E" w:rsidRPr="00731644">
        <w:rPr>
          <w:lang w:val="fr-CH"/>
        </w:rPr>
        <w:t xml:space="preserve">effectif du </w:t>
      </w:r>
      <w:r w:rsidR="00A11C89" w:rsidRPr="00731644">
        <w:rPr>
          <w:lang w:val="fr-CH"/>
        </w:rPr>
        <w:t>service d</w:t>
      </w:r>
      <w:r w:rsidR="00425386" w:rsidRPr="00731644">
        <w:rPr>
          <w:lang w:val="fr-CH"/>
        </w:rPr>
        <w:t>’</w:t>
      </w:r>
      <w:r w:rsidR="00A11C89" w:rsidRPr="00731644">
        <w:rPr>
          <w:lang w:val="fr-CH"/>
        </w:rPr>
        <w:t>encadrement</w:t>
      </w:r>
      <w:r w:rsidR="001D407E" w:rsidRPr="00731644">
        <w:rPr>
          <w:lang w:val="fr-CH"/>
        </w:rPr>
        <w:t xml:space="preserve"> </w:t>
      </w:r>
      <w:r w:rsidR="002B4897" w:rsidRPr="00731644">
        <w:rPr>
          <w:lang w:val="fr-CH"/>
        </w:rPr>
        <w:t>ainsi que</w:t>
      </w:r>
      <w:r w:rsidR="001D407E" w:rsidRPr="00731644">
        <w:rPr>
          <w:lang w:val="fr-CH"/>
        </w:rPr>
        <w:t xml:space="preserve"> le nombre estimé des participants. </w:t>
      </w:r>
    </w:p>
    <w:p w:rsidR="004C7BF6" w:rsidRPr="00731644" w:rsidRDefault="004C7BF6" w:rsidP="00325945">
      <w:pPr>
        <w:pStyle w:val="SingleTxtG"/>
        <w:rPr>
          <w:lang w:val="fr-CH"/>
        </w:rPr>
      </w:pPr>
      <w:r w:rsidRPr="00731644">
        <w:rPr>
          <w:lang w:val="fr-CH"/>
        </w:rPr>
        <w:t>184.</w:t>
      </w:r>
      <w:r w:rsidRPr="00731644">
        <w:rPr>
          <w:lang w:val="fr-CH"/>
        </w:rPr>
        <w:tab/>
      </w:r>
      <w:r w:rsidR="002052C1" w:rsidRPr="00731644">
        <w:rPr>
          <w:lang w:val="fr-CH"/>
        </w:rPr>
        <w:t>L</w:t>
      </w:r>
      <w:r w:rsidR="00A11C89" w:rsidRPr="00731644">
        <w:rPr>
          <w:lang w:val="fr-CH"/>
        </w:rPr>
        <w:t>a demande d</w:t>
      </w:r>
      <w:r w:rsidR="00425386" w:rsidRPr="00731644">
        <w:rPr>
          <w:lang w:val="fr-CH"/>
        </w:rPr>
        <w:t>’</w:t>
      </w:r>
      <w:r w:rsidR="00A11C89" w:rsidRPr="00731644">
        <w:rPr>
          <w:lang w:val="fr-CH"/>
        </w:rPr>
        <w:t>inscription de la réunion</w:t>
      </w:r>
      <w:r w:rsidR="002B4897" w:rsidRPr="00731644">
        <w:rPr>
          <w:lang w:val="fr-CH"/>
        </w:rPr>
        <w:t xml:space="preserve"> </w:t>
      </w:r>
      <w:r w:rsidR="00A11C89" w:rsidRPr="00731644">
        <w:rPr>
          <w:lang w:val="fr-CH"/>
        </w:rPr>
        <w:t>publique est faite par l</w:t>
      </w:r>
      <w:r w:rsidR="00425386" w:rsidRPr="00731644">
        <w:rPr>
          <w:lang w:val="fr-CH"/>
        </w:rPr>
        <w:t>’</w:t>
      </w:r>
      <w:r w:rsidR="00A11C89" w:rsidRPr="00731644">
        <w:rPr>
          <w:lang w:val="fr-CH"/>
        </w:rPr>
        <w:t>organisateur, qui peut être une personne morale ou physique. Si la réunio</w:t>
      </w:r>
      <w:r w:rsidR="002052C1" w:rsidRPr="00731644">
        <w:rPr>
          <w:lang w:val="fr-CH"/>
        </w:rPr>
        <w:t>n</w:t>
      </w:r>
      <w:r w:rsidR="00A11C89" w:rsidRPr="00731644">
        <w:rPr>
          <w:lang w:val="fr-CH"/>
        </w:rPr>
        <w:t xml:space="preserve"> est organisée par un groupe de citoyens ou </w:t>
      </w:r>
      <w:r w:rsidR="002052C1" w:rsidRPr="00731644">
        <w:rPr>
          <w:lang w:val="fr-CH"/>
        </w:rPr>
        <w:t>par plusieurs</w:t>
      </w:r>
      <w:r w:rsidR="009909C6">
        <w:rPr>
          <w:lang w:val="fr-CH"/>
        </w:rPr>
        <w:t xml:space="preserve"> </w:t>
      </w:r>
      <w:r w:rsidR="00CB7658" w:rsidRPr="00731644">
        <w:rPr>
          <w:lang w:val="fr-CH"/>
        </w:rPr>
        <w:t>personnes</w:t>
      </w:r>
      <w:r w:rsidR="002052C1" w:rsidRPr="00731644">
        <w:rPr>
          <w:lang w:val="fr-CH"/>
        </w:rPr>
        <w:t xml:space="preserve"> morales, </w:t>
      </w:r>
      <w:r w:rsidR="00CF0012" w:rsidRPr="00731644">
        <w:rPr>
          <w:lang w:val="fr-CH"/>
        </w:rPr>
        <w:t xml:space="preserve">ils doivent désigner </w:t>
      </w:r>
      <w:r w:rsidR="002052C1" w:rsidRPr="00731644">
        <w:rPr>
          <w:lang w:val="fr-CH"/>
        </w:rPr>
        <w:t xml:space="preserve">un représentant </w:t>
      </w:r>
      <w:r w:rsidR="00CF0012" w:rsidRPr="00731644">
        <w:rPr>
          <w:lang w:val="fr-CH"/>
        </w:rPr>
        <w:t>commun</w:t>
      </w:r>
      <w:r w:rsidR="002052C1" w:rsidRPr="00731644">
        <w:rPr>
          <w:lang w:val="fr-CH"/>
        </w:rPr>
        <w:t xml:space="preserve">. </w:t>
      </w:r>
    </w:p>
    <w:p w:rsidR="004C7BF6" w:rsidRPr="00731644" w:rsidRDefault="004C7BF6" w:rsidP="004C7BF6">
      <w:pPr>
        <w:pStyle w:val="SingleTxtG"/>
        <w:rPr>
          <w:lang w:val="fr-CH"/>
        </w:rPr>
      </w:pPr>
      <w:bookmarkStart w:id="2" w:name="SADRZAJ_002"/>
      <w:bookmarkEnd w:id="1"/>
      <w:r w:rsidRPr="00731644">
        <w:rPr>
          <w:iCs/>
          <w:lang w:val="fr-CH"/>
        </w:rPr>
        <w:t>185.</w:t>
      </w:r>
      <w:r w:rsidRPr="00731644">
        <w:rPr>
          <w:iCs/>
          <w:lang w:val="fr-CH"/>
        </w:rPr>
        <w:tab/>
      </w:r>
      <w:r w:rsidR="002052C1" w:rsidRPr="00731644">
        <w:rPr>
          <w:iCs/>
          <w:lang w:val="fr-CH"/>
        </w:rPr>
        <w:t xml:space="preserve">La </w:t>
      </w:r>
      <w:r w:rsidR="002052C1" w:rsidRPr="00852F93">
        <w:rPr>
          <w:lang w:val="fr-CH"/>
        </w:rPr>
        <w:t>loi relative à la prévention de</w:t>
      </w:r>
      <w:r w:rsidR="00A420AC" w:rsidRPr="00852F93">
        <w:rPr>
          <w:lang w:val="fr-CH"/>
        </w:rPr>
        <w:t xml:space="preserve"> la</w:t>
      </w:r>
      <w:r w:rsidR="002052C1" w:rsidRPr="00852F93">
        <w:rPr>
          <w:lang w:val="fr-CH"/>
        </w:rPr>
        <w:t xml:space="preserve"> violence et des débordements </w:t>
      </w:r>
      <w:r w:rsidR="00CF0012" w:rsidRPr="00852F93">
        <w:rPr>
          <w:lang w:val="fr-CH"/>
        </w:rPr>
        <w:t xml:space="preserve">lors des </w:t>
      </w:r>
      <w:r w:rsidR="002052C1" w:rsidRPr="00852F93">
        <w:rPr>
          <w:lang w:val="fr-CH"/>
        </w:rPr>
        <w:t xml:space="preserve">manifestations sportives </w:t>
      </w:r>
      <w:bookmarkEnd w:id="2"/>
      <w:r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5072A0">
        <w:rPr>
          <w:lang w:val="fr-CH"/>
        </w:rPr>
        <w:t>n</w:t>
      </w:r>
      <w:r w:rsidR="005072A0" w:rsidRPr="005072A0">
        <w:rPr>
          <w:vertAlign w:val="superscript"/>
          <w:lang w:val="fr-CH"/>
        </w:rPr>
        <w:t>o</w:t>
      </w:r>
      <w:r w:rsidR="005072A0">
        <w:rPr>
          <w:lang w:val="fr-CH"/>
        </w:rPr>
        <w:t> </w:t>
      </w:r>
      <w:r w:rsidRPr="00731644">
        <w:rPr>
          <w:lang w:val="fr-CH"/>
        </w:rPr>
        <w:t>27/07) prescri</w:t>
      </w:r>
      <w:r w:rsidR="002052C1" w:rsidRPr="00731644">
        <w:rPr>
          <w:lang w:val="fr-CH"/>
        </w:rPr>
        <w:t xml:space="preserve">t les </w:t>
      </w:r>
      <w:r w:rsidR="005A09F5" w:rsidRPr="00731644">
        <w:rPr>
          <w:lang w:val="fr-CH"/>
        </w:rPr>
        <w:t>disposition</w:t>
      </w:r>
      <w:r w:rsidR="002052C1" w:rsidRPr="00731644">
        <w:rPr>
          <w:lang w:val="fr-CH"/>
        </w:rPr>
        <w:t xml:space="preserve">s à prendre pour assurer la sécurité des spectateurs, des concurrents et </w:t>
      </w:r>
      <w:r w:rsidR="00CF0012" w:rsidRPr="00731644">
        <w:rPr>
          <w:lang w:val="fr-CH"/>
        </w:rPr>
        <w:t xml:space="preserve">des </w:t>
      </w:r>
      <w:r w:rsidR="002052C1" w:rsidRPr="00731644">
        <w:rPr>
          <w:lang w:val="fr-CH"/>
        </w:rPr>
        <w:t>autres participants aux manifestations sportives</w:t>
      </w:r>
      <w:r w:rsidR="00CF0012" w:rsidRPr="00731644">
        <w:rPr>
          <w:lang w:val="fr-CH"/>
        </w:rPr>
        <w:t>,</w:t>
      </w:r>
      <w:r w:rsidR="002052C1" w:rsidRPr="00731644">
        <w:rPr>
          <w:lang w:val="fr-CH"/>
        </w:rPr>
        <w:t xml:space="preserve"> et créer les conditions voulues pour prévenir, réprimer et sanctionner les débordements, les émeutes et les violences avant, pendant et après les manifestations sportives</w:t>
      </w:r>
      <w:r w:rsidR="00F31DD5" w:rsidRPr="00731644">
        <w:rPr>
          <w:lang w:val="fr-CH"/>
        </w:rPr>
        <w:t>;</w:t>
      </w:r>
      <w:r w:rsidR="005A09F5" w:rsidRPr="00731644">
        <w:rPr>
          <w:lang w:val="fr-CH"/>
        </w:rPr>
        <w:t xml:space="preserve"> elle</w:t>
      </w:r>
      <w:r w:rsidR="00CF0012" w:rsidRPr="00731644">
        <w:rPr>
          <w:lang w:val="fr-CH"/>
        </w:rPr>
        <w:t xml:space="preserve"> </w:t>
      </w:r>
      <w:r w:rsidR="002052C1" w:rsidRPr="00731644">
        <w:rPr>
          <w:lang w:val="fr-CH"/>
        </w:rPr>
        <w:t>définit les obligations des organisateurs et les autorisations à obtenir des institutions compétentes pour l</w:t>
      </w:r>
      <w:r w:rsidR="00425386" w:rsidRPr="00731644">
        <w:rPr>
          <w:lang w:val="fr-CH"/>
        </w:rPr>
        <w:t>’</w:t>
      </w:r>
      <w:r w:rsidR="002052C1" w:rsidRPr="00731644">
        <w:rPr>
          <w:lang w:val="fr-CH"/>
        </w:rPr>
        <w:t xml:space="preserve">application de ces </w:t>
      </w:r>
      <w:r w:rsidR="005A09F5" w:rsidRPr="00731644">
        <w:rPr>
          <w:lang w:val="fr-CH"/>
        </w:rPr>
        <w:t>disposition</w:t>
      </w:r>
      <w:r w:rsidR="002052C1" w:rsidRPr="00731644">
        <w:rPr>
          <w:lang w:val="fr-CH"/>
        </w:rPr>
        <w:t xml:space="preserve">s. Les mesures de prévention, mais aussi de répression, appliquées par les pouvoirs publics et les organisateurs pour </w:t>
      </w:r>
      <w:r w:rsidR="00A420AC" w:rsidRPr="00731644">
        <w:rPr>
          <w:lang w:val="fr-CH"/>
        </w:rPr>
        <w:t>lutter contre</w:t>
      </w:r>
      <w:r w:rsidR="002052C1" w:rsidRPr="00731644">
        <w:rPr>
          <w:lang w:val="fr-CH"/>
        </w:rPr>
        <w:t xml:space="preserve"> la violence </w:t>
      </w:r>
      <w:r w:rsidR="00A420AC" w:rsidRPr="00731644">
        <w:rPr>
          <w:lang w:val="fr-CH"/>
        </w:rPr>
        <w:t>lors de ces</w:t>
      </w:r>
      <w:r w:rsidR="002052C1" w:rsidRPr="00731644">
        <w:rPr>
          <w:lang w:val="fr-CH"/>
        </w:rPr>
        <w:t xml:space="preserve"> </w:t>
      </w:r>
      <w:r w:rsidR="00295D6A" w:rsidRPr="00731644">
        <w:rPr>
          <w:lang w:val="fr-CH"/>
        </w:rPr>
        <w:t>réunions publiques</w:t>
      </w:r>
      <w:r w:rsidR="00A420AC" w:rsidRPr="00731644">
        <w:rPr>
          <w:lang w:val="fr-CH"/>
        </w:rPr>
        <w:t xml:space="preserve"> que sont les manifestations sportives,</w:t>
      </w:r>
      <w:r w:rsidR="00295D6A" w:rsidRPr="00731644">
        <w:rPr>
          <w:lang w:val="fr-CH"/>
        </w:rPr>
        <w:t xml:space="preserve"> et notamment </w:t>
      </w:r>
      <w:r w:rsidR="00A420AC" w:rsidRPr="00731644">
        <w:rPr>
          <w:lang w:val="fr-CH"/>
        </w:rPr>
        <w:t>lors des</w:t>
      </w:r>
      <w:r w:rsidR="00295D6A" w:rsidRPr="00731644">
        <w:rPr>
          <w:lang w:val="fr-CH"/>
        </w:rPr>
        <w:t xml:space="preserve"> </w:t>
      </w:r>
      <w:r w:rsidR="00A420AC" w:rsidRPr="00731644">
        <w:rPr>
          <w:lang w:val="fr-CH"/>
        </w:rPr>
        <w:t>rencontre</w:t>
      </w:r>
      <w:r w:rsidR="00295D6A" w:rsidRPr="00731644">
        <w:rPr>
          <w:lang w:val="fr-CH"/>
        </w:rPr>
        <w:t>s à haut risque,</w:t>
      </w:r>
      <w:r w:rsidR="00F31DD5" w:rsidRPr="00731644">
        <w:rPr>
          <w:lang w:val="fr-CH"/>
        </w:rPr>
        <w:t xml:space="preserve"> </w:t>
      </w:r>
      <w:r w:rsidR="00295D6A" w:rsidRPr="00731644">
        <w:rPr>
          <w:lang w:val="fr-CH"/>
        </w:rPr>
        <w:t xml:space="preserve">sont pleinement alignées sur celles </w:t>
      </w:r>
      <w:r w:rsidR="00A420AC" w:rsidRPr="00731644">
        <w:rPr>
          <w:lang w:val="fr-CH"/>
        </w:rPr>
        <w:t>qu</w:t>
      </w:r>
      <w:r w:rsidR="00425386" w:rsidRPr="00731644">
        <w:rPr>
          <w:lang w:val="fr-CH"/>
        </w:rPr>
        <w:t>’</w:t>
      </w:r>
      <w:r w:rsidR="00A420AC" w:rsidRPr="00731644">
        <w:rPr>
          <w:lang w:val="fr-CH"/>
        </w:rPr>
        <w:t>énonce</w:t>
      </w:r>
      <w:r w:rsidR="00295D6A" w:rsidRPr="00731644">
        <w:rPr>
          <w:lang w:val="fr-CH"/>
        </w:rPr>
        <w:t xml:space="preserve"> la </w:t>
      </w:r>
      <w:r w:rsidR="00A420AC" w:rsidRPr="00731644">
        <w:rPr>
          <w:lang w:val="fr-CH"/>
        </w:rPr>
        <w:t>Convention européenne sur la violence et les débordements de spectateurs lors de manifestations sportives</w:t>
      </w:r>
      <w:r w:rsidRPr="00731644">
        <w:rPr>
          <w:lang w:val="fr-CH"/>
        </w:rPr>
        <w:t>.</w:t>
      </w:r>
    </w:p>
    <w:p w:rsidR="004C7BF6" w:rsidRPr="00731644" w:rsidRDefault="004C7BF6" w:rsidP="00D53B48">
      <w:pPr>
        <w:pStyle w:val="SingleTxtG"/>
        <w:rPr>
          <w:lang w:val="fr-CH"/>
        </w:rPr>
      </w:pPr>
      <w:r w:rsidRPr="00731644">
        <w:rPr>
          <w:lang w:val="fr-CH"/>
        </w:rPr>
        <w:t>186.</w:t>
      </w:r>
      <w:r w:rsidRPr="00731644">
        <w:rPr>
          <w:lang w:val="fr-CH"/>
        </w:rPr>
        <w:tab/>
      </w:r>
      <w:r w:rsidR="008A6553" w:rsidRPr="00731644">
        <w:rPr>
          <w:lang w:val="fr-CH"/>
        </w:rPr>
        <w:t>L</w:t>
      </w:r>
      <w:r w:rsidR="00295D6A" w:rsidRPr="00731644">
        <w:rPr>
          <w:lang w:val="fr-CH"/>
        </w:rPr>
        <w:t>e Code pénal monténégrin accorde (</w:t>
      </w:r>
      <w:r w:rsidR="00F31DD5" w:rsidRPr="00731644">
        <w:rPr>
          <w:lang w:val="fr-CH"/>
        </w:rPr>
        <w:t>art. </w:t>
      </w:r>
      <w:r w:rsidRPr="00731644">
        <w:rPr>
          <w:lang w:val="fr-CH"/>
        </w:rPr>
        <w:t>181</w:t>
      </w:r>
      <w:r w:rsidR="00295D6A" w:rsidRPr="00731644">
        <w:rPr>
          <w:lang w:val="fr-CH"/>
        </w:rPr>
        <w:t>) une</w:t>
      </w:r>
      <w:r w:rsidR="00F31DD5" w:rsidRPr="00731644">
        <w:rPr>
          <w:lang w:val="fr-CH"/>
        </w:rPr>
        <w:t xml:space="preserve"> </w:t>
      </w:r>
      <w:r w:rsidRPr="00731644">
        <w:rPr>
          <w:lang w:val="fr-CH"/>
        </w:rPr>
        <w:t xml:space="preserve">protection </w:t>
      </w:r>
      <w:r w:rsidR="00295D6A" w:rsidRPr="00731644">
        <w:rPr>
          <w:lang w:val="fr-CH"/>
        </w:rPr>
        <w:t>contre toute tentative d</w:t>
      </w:r>
      <w:r w:rsidR="00425386" w:rsidRPr="00731644">
        <w:rPr>
          <w:lang w:val="fr-CH"/>
        </w:rPr>
        <w:t>’</w:t>
      </w:r>
      <w:r w:rsidR="00295D6A" w:rsidRPr="00731644">
        <w:rPr>
          <w:lang w:val="fr-CH"/>
        </w:rPr>
        <w:t>empêcher la tenue d</w:t>
      </w:r>
      <w:r w:rsidR="00425386" w:rsidRPr="00731644">
        <w:rPr>
          <w:lang w:val="fr-CH"/>
        </w:rPr>
        <w:t>’</w:t>
      </w:r>
      <w:r w:rsidR="00295D6A" w:rsidRPr="00731644">
        <w:rPr>
          <w:lang w:val="fr-CH"/>
        </w:rPr>
        <w:t>une réunion pacifique ou d</w:t>
      </w:r>
      <w:r w:rsidR="00425386" w:rsidRPr="00731644">
        <w:rPr>
          <w:lang w:val="fr-CH"/>
        </w:rPr>
        <w:t>’</w:t>
      </w:r>
      <w:r w:rsidR="00295D6A" w:rsidRPr="00731644">
        <w:rPr>
          <w:lang w:val="fr-CH"/>
        </w:rPr>
        <w:t xml:space="preserve">y faire </w:t>
      </w:r>
      <w:r w:rsidR="0083174F" w:rsidRPr="00731644">
        <w:rPr>
          <w:lang w:val="fr-CH"/>
        </w:rPr>
        <w:t>obstruction</w:t>
      </w:r>
      <w:r w:rsidR="00295D6A" w:rsidRPr="00731644">
        <w:rPr>
          <w:lang w:val="fr-CH"/>
        </w:rPr>
        <w:t>.</w:t>
      </w:r>
      <w:r w:rsidR="00F31DD5" w:rsidRPr="00731644">
        <w:rPr>
          <w:lang w:val="fr-CH"/>
        </w:rPr>
        <w:t xml:space="preserve"> </w:t>
      </w:r>
      <w:r w:rsidR="00295D6A" w:rsidRPr="00731644">
        <w:rPr>
          <w:lang w:val="fr-CH"/>
        </w:rPr>
        <w:t xml:space="preserve">Quiconque, par la force, la menace, un subterfuge ou </w:t>
      </w:r>
      <w:r w:rsidR="00A420AC" w:rsidRPr="00731644">
        <w:rPr>
          <w:lang w:val="fr-CH"/>
        </w:rPr>
        <w:t>quelque</w:t>
      </w:r>
      <w:r w:rsidR="00295D6A" w:rsidRPr="00731644">
        <w:rPr>
          <w:lang w:val="fr-CH"/>
        </w:rPr>
        <w:t xml:space="preserve"> aut</w:t>
      </w:r>
      <w:r w:rsidR="00AA189D" w:rsidRPr="00731644">
        <w:rPr>
          <w:lang w:val="fr-CH"/>
        </w:rPr>
        <w:t>r</w:t>
      </w:r>
      <w:r w:rsidR="00295D6A" w:rsidRPr="00731644">
        <w:rPr>
          <w:lang w:val="fr-CH"/>
        </w:rPr>
        <w:t>e moyen, empêche la tenue d</w:t>
      </w:r>
      <w:r w:rsidR="00425386" w:rsidRPr="00731644">
        <w:rPr>
          <w:lang w:val="fr-CH"/>
        </w:rPr>
        <w:t>’</w:t>
      </w:r>
      <w:r w:rsidR="00295D6A" w:rsidRPr="00731644">
        <w:rPr>
          <w:lang w:val="fr-CH"/>
        </w:rPr>
        <w:t>une réunion publique organisée conformément à la loi ou y fait obstruction encourt une amende ou un emprisonnement d</w:t>
      </w:r>
      <w:r w:rsidR="00425386" w:rsidRPr="00731644">
        <w:rPr>
          <w:lang w:val="fr-CH"/>
        </w:rPr>
        <w:t>’</w:t>
      </w:r>
      <w:r w:rsidR="00295D6A" w:rsidRPr="00731644">
        <w:rPr>
          <w:lang w:val="fr-CH"/>
        </w:rPr>
        <w:t xml:space="preserve">un an au maximum </w:t>
      </w:r>
      <w:r w:rsidRPr="00731644">
        <w:rPr>
          <w:lang w:val="fr-CH"/>
        </w:rPr>
        <w:t>(</w:t>
      </w:r>
      <w:r w:rsidR="002061AB">
        <w:rPr>
          <w:lang w:val="fr-CH"/>
        </w:rPr>
        <w:t>par. </w:t>
      </w:r>
      <w:r w:rsidRPr="00731644">
        <w:rPr>
          <w:lang w:val="fr-CH"/>
        </w:rPr>
        <w:t xml:space="preserve">1). </w:t>
      </w:r>
      <w:r w:rsidR="008A6553" w:rsidRPr="00731644">
        <w:rPr>
          <w:lang w:val="fr-CH"/>
        </w:rPr>
        <w:t>L</w:t>
      </w:r>
      <w:r w:rsidR="00425386" w:rsidRPr="00731644">
        <w:rPr>
          <w:lang w:val="fr-CH"/>
        </w:rPr>
        <w:t>’</w:t>
      </w:r>
      <w:r w:rsidR="00AA189D" w:rsidRPr="00731644">
        <w:rPr>
          <w:lang w:val="fr-CH"/>
        </w:rPr>
        <w:t xml:space="preserve">infraction est aggravée </w:t>
      </w:r>
      <w:r w:rsidRPr="00731644">
        <w:rPr>
          <w:lang w:val="fr-CH"/>
        </w:rPr>
        <w:t>(</w:t>
      </w:r>
      <w:r w:rsidR="002061AB">
        <w:rPr>
          <w:lang w:val="fr-CH"/>
        </w:rPr>
        <w:t>par. </w:t>
      </w:r>
      <w:r w:rsidRPr="00731644">
        <w:rPr>
          <w:lang w:val="fr-CH"/>
        </w:rPr>
        <w:t xml:space="preserve">2) </w:t>
      </w:r>
      <w:r w:rsidR="00AA189D" w:rsidRPr="00731644">
        <w:rPr>
          <w:lang w:val="fr-CH"/>
        </w:rPr>
        <w:t>lorsqu</w:t>
      </w:r>
      <w:r w:rsidR="00425386" w:rsidRPr="00731644">
        <w:rPr>
          <w:lang w:val="fr-CH"/>
        </w:rPr>
        <w:t>’</w:t>
      </w:r>
      <w:r w:rsidR="00AA189D" w:rsidRPr="00731644">
        <w:rPr>
          <w:lang w:val="fr-CH"/>
        </w:rPr>
        <w:t>elle est commise par une personne dans l</w:t>
      </w:r>
      <w:r w:rsidR="00425386" w:rsidRPr="00731644">
        <w:rPr>
          <w:lang w:val="fr-CH"/>
        </w:rPr>
        <w:t>’</w:t>
      </w:r>
      <w:r w:rsidR="00AA189D" w:rsidRPr="00731644">
        <w:rPr>
          <w:lang w:val="fr-CH"/>
        </w:rPr>
        <w:t>exercice de ses fonctions</w:t>
      </w:r>
      <w:r w:rsidR="00F31DD5" w:rsidRPr="00731644">
        <w:rPr>
          <w:lang w:val="fr-CH"/>
        </w:rPr>
        <w:t>:</w:t>
      </w:r>
      <w:r w:rsidR="0083174F" w:rsidRPr="00731644">
        <w:rPr>
          <w:lang w:val="fr-CH"/>
        </w:rPr>
        <w:t xml:space="preserve"> la</w:t>
      </w:r>
      <w:r w:rsidR="00AA189D" w:rsidRPr="00731644">
        <w:rPr>
          <w:lang w:val="fr-CH"/>
        </w:rPr>
        <w:t xml:space="preserve"> peine de prison peut alors aller jusqu</w:t>
      </w:r>
      <w:r w:rsidR="00425386" w:rsidRPr="00731644">
        <w:rPr>
          <w:lang w:val="fr-CH"/>
        </w:rPr>
        <w:t>’</w:t>
      </w:r>
      <w:r w:rsidR="00AA189D" w:rsidRPr="00731644">
        <w:rPr>
          <w:lang w:val="fr-CH"/>
        </w:rPr>
        <w:t>à trois</w:t>
      </w:r>
      <w:r w:rsidR="00976D48">
        <w:rPr>
          <w:lang w:val="fr-CH"/>
        </w:rPr>
        <w:t> ans</w:t>
      </w:r>
      <w:r w:rsidRPr="00731644">
        <w:rPr>
          <w:lang w:val="fr-CH"/>
        </w:rPr>
        <w:t xml:space="preserve">. </w:t>
      </w:r>
      <w:r w:rsidR="005A09F5" w:rsidRPr="00731644">
        <w:rPr>
          <w:lang w:val="fr-CH"/>
        </w:rPr>
        <w:t>L</w:t>
      </w:r>
      <w:r w:rsidR="00425386" w:rsidRPr="00731644">
        <w:rPr>
          <w:lang w:val="fr-CH"/>
        </w:rPr>
        <w:t>’</w:t>
      </w:r>
      <w:r w:rsidR="00AA189D" w:rsidRPr="00731644">
        <w:rPr>
          <w:lang w:val="fr-CH"/>
        </w:rPr>
        <w:t xml:space="preserve">adoption de la </w:t>
      </w:r>
      <w:r w:rsidR="00AA189D" w:rsidRPr="00852F93">
        <w:rPr>
          <w:iCs/>
          <w:lang w:val="fr-CH"/>
        </w:rPr>
        <w:t xml:space="preserve">loi relative aux partis politiques </w:t>
      </w:r>
      <w:r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5072A0">
        <w:rPr>
          <w:lang w:val="fr-CH"/>
        </w:rPr>
        <w:t>n</w:t>
      </w:r>
      <w:r w:rsidR="005072A0" w:rsidRPr="005072A0">
        <w:rPr>
          <w:vertAlign w:val="superscript"/>
          <w:lang w:val="fr-CH"/>
        </w:rPr>
        <w:t>o</w:t>
      </w:r>
      <w:r w:rsidR="005072A0">
        <w:rPr>
          <w:lang w:val="fr-CH"/>
        </w:rPr>
        <w:t> </w:t>
      </w:r>
      <w:r w:rsidRPr="00731644">
        <w:rPr>
          <w:lang w:val="fr-CH"/>
        </w:rPr>
        <w:t xml:space="preserve">21/04), </w:t>
      </w:r>
      <w:r w:rsidR="00AA189D" w:rsidRPr="00731644">
        <w:rPr>
          <w:lang w:val="fr-CH"/>
        </w:rPr>
        <w:t xml:space="preserve">de la loi relative aux organisations non gouvernementales </w:t>
      </w:r>
      <w:r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5072A0">
        <w:rPr>
          <w:lang w:val="fr-CH"/>
        </w:rPr>
        <w:t>n</w:t>
      </w:r>
      <w:r w:rsidR="005072A0" w:rsidRPr="005072A0">
        <w:rPr>
          <w:vertAlign w:val="superscript"/>
          <w:lang w:val="fr-CH"/>
        </w:rPr>
        <w:t>o</w:t>
      </w:r>
      <w:r w:rsidR="00532E18">
        <w:rPr>
          <w:vertAlign w:val="superscript"/>
          <w:lang w:val="fr-CH"/>
        </w:rPr>
        <w:t>s</w:t>
      </w:r>
      <w:r w:rsidR="005072A0">
        <w:rPr>
          <w:lang w:val="fr-CH"/>
        </w:rPr>
        <w:t> </w:t>
      </w:r>
      <w:r w:rsidRPr="00731644">
        <w:rPr>
          <w:lang w:val="fr-CH"/>
        </w:rPr>
        <w:t>27/99, 30/02</w:t>
      </w:r>
      <w:r w:rsidR="00AA189D" w:rsidRPr="00731644">
        <w:rPr>
          <w:lang w:val="fr-CH"/>
        </w:rPr>
        <w:t xml:space="preserve"> et</w:t>
      </w:r>
      <w:r w:rsidRPr="00731644">
        <w:rPr>
          <w:lang w:val="fr-CH"/>
        </w:rPr>
        <w:t xml:space="preserve"> 11/07)</w:t>
      </w:r>
      <w:r w:rsidR="008A6553" w:rsidRPr="00731644">
        <w:rPr>
          <w:lang w:val="fr-CH"/>
        </w:rPr>
        <w:t xml:space="preserve"> et</w:t>
      </w:r>
      <w:r w:rsidRPr="00731644">
        <w:rPr>
          <w:lang w:val="fr-CH"/>
        </w:rPr>
        <w:t xml:space="preserve"> </w:t>
      </w:r>
      <w:r w:rsidR="00BE74EF" w:rsidRPr="00731644">
        <w:rPr>
          <w:lang w:val="fr-CH"/>
        </w:rPr>
        <w:t xml:space="preserve">de la </w:t>
      </w:r>
      <w:r w:rsidR="00BE74EF" w:rsidRPr="00852F93">
        <w:rPr>
          <w:iCs/>
          <w:lang w:val="fr-CH"/>
        </w:rPr>
        <w:t>loi</w:t>
      </w:r>
      <w:r w:rsidR="008153ED" w:rsidRPr="00852F93">
        <w:rPr>
          <w:iCs/>
          <w:lang w:val="fr-CH"/>
        </w:rPr>
        <w:t xml:space="preserve"> </w:t>
      </w:r>
      <w:r w:rsidR="008A6553" w:rsidRPr="00852F93">
        <w:rPr>
          <w:iCs/>
          <w:lang w:val="fr-CH"/>
        </w:rPr>
        <w:t>sur le</w:t>
      </w:r>
      <w:r w:rsidR="00AA189D" w:rsidRPr="00852F93">
        <w:rPr>
          <w:iCs/>
          <w:lang w:val="fr-CH"/>
        </w:rPr>
        <w:t xml:space="preserve"> travail </w:t>
      </w:r>
      <w:r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E66A6C">
        <w:rPr>
          <w:i/>
          <w:lang w:val="fr-CH"/>
        </w:rPr>
        <w:t xml:space="preserve"> </w:t>
      </w:r>
      <w:r w:rsidR="005072A0">
        <w:rPr>
          <w:lang w:val="fr-CH"/>
        </w:rPr>
        <w:t>n</w:t>
      </w:r>
      <w:r w:rsidR="005072A0" w:rsidRPr="005072A0">
        <w:rPr>
          <w:vertAlign w:val="superscript"/>
          <w:lang w:val="fr-CH"/>
        </w:rPr>
        <w:t>o</w:t>
      </w:r>
      <w:r w:rsidR="00532E18">
        <w:rPr>
          <w:vertAlign w:val="superscript"/>
          <w:lang w:val="fr-CH"/>
        </w:rPr>
        <w:t>s</w:t>
      </w:r>
      <w:r w:rsidR="005072A0">
        <w:rPr>
          <w:lang w:val="fr-CH"/>
        </w:rPr>
        <w:t> </w:t>
      </w:r>
      <w:r w:rsidRPr="00731644">
        <w:rPr>
          <w:lang w:val="fr-CH"/>
        </w:rPr>
        <w:t xml:space="preserve">49/08 </w:t>
      </w:r>
      <w:r w:rsidR="00AA189D" w:rsidRPr="00731644">
        <w:rPr>
          <w:lang w:val="fr-CH"/>
        </w:rPr>
        <w:t>et</w:t>
      </w:r>
      <w:r w:rsidR="00532E18">
        <w:rPr>
          <w:lang w:val="fr-CH"/>
        </w:rPr>
        <w:t xml:space="preserve"> </w:t>
      </w:r>
      <w:r w:rsidRPr="00731644">
        <w:rPr>
          <w:lang w:val="fr-CH"/>
        </w:rPr>
        <w:t xml:space="preserve">26/09) </w:t>
      </w:r>
      <w:r w:rsidR="00AA189D" w:rsidRPr="00731644">
        <w:rPr>
          <w:lang w:val="fr-CH"/>
        </w:rPr>
        <w:t>ainsi que de textes d</w:t>
      </w:r>
      <w:r w:rsidR="00425386" w:rsidRPr="00731644">
        <w:rPr>
          <w:lang w:val="fr-CH"/>
        </w:rPr>
        <w:t>’</w:t>
      </w:r>
      <w:r w:rsidR="00AA189D" w:rsidRPr="00731644">
        <w:rPr>
          <w:lang w:val="fr-CH"/>
        </w:rPr>
        <w:t>application</w:t>
      </w:r>
      <w:r w:rsidR="005A09F5" w:rsidRPr="00731644">
        <w:rPr>
          <w:lang w:val="fr-CH"/>
        </w:rPr>
        <w:t xml:space="preserve"> a créé les conditions juridiques nécessaires à l</w:t>
      </w:r>
      <w:r w:rsidR="00425386" w:rsidRPr="00731644">
        <w:rPr>
          <w:lang w:val="fr-CH"/>
        </w:rPr>
        <w:t>’</w:t>
      </w:r>
      <w:r w:rsidR="005A09F5" w:rsidRPr="00731644">
        <w:rPr>
          <w:lang w:val="fr-CH"/>
        </w:rPr>
        <w:t>exercice de ces libertés</w:t>
      </w:r>
      <w:r w:rsidR="008153ED" w:rsidRPr="00731644">
        <w:rPr>
          <w:lang w:val="fr-CH"/>
        </w:rPr>
        <w:t>.</w:t>
      </w:r>
    </w:p>
    <w:p w:rsidR="00683739" w:rsidRPr="00731644" w:rsidRDefault="004C7BF6" w:rsidP="004C7BF6">
      <w:pPr>
        <w:pStyle w:val="SingleTxtG"/>
        <w:rPr>
          <w:lang w:val="fr-CH"/>
        </w:rPr>
      </w:pPr>
      <w:r w:rsidRPr="00731644">
        <w:rPr>
          <w:lang w:val="fr-CH"/>
        </w:rPr>
        <w:t>187.</w:t>
      </w:r>
      <w:r w:rsidRPr="00731644">
        <w:rPr>
          <w:lang w:val="fr-CH"/>
        </w:rPr>
        <w:tab/>
      </w:r>
      <w:r w:rsidR="00FD6396" w:rsidRPr="00731644">
        <w:rPr>
          <w:lang w:val="fr-CH"/>
        </w:rPr>
        <w:t>Les conditions d</w:t>
      </w:r>
      <w:r w:rsidR="00425386" w:rsidRPr="00731644">
        <w:rPr>
          <w:lang w:val="fr-CH"/>
        </w:rPr>
        <w:t>’</w:t>
      </w:r>
      <w:r w:rsidR="00863ED2" w:rsidRPr="00731644">
        <w:rPr>
          <w:lang w:val="fr-CH"/>
        </w:rPr>
        <w:t>association</w:t>
      </w:r>
      <w:r w:rsidR="00794C12" w:rsidRPr="00731644">
        <w:rPr>
          <w:lang w:val="fr-CH"/>
        </w:rPr>
        <w:t xml:space="preserve"> des citoyens </w:t>
      </w:r>
      <w:r w:rsidR="00863ED2" w:rsidRPr="00731644">
        <w:rPr>
          <w:lang w:val="fr-CH"/>
        </w:rPr>
        <w:t>au sein des</w:t>
      </w:r>
      <w:r w:rsidR="00794C12" w:rsidRPr="00731644">
        <w:rPr>
          <w:lang w:val="fr-CH"/>
        </w:rPr>
        <w:t xml:space="preserve"> </w:t>
      </w:r>
      <w:r w:rsidR="00863ED2" w:rsidRPr="00731644">
        <w:rPr>
          <w:lang w:val="fr-CH"/>
        </w:rPr>
        <w:t>formations</w:t>
      </w:r>
      <w:r w:rsidR="00794C12" w:rsidRPr="00731644">
        <w:rPr>
          <w:lang w:val="fr-CH"/>
        </w:rPr>
        <w:t xml:space="preserve"> politiques </w:t>
      </w:r>
      <w:r w:rsidRPr="00731644">
        <w:rPr>
          <w:lang w:val="fr-CH"/>
        </w:rPr>
        <w:t>(</w:t>
      </w:r>
      <w:r w:rsidR="00794C12" w:rsidRPr="00731644">
        <w:rPr>
          <w:lang w:val="fr-CH"/>
        </w:rPr>
        <w:t>c</w:t>
      </w:r>
      <w:r w:rsidR="00425386" w:rsidRPr="00731644">
        <w:rPr>
          <w:lang w:val="fr-CH"/>
        </w:rPr>
        <w:t>’</w:t>
      </w:r>
      <w:r w:rsidR="00794C12" w:rsidRPr="00731644">
        <w:rPr>
          <w:lang w:val="fr-CH"/>
        </w:rPr>
        <w:t>est-à-dire de création, d</w:t>
      </w:r>
      <w:r w:rsidR="00425386" w:rsidRPr="00731644">
        <w:rPr>
          <w:lang w:val="fr-CH"/>
        </w:rPr>
        <w:t>’</w:t>
      </w:r>
      <w:r w:rsidR="00794C12" w:rsidRPr="00731644">
        <w:rPr>
          <w:lang w:val="fr-CH"/>
        </w:rPr>
        <w:t>organisation, d</w:t>
      </w:r>
      <w:r w:rsidR="00425386" w:rsidRPr="00731644">
        <w:rPr>
          <w:lang w:val="fr-CH"/>
        </w:rPr>
        <w:t>’</w:t>
      </w:r>
      <w:r w:rsidR="00794C12" w:rsidRPr="00731644">
        <w:rPr>
          <w:lang w:val="fr-CH"/>
        </w:rPr>
        <w:t>enregistrement, de fusion et de dissolution de</w:t>
      </w:r>
      <w:r w:rsidR="00863ED2" w:rsidRPr="00731644">
        <w:rPr>
          <w:lang w:val="fr-CH"/>
        </w:rPr>
        <w:t xml:space="preserve"> ce</w:t>
      </w:r>
      <w:r w:rsidR="00794C12" w:rsidRPr="00731644">
        <w:rPr>
          <w:lang w:val="fr-CH"/>
        </w:rPr>
        <w:t xml:space="preserve">s </w:t>
      </w:r>
      <w:r w:rsidR="00863ED2" w:rsidRPr="00731644">
        <w:rPr>
          <w:lang w:val="fr-CH"/>
        </w:rPr>
        <w:t>formations</w:t>
      </w:r>
      <w:r w:rsidRPr="00731644">
        <w:rPr>
          <w:lang w:val="fr-CH"/>
        </w:rPr>
        <w:t>)</w:t>
      </w:r>
      <w:r w:rsidR="00F31DD5" w:rsidRPr="00731644">
        <w:rPr>
          <w:lang w:val="fr-CH"/>
        </w:rPr>
        <w:t xml:space="preserve"> </w:t>
      </w:r>
      <w:r w:rsidR="00FD6396" w:rsidRPr="00731644">
        <w:rPr>
          <w:lang w:val="fr-CH"/>
        </w:rPr>
        <w:t>sont</w:t>
      </w:r>
      <w:r w:rsidR="00794C12" w:rsidRPr="00731644">
        <w:rPr>
          <w:lang w:val="fr-CH"/>
        </w:rPr>
        <w:t xml:space="preserve"> réglementé</w:t>
      </w:r>
      <w:r w:rsidR="00863ED2" w:rsidRPr="00731644">
        <w:rPr>
          <w:lang w:val="fr-CH"/>
        </w:rPr>
        <w:t>e</w:t>
      </w:r>
      <w:r w:rsidR="00FD6396" w:rsidRPr="00731644">
        <w:rPr>
          <w:lang w:val="fr-CH"/>
        </w:rPr>
        <w:t>s</w:t>
      </w:r>
      <w:r w:rsidR="00794C12" w:rsidRPr="00731644">
        <w:rPr>
          <w:lang w:val="fr-CH"/>
        </w:rPr>
        <w:t xml:space="preserve"> par la</w:t>
      </w:r>
      <w:r w:rsidR="00794C12" w:rsidRPr="00852F93">
        <w:rPr>
          <w:iCs/>
          <w:lang w:val="fr-CH"/>
        </w:rPr>
        <w:t xml:space="preserve"> loi re</w:t>
      </w:r>
      <w:r w:rsidR="00BE74EF" w:rsidRPr="00852F93">
        <w:rPr>
          <w:iCs/>
          <w:lang w:val="fr-CH"/>
        </w:rPr>
        <w:t>l</w:t>
      </w:r>
      <w:r w:rsidR="00794C12" w:rsidRPr="00852F93">
        <w:rPr>
          <w:iCs/>
          <w:lang w:val="fr-CH"/>
        </w:rPr>
        <w:t>ative aux partis politiques</w:t>
      </w:r>
      <w:r w:rsidRPr="00731644">
        <w:rPr>
          <w:lang w:val="fr-CH"/>
        </w:rPr>
        <w:t xml:space="preserve">. </w:t>
      </w:r>
      <w:r w:rsidR="00863ED2" w:rsidRPr="00731644">
        <w:rPr>
          <w:lang w:val="fr-CH"/>
        </w:rPr>
        <w:t>U</w:t>
      </w:r>
      <w:r w:rsidR="00BC6166" w:rsidRPr="00731644">
        <w:rPr>
          <w:lang w:val="fr-CH"/>
        </w:rPr>
        <w:t>n parti politique</w:t>
      </w:r>
      <w:r w:rsidR="00863ED2" w:rsidRPr="00731644">
        <w:rPr>
          <w:lang w:val="fr-CH"/>
        </w:rPr>
        <w:t>, au sens de cette loi,</w:t>
      </w:r>
      <w:r w:rsidR="00F31DD5" w:rsidRPr="00731644">
        <w:rPr>
          <w:lang w:val="fr-CH"/>
        </w:rPr>
        <w:t xml:space="preserve"> </w:t>
      </w:r>
      <w:r w:rsidR="00BC6166" w:rsidRPr="00731644">
        <w:rPr>
          <w:lang w:val="fr-CH"/>
        </w:rPr>
        <w:t>est une organisation de citoyens qui s</w:t>
      </w:r>
      <w:r w:rsidR="00425386" w:rsidRPr="00731644">
        <w:rPr>
          <w:lang w:val="fr-CH"/>
        </w:rPr>
        <w:t>’</w:t>
      </w:r>
      <w:r w:rsidR="00BC6166" w:rsidRPr="00731644">
        <w:rPr>
          <w:lang w:val="fr-CH"/>
        </w:rPr>
        <w:t xml:space="preserve">associent librement et de leur plein gré pour atteindre des objectifs politiques par des moyens démocratiques et pacifiques. Les partis </w:t>
      </w:r>
      <w:r w:rsidR="00FD6396" w:rsidRPr="00731644">
        <w:rPr>
          <w:lang w:val="fr-CH"/>
        </w:rPr>
        <w:t>p</w:t>
      </w:r>
      <w:r w:rsidR="0083174F" w:rsidRPr="00731644">
        <w:rPr>
          <w:lang w:val="fr-CH"/>
        </w:rPr>
        <w:t>olitiques</w:t>
      </w:r>
      <w:r w:rsidR="00BC6166" w:rsidRPr="00731644">
        <w:rPr>
          <w:lang w:val="fr-CH"/>
        </w:rPr>
        <w:t xml:space="preserve"> ont la personnalité juridique</w:t>
      </w:r>
      <w:r w:rsidR="00F31DD5" w:rsidRPr="00731644">
        <w:rPr>
          <w:lang w:val="fr-CH"/>
        </w:rPr>
        <w:t>;</w:t>
      </w:r>
      <w:r w:rsidR="00BC6166" w:rsidRPr="00731644">
        <w:rPr>
          <w:lang w:val="fr-CH"/>
        </w:rPr>
        <w:t xml:space="preserve"> </w:t>
      </w:r>
      <w:r w:rsidR="0083174F" w:rsidRPr="00731644">
        <w:rPr>
          <w:lang w:val="fr-CH"/>
        </w:rPr>
        <w:t>ils agissent</w:t>
      </w:r>
      <w:r w:rsidR="00BC6166" w:rsidRPr="00731644">
        <w:rPr>
          <w:lang w:val="fr-CH"/>
        </w:rPr>
        <w:t xml:space="preserve"> publiquement et en vertu du principe de territorialité</w:t>
      </w:r>
      <w:r w:rsidRPr="00731644">
        <w:rPr>
          <w:lang w:val="fr-CH"/>
        </w:rPr>
        <w:t xml:space="preserve">. </w:t>
      </w:r>
      <w:r w:rsidR="00BC6166" w:rsidRPr="00731644">
        <w:rPr>
          <w:lang w:val="fr-CH"/>
        </w:rPr>
        <w:t>Pour qu</w:t>
      </w:r>
      <w:r w:rsidR="00425386" w:rsidRPr="00731644">
        <w:rPr>
          <w:lang w:val="fr-CH"/>
        </w:rPr>
        <w:t>’</w:t>
      </w:r>
      <w:r w:rsidR="00BC6166" w:rsidRPr="00731644">
        <w:rPr>
          <w:lang w:val="fr-CH"/>
        </w:rPr>
        <w:t>un parti soit créé, il faut qu</w:t>
      </w:r>
      <w:r w:rsidR="00425386" w:rsidRPr="00731644">
        <w:rPr>
          <w:lang w:val="fr-CH"/>
        </w:rPr>
        <w:t>’</w:t>
      </w:r>
      <w:r w:rsidR="00BC6166" w:rsidRPr="00731644">
        <w:rPr>
          <w:lang w:val="fr-CH"/>
        </w:rPr>
        <w:t xml:space="preserve">au moins 200 citoyens </w:t>
      </w:r>
      <w:r w:rsidR="00863ED2" w:rsidRPr="00731644">
        <w:rPr>
          <w:lang w:val="fr-CH"/>
        </w:rPr>
        <w:t>ayant</w:t>
      </w:r>
      <w:r w:rsidR="00BC6166" w:rsidRPr="00731644">
        <w:rPr>
          <w:lang w:val="fr-CH"/>
        </w:rPr>
        <w:t xml:space="preserve"> </w:t>
      </w:r>
      <w:r w:rsidR="00863ED2" w:rsidRPr="00731644">
        <w:rPr>
          <w:lang w:val="fr-CH"/>
        </w:rPr>
        <w:t xml:space="preserve">le </w:t>
      </w:r>
      <w:r w:rsidR="00BC6166" w:rsidRPr="00731644">
        <w:rPr>
          <w:lang w:val="fr-CH"/>
        </w:rPr>
        <w:t>droit de vote</w:t>
      </w:r>
      <w:r w:rsidR="00863ED2" w:rsidRPr="00731644">
        <w:rPr>
          <w:lang w:val="fr-CH"/>
        </w:rPr>
        <w:t>r</w:t>
      </w:r>
      <w:r w:rsidR="00BC6166" w:rsidRPr="00731644">
        <w:rPr>
          <w:lang w:val="fr-CH"/>
        </w:rPr>
        <w:t xml:space="preserve"> au Monténégro signent volontairement une déclaration à cet effet. Le registre des partis politiques est un livre public, tenu par l</w:t>
      </w:r>
      <w:r w:rsidR="00863ED2" w:rsidRPr="00731644">
        <w:rPr>
          <w:lang w:val="fr-CH"/>
        </w:rPr>
        <w:t>e</w:t>
      </w:r>
      <w:r w:rsidR="00BC6166" w:rsidRPr="00731644">
        <w:rPr>
          <w:lang w:val="fr-CH"/>
        </w:rPr>
        <w:t xml:space="preserve"> Ministère des affaires intérieures et de l</w:t>
      </w:r>
      <w:r w:rsidR="00425386" w:rsidRPr="00731644">
        <w:rPr>
          <w:lang w:val="fr-CH"/>
        </w:rPr>
        <w:t>’</w:t>
      </w:r>
      <w:r w:rsidR="00BC6166" w:rsidRPr="00731644">
        <w:rPr>
          <w:lang w:val="fr-CH"/>
        </w:rPr>
        <w:t>administration publique.</w:t>
      </w:r>
      <w:r w:rsidR="00F31DD5" w:rsidRPr="00731644">
        <w:rPr>
          <w:lang w:val="fr-CH"/>
        </w:rPr>
        <w:t xml:space="preserve"> </w:t>
      </w:r>
      <w:r w:rsidR="00BC6166" w:rsidRPr="00731644">
        <w:rPr>
          <w:lang w:val="fr-CH"/>
        </w:rPr>
        <w:t>L</w:t>
      </w:r>
      <w:r w:rsidR="00425386" w:rsidRPr="00731644">
        <w:rPr>
          <w:lang w:val="fr-CH"/>
        </w:rPr>
        <w:t>’</w:t>
      </w:r>
      <w:r w:rsidR="00BC6166" w:rsidRPr="00731644">
        <w:rPr>
          <w:lang w:val="fr-CH"/>
        </w:rPr>
        <w:t xml:space="preserve">enregistrement </w:t>
      </w:r>
      <w:r w:rsidR="00683739" w:rsidRPr="00731644">
        <w:rPr>
          <w:lang w:val="fr-CH"/>
        </w:rPr>
        <w:t>d</w:t>
      </w:r>
      <w:r w:rsidR="00425386" w:rsidRPr="00731644">
        <w:rPr>
          <w:lang w:val="fr-CH"/>
        </w:rPr>
        <w:t>’</w:t>
      </w:r>
      <w:r w:rsidR="00683739" w:rsidRPr="00731644">
        <w:rPr>
          <w:lang w:val="fr-CH"/>
        </w:rPr>
        <w:t>un</w:t>
      </w:r>
      <w:r w:rsidR="00BC6166" w:rsidRPr="00731644">
        <w:rPr>
          <w:lang w:val="fr-CH"/>
        </w:rPr>
        <w:t xml:space="preserve"> parti politique </w:t>
      </w:r>
      <w:r w:rsidR="00863ED2" w:rsidRPr="00731644">
        <w:rPr>
          <w:lang w:val="fr-CH"/>
        </w:rPr>
        <w:t>fait</w:t>
      </w:r>
      <w:r w:rsidR="00683739" w:rsidRPr="00731644">
        <w:rPr>
          <w:lang w:val="fr-CH"/>
        </w:rPr>
        <w:t xml:space="preserve"> suite </w:t>
      </w:r>
      <w:r w:rsidR="00863ED2" w:rsidRPr="00731644">
        <w:rPr>
          <w:lang w:val="fr-CH"/>
        </w:rPr>
        <w:t>à une</w:t>
      </w:r>
      <w:r w:rsidR="00683739" w:rsidRPr="00731644">
        <w:rPr>
          <w:lang w:val="fr-CH"/>
        </w:rPr>
        <w:t xml:space="preserve"> demande qui doit être accompagnée de la décision de cré</w:t>
      </w:r>
      <w:r w:rsidR="00863ED2" w:rsidRPr="00731644">
        <w:rPr>
          <w:lang w:val="fr-CH"/>
        </w:rPr>
        <w:t>er le</w:t>
      </w:r>
      <w:r w:rsidR="00683739" w:rsidRPr="00731644">
        <w:rPr>
          <w:lang w:val="fr-CH"/>
        </w:rPr>
        <w:t xml:space="preserve"> parti, des statuts de celui-ci et de son programme. </w:t>
      </w:r>
    </w:p>
    <w:p w:rsidR="00912EB6" w:rsidRPr="00731644" w:rsidRDefault="004C7BF6" w:rsidP="004C7BF6">
      <w:pPr>
        <w:pStyle w:val="SingleTxtG"/>
        <w:rPr>
          <w:lang w:val="fr-CH"/>
        </w:rPr>
      </w:pPr>
      <w:r w:rsidRPr="00731644">
        <w:rPr>
          <w:lang w:val="fr-CH"/>
        </w:rPr>
        <w:t>188.</w:t>
      </w:r>
      <w:r w:rsidRPr="00731644">
        <w:rPr>
          <w:lang w:val="fr-CH"/>
        </w:rPr>
        <w:tab/>
      </w:r>
      <w:r w:rsidR="00683739" w:rsidRPr="00731644">
        <w:rPr>
          <w:lang w:val="fr-CH"/>
        </w:rPr>
        <w:t xml:space="preserve">La </w:t>
      </w:r>
      <w:r w:rsidR="00683739" w:rsidRPr="00852F93">
        <w:rPr>
          <w:iCs/>
          <w:lang w:val="fr-CH"/>
        </w:rPr>
        <w:t xml:space="preserve">loi relative aux organisations non gouvernementales </w:t>
      </w:r>
      <w:r w:rsidR="00683739" w:rsidRPr="00731644">
        <w:rPr>
          <w:lang w:val="fr-CH"/>
        </w:rPr>
        <w:t xml:space="preserve">repose sur une conception libérale de </w:t>
      </w:r>
      <w:r w:rsidR="00863ED2" w:rsidRPr="00731644">
        <w:rPr>
          <w:lang w:val="fr-CH"/>
        </w:rPr>
        <w:t>l</w:t>
      </w:r>
      <w:r w:rsidR="00CE4C15" w:rsidRPr="00731644">
        <w:rPr>
          <w:lang w:val="fr-CH"/>
        </w:rPr>
        <w:t>a</w:t>
      </w:r>
      <w:r w:rsidR="00683739" w:rsidRPr="00731644">
        <w:rPr>
          <w:lang w:val="fr-CH"/>
        </w:rPr>
        <w:t xml:space="preserve"> création et de </w:t>
      </w:r>
      <w:r w:rsidR="00863ED2" w:rsidRPr="00731644">
        <w:rPr>
          <w:lang w:val="fr-CH"/>
        </w:rPr>
        <w:t>l</w:t>
      </w:r>
      <w:r w:rsidR="00425386" w:rsidRPr="00731644">
        <w:rPr>
          <w:lang w:val="fr-CH"/>
        </w:rPr>
        <w:t>’</w:t>
      </w:r>
      <w:r w:rsidR="00683739" w:rsidRPr="00731644">
        <w:rPr>
          <w:lang w:val="fr-CH"/>
        </w:rPr>
        <w:t>enregistrement</w:t>
      </w:r>
      <w:r w:rsidR="00863ED2" w:rsidRPr="00731644">
        <w:rPr>
          <w:lang w:val="fr-CH"/>
        </w:rPr>
        <w:t xml:space="preserve"> </w:t>
      </w:r>
      <w:r w:rsidR="00CE4C15" w:rsidRPr="00731644">
        <w:rPr>
          <w:lang w:val="fr-CH"/>
        </w:rPr>
        <w:t xml:space="preserve">de </w:t>
      </w:r>
      <w:r w:rsidR="00FD6396" w:rsidRPr="00731644">
        <w:rPr>
          <w:lang w:val="fr-CH"/>
        </w:rPr>
        <w:t>ces organisations</w:t>
      </w:r>
      <w:r w:rsidR="00F31DD5" w:rsidRPr="00731644">
        <w:rPr>
          <w:lang w:val="fr-CH"/>
        </w:rPr>
        <w:t>:</w:t>
      </w:r>
      <w:r w:rsidR="00CE4C15" w:rsidRPr="00731644">
        <w:rPr>
          <w:lang w:val="fr-CH"/>
        </w:rPr>
        <w:t xml:space="preserve"> u</w:t>
      </w:r>
      <w:r w:rsidR="00683739" w:rsidRPr="00731644">
        <w:rPr>
          <w:lang w:val="fr-CH"/>
        </w:rPr>
        <w:t>ne association non gouvernementale peut être fondée par un minimum de cinq</w:t>
      </w:r>
      <w:r w:rsidR="00CB7658" w:rsidRPr="00731644">
        <w:rPr>
          <w:lang w:val="fr-CH"/>
        </w:rPr>
        <w:t> personnes</w:t>
      </w:r>
      <w:r w:rsidR="00683739" w:rsidRPr="00731644">
        <w:rPr>
          <w:lang w:val="fr-CH"/>
        </w:rPr>
        <w:t xml:space="preserve"> ayant leur résidence permanente, un</w:t>
      </w:r>
      <w:r w:rsidR="00CE4C15" w:rsidRPr="00731644">
        <w:rPr>
          <w:lang w:val="fr-CH"/>
        </w:rPr>
        <w:t xml:space="preserve"> permis de séjour</w:t>
      </w:r>
      <w:r w:rsidR="00683739" w:rsidRPr="00731644">
        <w:rPr>
          <w:lang w:val="fr-CH"/>
        </w:rPr>
        <w:t xml:space="preserve"> temporaire</w:t>
      </w:r>
      <w:r w:rsidR="00F31DD5" w:rsidRPr="00731644">
        <w:rPr>
          <w:lang w:val="fr-CH"/>
        </w:rPr>
        <w:t xml:space="preserve"> </w:t>
      </w:r>
      <w:r w:rsidR="00683739" w:rsidRPr="00731644">
        <w:rPr>
          <w:lang w:val="fr-CH"/>
        </w:rPr>
        <w:t xml:space="preserve">ou leur siège dans le pays, et la fondation non gouvernementale, par une personne sans condition relative à </w:t>
      </w:r>
      <w:r w:rsidR="00CE4C15" w:rsidRPr="00731644">
        <w:rPr>
          <w:lang w:val="fr-CH"/>
        </w:rPr>
        <w:t>s</w:t>
      </w:r>
      <w:r w:rsidR="00683739" w:rsidRPr="00731644">
        <w:rPr>
          <w:lang w:val="fr-CH"/>
        </w:rPr>
        <w:t>a résidence permanente</w:t>
      </w:r>
      <w:r w:rsidR="00CE4C15" w:rsidRPr="00731644">
        <w:rPr>
          <w:lang w:val="fr-CH"/>
        </w:rPr>
        <w:t xml:space="preserve"> ou </w:t>
      </w:r>
      <w:r w:rsidR="00683739" w:rsidRPr="00731644">
        <w:rPr>
          <w:lang w:val="fr-CH"/>
        </w:rPr>
        <w:t xml:space="preserve">temporaire </w:t>
      </w:r>
      <w:r w:rsidR="00CE4C15" w:rsidRPr="00731644">
        <w:rPr>
          <w:lang w:val="fr-CH"/>
        </w:rPr>
        <w:t>ni à son</w:t>
      </w:r>
      <w:r w:rsidR="00683739" w:rsidRPr="00731644">
        <w:rPr>
          <w:lang w:val="fr-CH"/>
        </w:rPr>
        <w:t xml:space="preserve"> siège. L</w:t>
      </w:r>
      <w:r w:rsidR="00425386" w:rsidRPr="00731644">
        <w:rPr>
          <w:lang w:val="fr-CH"/>
        </w:rPr>
        <w:t>’</w:t>
      </w:r>
      <w:r w:rsidR="00683739" w:rsidRPr="00731644">
        <w:rPr>
          <w:lang w:val="fr-CH"/>
        </w:rPr>
        <w:t>enregistrement par les services responsables</w:t>
      </w:r>
      <w:r w:rsidR="00F31DD5" w:rsidRPr="00731644">
        <w:rPr>
          <w:lang w:val="fr-CH"/>
        </w:rPr>
        <w:t xml:space="preserve"> </w:t>
      </w:r>
      <w:r w:rsidR="00683739" w:rsidRPr="00731644">
        <w:rPr>
          <w:lang w:val="fr-CH"/>
        </w:rPr>
        <w:t xml:space="preserve">de la tenue et de la mise à jour du registre des organisations non gouvernementales </w:t>
      </w:r>
      <w:r w:rsidRPr="00731644">
        <w:rPr>
          <w:lang w:val="fr-CH"/>
        </w:rPr>
        <w:t>(</w:t>
      </w:r>
      <w:r w:rsidR="00CE4C15" w:rsidRPr="00731644">
        <w:rPr>
          <w:lang w:val="fr-CH"/>
        </w:rPr>
        <w:t>c</w:t>
      </w:r>
      <w:r w:rsidR="00425386" w:rsidRPr="00731644">
        <w:rPr>
          <w:lang w:val="fr-CH"/>
        </w:rPr>
        <w:t>’</w:t>
      </w:r>
      <w:r w:rsidR="00CE4C15" w:rsidRPr="00731644">
        <w:rPr>
          <w:lang w:val="fr-CH"/>
        </w:rPr>
        <w:t xml:space="preserve">est-à-dire par </w:t>
      </w:r>
      <w:r w:rsidR="00683739" w:rsidRPr="00731644">
        <w:rPr>
          <w:lang w:val="fr-CH"/>
        </w:rPr>
        <w:t>le Ministère des affaires intérieures et de l</w:t>
      </w:r>
      <w:r w:rsidR="00425386" w:rsidRPr="00731644">
        <w:rPr>
          <w:lang w:val="fr-CH"/>
        </w:rPr>
        <w:t>’</w:t>
      </w:r>
      <w:r w:rsidR="00683739" w:rsidRPr="00731644">
        <w:rPr>
          <w:lang w:val="fr-CH"/>
        </w:rPr>
        <w:t>administration publique</w:t>
      </w:r>
      <w:r w:rsidR="00CE4C15" w:rsidRPr="00731644">
        <w:rPr>
          <w:lang w:val="fr-CH"/>
        </w:rPr>
        <w:t xml:space="preserve"> dans le cas des organisations sises </w:t>
      </w:r>
      <w:r w:rsidR="005122FF" w:rsidRPr="00731644">
        <w:rPr>
          <w:lang w:val="fr-CH"/>
        </w:rPr>
        <w:t xml:space="preserve">sur le territoire </w:t>
      </w:r>
      <w:r w:rsidR="00FD6396" w:rsidRPr="00731644">
        <w:rPr>
          <w:lang w:val="fr-CH"/>
        </w:rPr>
        <w:t>monténégrin</w:t>
      </w:r>
      <w:r w:rsidR="00683739" w:rsidRPr="00731644">
        <w:rPr>
          <w:lang w:val="fr-CH"/>
        </w:rPr>
        <w:t xml:space="preserve">) </w:t>
      </w:r>
      <w:r w:rsidR="00912EB6" w:rsidRPr="00731644">
        <w:rPr>
          <w:lang w:val="fr-CH"/>
        </w:rPr>
        <w:t>se fait à la suite d</w:t>
      </w:r>
      <w:r w:rsidR="00425386" w:rsidRPr="00731644">
        <w:rPr>
          <w:lang w:val="fr-CH"/>
        </w:rPr>
        <w:t>’</w:t>
      </w:r>
      <w:r w:rsidR="00912EB6" w:rsidRPr="00731644">
        <w:rPr>
          <w:lang w:val="fr-CH"/>
        </w:rPr>
        <w:t>une demande accompagnée de la documentation générale relative à l</w:t>
      </w:r>
      <w:r w:rsidR="00425386" w:rsidRPr="00731644">
        <w:rPr>
          <w:lang w:val="fr-CH"/>
        </w:rPr>
        <w:t>’</w:t>
      </w:r>
      <w:r w:rsidR="00912EB6" w:rsidRPr="00731644">
        <w:rPr>
          <w:lang w:val="fr-CH"/>
        </w:rPr>
        <w:t>organisation – les statuts et l</w:t>
      </w:r>
      <w:r w:rsidR="00425386" w:rsidRPr="00731644">
        <w:rPr>
          <w:lang w:val="fr-CH"/>
        </w:rPr>
        <w:t>’</w:t>
      </w:r>
      <w:r w:rsidR="00912EB6" w:rsidRPr="00731644">
        <w:rPr>
          <w:lang w:val="fr-CH"/>
        </w:rPr>
        <w:t>acte de création.</w:t>
      </w:r>
      <w:r w:rsidR="006443F6" w:rsidRPr="00731644">
        <w:rPr>
          <w:lang w:val="fr-CH"/>
        </w:rPr>
        <w:t xml:space="preserve"> </w:t>
      </w:r>
    </w:p>
    <w:p w:rsidR="004C7BF6" w:rsidRPr="00731644" w:rsidRDefault="004D324E" w:rsidP="004C7BF6">
      <w:pPr>
        <w:pStyle w:val="SingleTxtG"/>
        <w:rPr>
          <w:lang w:val="fr-CH"/>
        </w:rPr>
      </w:pPr>
      <w:r w:rsidRPr="00731644">
        <w:rPr>
          <w:lang w:val="fr-CH"/>
        </w:rPr>
        <w:t>189.</w:t>
      </w:r>
      <w:r w:rsidRPr="00731644">
        <w:rPr>
          <w:lang w:val="fr-CH"/>
        </w:rPr>
        <w:tab/>
      </w:r>
      <w:r w:rsidR="00912EB6" w:rsidRPr="00731644">
        <w:rPr>
          <w:lang w:val="fr-CH"/>
        </w:rPr>
        <w:t>Les organisations non gouvernementales étrangères</w:t>
      </w:r>
      <w:r w:rsidR="004C7BF6" w:rsidRPr="00731644">
        <w:rPr>
          <w:lang w:val="fr-CH"/>
        </w:rPr>
        <w:t xml:space="preserve">, </w:t>
      </w:r>
      <w:r w:rsidR="00912EB6" w:rsidRPr="00731644">
        <w:rPr>
          <w:lang w:val="fr-CH"/>
        </w:rPr>
        <w:t xml:space="preserve">au sens de la loi, sont </w:t>
      </w:r>
      <w:r w:rsidR="00CE4C15" w:rsidRPr="00731644">
        <w:rPr>
          <w:lang w:val="fr-CH"/>
        </w:rPr>
        <w:t>cell</w:t>
      </w:r>
      <w:r w:rsidR="00912EB6" w:rsidRPr="00731644">
        <w:rPr>
          <w:lang w:val="fr-CH"/>
        </w:rPr>
        <w:t xml:space="preserve">es </w:t>
      </w:r>
      <w:r w:rsidR="00CE4C15" w:rsidRPr="00731644">
        <w:rPr>
          <w:lang w:val="fr-CH"/>
        </w:rPr>
        <w:t>qui ont</w:t>
      </w:r>
      <w:r w:rsidR="00912EB6" w:rsidRPr="00731644">
        <w:rPr>
          <w:lang w:val="fr-CH"/>
        </w:rPr>
        <w:t xml:space="preserve"> leur siège à l</w:t>
      </w:r>
      <w:r w:rsidR="00425386" w:rsidRPr="00731644">
        <w:rPr>
          <w:lang w:val="fr-CH"/>
        </w:rPr>
        <w:t>’</w:t>
      </w:r>
      <w:r w:rsidR="00912EB6" w:rsidRPr="00731644">
        <w:rPr>
          <w:lang w:val="fr-CH"/>
        </w:rPr>
        <w:t>étranger</w:t>
      </w:r>
      <w:r w:rsidR="00F31DD5" w:rsidRPr="00731644">
        <w:rPr>
          <w:lang w:val="fr-CH"/>
        </w:rPr>
        <w:t>;</w:t>
      </w:r>
      <w:r w:rsidR="00912EB6" w:rsidRPr="00731644">
        <w:rPr>
          <w:lang w:val="fr-CH"/>
        </w:rPr>
        <w:t xml:space="preserve"> elles peuvent opérer sur le territoire du Monténégro si elles inscrivent leur bureau au registre tenu par le Ministère de la justice</w:t>
      </w:r>
      <w:r w:rsidR="004C7BF6" w:rsidRPr="00731644">
        <w:rPr>
          <w:lang w:val="fr-CH"/>
        </w:rPr>
        <w:t>.</w:t>
      </w:r>
    </w:p>
    <w:p w:rsidR="009B5940" w:rsidRPr="00731644" w:rsidRDefault="004D324E" w:rsidP="004C7BF6">
      <w:pPr>
        <w:pStyle w:val="SingleTxtG"/>
        <w:rPr>
          <w:lang w:val="fr-CH"/>
        </w:rPr>
      </w:pPr>
      <w:r w:rsidRPr="00731644">
        <w:rPr>
          <w:lang w:val="fr-CH"/>
        </w:rPr>
        <w:t>190.</w:t>
      </w:r>
      <w:r w:rsidRPr="00731644">
        <w:rPr>
          <w:lang w:val="fr-CH"/>
        </w:rPr>
        <w:tab/>
      </w:r>
      <w:r w:rsidR="00CE4C15" w:rsidRPr="00731644">
        <w:rPr>
          <w:lang w:val="fr-CH"/>
        </w:rPr>
        <w:t>C</w:t>
      </w:r>
      <w:r w:rsidR="00912EB6" w:rsidRPr="00731644">
        <w:rPr>
          <w:lang w:val="fr-CH"/>
        </w:rPr>
        <w:t xml:space="preserve">onformément à la réglementation applicable à divers aspects des relations </w:t>
      </w:r>
      <w:r w:rsidR="00045158" w:rsidRPr="00731644">
        <w:rPr>
          <w:lang w:val="fr-CH"/>
        </w:rPr>
        <w:t>entre le G</w:t>
      </w:r>
      <w:r w:rsidR="00912EB6" w:rsidRPr="00731644">
        <w:rPr>
          <w:lang w:val="fr-CH"/>
        </w:rPr>
        <w:t>ouvernement du Monténégro</w:t>
      </w:r>
      <w:r w:rsidR="00045158" w:rsidRPr="00731644">
        <w:rPr>
          <w:lang w:val="fr-CH"/>
        </w:rPr>
        <w:t xml:space="preserve"> et les organisations non gouvernementales </w:t>
      </w:r>
      <w:r w:rsidR="00FD6396" w:rsidRPr="00731644">
        <w:rPr>
          <w:lang w:val="fr-CH"/>
        </w:rPr>
        <w:t>afin de faire progresser plus avant la</w:t>
      </w:r>
      <w:r w:rsidR="00045158" w:rsidRPr="00731644">
        <w:rPr>
          <w:lang w:val="fr-CH"/>
        </w:rPr>
        <w:t xml:space="preserve"> démocratisation, la promotion et la protection des droits de l</w:t>
      </w:r>
      <w:r w:rsidR="00425386" w:rsidRPr="00731644">
        <w:rPr>
          <w:lang w:val="fr-CH"/>
        </w:rPr>
        <w:t>’</w:t>
      </w:r>
      <w:r w:rsidR="00045158" w:rsidRPr="00731644">
        <w:rPr>
          <w:lang w:val="fr-CH"/>
        </w:rPr>
        <w:t xml:space="preserve">homme et des libertés fondamentales </w:t>
      </w:r>
      <w:r w:rsidR="00FD6396" w:rsidRPr="00731644">
        <w:rPr>
          <w:lang w:val="fr-CH"/>
        </w:rPr>
        <w:t>par</w:t>
      </w:r>
      <w:r w:rsidR="00045158" w:rsidRPr="00731644">
        <w:rPr>
          <w:lang w:val="fr-CH"/>
        </w:rPr>
        <w:t xml:space="preserve"> le respect du pluralisme e</w:t>
      </w:r>
      <w:r w:rsidR="00CE4C15" w:rsidRPr="00731644">
        <w:rPr>
          <w:lang w:val="fr-CH"/>
        </w:rPr>
        <w:t>t</w:t>
      </w:r>
      <w:r w:rsidR="00045158" w:rsidRPr="00731644">
        <w:rPr>
          <w:lang w:val="fr-CH"/>
        </w:rPr>
        <w:t xml:space="preserve"> de la liberté d</w:t>
      </w:r>
      <w:r w:rsidR="00425386" w:rsidRPr="00731644">
        <w:rPr>
          <w:lang w:val="fr-CH"/>
        </w:rPr>
        <w:t>’</w:t>
      </w:r>
      <w:r w:rsidR="00045158" w:rsidRPr="00731644">
        <w:rPr>
          <w:lang w:val="fr-CH"/>
        </w:rPr>
        <w:t xml:space="preserve">association, le Gouvernement </w:t>
      </w:r>
      <w:r w:rsidR="00CE4C15" w:rsidRPr="00731644">
        <w:rPr>
          <w:lang w:val="fr-CH"/>
        </w:rPr>
        <w:t xml:space="preserve">a </w:t>
      </w:r>
      <w:r w:rsidR="00045158" w:rsidRPr="00731644">
        <w:rPr>
          <w:lang w:val="fr-CH"/>
        </w:rPr>
        <w:t xml:space="preserve">adopté, le </w:t>
      </w:r>
      <w:r w:rsidR="004C7BF6" w:rsidRPr="00731644">
        <w:rPr>
          <w:lang w:val="fr-CH"/>
        </w:rPr>
        <w:t xml:space="preserve">18 </w:t>
      </w:r>
      <w:r w:rsidR="00045158" w:rsidRPr="00731644">
        <w:rPr>
          <w:lang w:val="fr-CH"/>
        </w:rPr>
        <w:t>mai</w:t>
      </w:r>
      <w:r w:rsidR="004C7BF6" w:rsidRPr="00731644">
        <w:rPr>
          <w:lang w:val="fr-CH"/>
        </w:rPr>
        <w:t xml:space="preserve"> 2006, </w:t>
      </w:r>
      <w:r w:rsidR="00045158" w:rsidRPr="00731644">
        <w:rPr>
          <w:lang w:val="fr-CH"/>
        </w:rPr>
        <w:t xml:space="preserve">le document </w:t>
      </w:r>
      <w:r w:rsidR="00722EA2" w:rsidRPr="00731644">
        <w:rPr>
          <w:lang w:val="fr-CH"/>
        </w:rPr>
        <w:t>jet</w:t>
      </w:r>
      <w:r w:rsidR="00CE4C15" w:rsidRPr="00731644">
        <w:rPr>
          <w:lang w:val="fr-CH"/>
        </w:rPr>
        <w:t xml:space="preserve">ant les </w:t>
      </w:r>
      <w:r w:rsidR="002061AB">
        <w:rPr>
          <w:lang w:val="fr-CH"/>
        </w:rPr>
        <w:t>«</w:t>
      </w:r>
      <w:r w:rsidR="00045158" w:rsidRPr="00731644">
        <w:rPr>
          <w:lang w:val="fr-CH"/>
        </w:rPr>
        <w:t>Bases de la coopération entre le Gouvernement de la République</w:t>
      </w:r>
      <w:r w:rsidR="00925E7F" w:rsidRPr="00731644">
        <w:rPr>
          <w:lang w:val="fr-CH"/>
        </w:rPr>
        <w:t xml:space="preserve"> </w:t>
      </w:r>
      <w:r w:rsidR="00045158" w:rsidRPr="00731644">
        <w:rPr>
          <w:lang w:val="fr-CH"/>
        </w:rPr>
        <w:t xml:space="preserve">du Monténégro et les </w:t>
      </w:r>
      <w:r w:rsidR="006F7DB0" w:rsidRPr="00731644">
        <w:rPr>
          <w:lang w:val="fr-CH"/>
        </w:rPr>
        <w:t>organisations non gouvernementales</w:t>
      </w:r>
      <w:r w:rsidR="002061AB">
        <w:rPr>
          <w:lang w:val="fr-CH"/>
        </w:rPr>
        <w:t>»</w:t>
      </w:r>
      <w:r w:rsidR="004C7BF6" w:rsidRPr="00731644">
        <w:rPr>
          <w:lang w:val="fr-CH"/>
        </w:rPr>
        <w:t xml:space="preserve">, </w:t>
      </w:r>
      <w:r w:rsidR="00045158" w:rsidRPr="00731644">
        <w:rPr>
          <w:lang w:val="fr-CH"/>
        </w:rPr>
        <w:t xml:space="preserve">qui </w:t>
      </w:r>
      <w:r w:rsidR="00925E7F" w:rsidRPr="00731644">
        <w:rPr>
          <w:lang w:val="fr-CH"/>
        </w:rPr>
        <w:t>fix</w:t>
      </w:r>
      <w:r w:rsidR="00045158" w:rsidRPr="00731644">
        <w:rPr>
          <w:lang w:val="fr-CH"/>
        </w:rPr>
        <w:t>e les objectifs suivants</w:t>
      </w:r>
      <w:r w:rsidR="00F31DD5" w:rsidRPr="00731644">
        <w:rPr>
          <w:lang w:val="fr-CH"/>
        </w:rPr>
        <w:t>:</w:t>
      </w:r>
      <w:r w:rsidR="00045158" w:rsidRPr="00731644">
        <w:rPr>
          <w:lang w:val="fr-CH"/>
        </w:rPr>
        <w:t xml:space="preserve"> édification d</w:t>
      </w:r>
      <w:r w:rsidR="00425386" w:rsidRPr="00731644">
        <w:rPr>
          <w:lang w:val="fr-CH"/>
        </w:rPr>
        <w:t>’</w:t>
      </w:r>
      <w:r w:rsidR="00045158" w:rsidRPr="00731644">
        <w:rPr>
          <w:lang w:val="fr-CH"/>
        </w:rPr>
        <w:t>une société démocratique et ouverte</w:t>
      </w:r>
      <w:r w:rsidR="00184D14" w:rsidRPr="00731644">
        <w:rPr>
          <w:lang w:val="fr-CH"/>
        </w:rPr>
        <w:t>,</w:t>
      </w:r>
      <w:r w:rsidR="00045158" w:rsidRPr="00731644">
        <w:rPr>
          <w:lang w:val="fr-CH"/>
        </w:rPr>
        <w:t xml:space="preserve"> et </w:t>
      </w:r>
      <w:r w:rsidR="00925E7F" w:rsidRPr="00731644">
        <w:rPr>
          <w:lang w:val="fr-CH"/>
        </w:rPr>
        <w:t xml:space="preserve">renforcement </w:t>
      </w:r>
      <w:r w:rsidR="00045158" w:rsidRPr="00731644">
        <w:rPr>
          <w:lang w:val="fr-CH"/>
        </w:rPr>
        <w:t>de la coopération mutuelle dans le cadre des processus d</w:t>
      </w:r>
      <w:r w:rsidR="00425386" w:rsidRPr="00731644">
        <w:rPr>
          <w:lang w:val="fr-CH"/>
        </w:rPr>
        <w:t>’</w:t>
      </w:r>
      <w:r w:rsidR="00045158" w:rsidRPr="00731644">
        <w:rPr>
          <w:lang w:val="fr-CH"/>
        </w:rPr>
        <w:t>intégration européenne</w:t>
      </w:r>
      <w:r w:rsidR="00F31DD5" w:rsidRPr="00731644">
        <w:rPr>
          <w:lang w:val="fr-CH"/>
        </w:rPr>
        <w:t>;</w:t>
      </w:r>
      <w:r w:rsidR="00045158" w:rsidRPr="00731644">
        <w:rPr>
          <w:lang w:val="fr-CH"/>
        </w:rPr>
        <w:t xml:space="preserve"> développement de la coopération mutuelle</w:t>
      </w:r>
      <w:r w:rsidR="006F7DB0" w:rsidRPr="00731644">
        <w:rPr>
          <w:lang w:val="fr-CH"/>
        </w:rPr>
        <w:t>,</w:t>
      </w:r>
      <w:r w:rsidR="00045158" w:rsidRPr="00731644">
        <w:rPr>
          <w:lang w:val="fr-CH"/>
        </w:rPr>
        <w:t xml:space="preserve"> préservation de l</w:t>
      </w:r>
      <w:r w:rsidR="00425386" w:rsidRPr="00731644">
        <w:rPr>
          <w:lang w:val="fr-CH"/>
        </w:rPr>
        <w:t>’</w:t>
      </w:r>
      <w:r w:rsidR="00045158" w:rsidRPr="00731644">
        <w:rPr>
          <w:lang w:val="fr-CH"/>
        </w:rPr>
        <w:t>indépendance</w:t>
      </w:r>
      <w:r w:rsidR="005122FF" w:rsidRPr="00731644">
        <w:rPr>
          <w:lang w:val="fr-CH"/>
        </w:rPr>
        <w:t>,</w:t>
      </w:r>
      <w:r w:rsidR="006F7DB0" w:rsidRPr="00731644">
        <w:rPr>
          <w:lang w:val="fr-CH"/>
        </w:rPr>
        <w:t xml:space="preserve"> </w:t>
      </w:r>
      <w:r w:rsidR="0083174F" w:rsidRPr="00731644">
        <w:rPr>
          <w:lang w:val="fr-CH"/>
        </w:rPr>
        <w:t>amélioration</w:t>
      </w:r>
      <w:r w:rsidR="006F7DB0" w:rsidRPr="00731644">
        <w:rPr>
          <w:lang w:val="fr-CH"/>
        </w:rPr>
        <w:t xml:space="preserve"> de la transparence des organisations non gouvernementales </w:t>
      </w:r>
      <w:r w:rsidR="005122FF" w:rsidRPr="00731644">
        <w:rPr>
          <w:lang w:val="fr-CH"/>
        </w:rPr>
        <w:t>et accroissement de leur rôle</w:t>
      </w:r>
      <w:r w:rsidR="00F31DD5" w:rsidRPr="00731644">
        <w:rPr>
          <w:lang w:val="fr-CH"/>
        </w:rPr>
        <w:t>;</w:t>
      </w:r>
      <w:r w:rsidR="006F7DB0" w:rsidRPr="00731644">
        <w:rPr>
          <w:lang w:val="fr-CH"/>
        </w:rPr>
        <w:t xml:space="preserve"> création de partenariats entre les organisations non gouvernementales et les institutions publiques</w:t>
      </w:r>
      <w:r w:rsidR="00F31DD5" w:rsidRPr="00731644">
        <w:rPr>
          <w:lang w:val="fr-CH"/>
        </w:rPr>
        <w:t>;</w:t>
      </w:r>
      <w:r w:rsidR="006F7DB0" w:rsidRPr="00731644">
        <w:rPr>
          <w:lang w:val="fr-CH"/>
        </w:rPr>
        <w:t xml:space="preserve"> </w:t>
      </w:r>
      <w:r w:rsidR="005122FF" w:rsidRPr="00731644">
        <w:rPr>
          <w:lang w:val="fr-CH"/>
        </w:rPr>
        <w:t>exploitation</w:t>
      </w:r>
      <w:r w:rsidR="006F7DB0" w:rsidRPr="00731644">
        <w:rPr>
          <w:lang w:val="fr-CH"/>
        </w:rPr>
        <w:t xml:space="preserve"> et renforcement des interactions et de la complémentarité en vue d</w:t>
      </w:r>
      <w:r w:rsidR="00425386" w:rsidRPr="00731644">
        <w:rPr>
          <w:lang w:val="fr-CH"/>
        </w:rPr>
        <w:t>’</w:t>
      </w:r>
      <w:r w:rsidR="006F7DB0" w:rsidRPr="00731644">
        <w:rPr>
          <w:lang w:val="fr-CH"/>
        </w:rPr>
        <w:t>un développement social plus efficace</w:t>
      </w:r>
      <w:r w:rsidR="00F31DD5" w:rsidRPr="00731644">
        <w:rPr>
          <w:lang w:val="fr-CH"/>
        </w:rPr>
        <w:t xml:space="preserve">; </w:t>
      </w:r>
      <w:r w:rsidR="006F7DB0" w:rsidRPr="00731644">
        <w:rPr>
          <w:lang w:val="fr-CH"/>
        </w:rPr>
        <w:t>mise en place d</w:t>
      </w:r>
      <w:r w:rsidR="00425386" w:rsidRPr="00731644">
        <w:rPr>
          <w:lang w:val="fr-CH"/>
        </w:rPr>
        <w:t>’</w:t>
      </w:r>
      <w:r w:rsidR="006F7DB0" w:rsidRPr="00731644">
        <w:rPr>
          <w:lang w:val="fr-CH"/>
        </w:rPr>
        <w:t xml:space="preserve">une série de mécanismes institutionnels pour améliorer et développer </w:t>
      </w:r>
      <w:r w:rsidR="00184D14" w:rsidRPr="00731644">
        <w:rPr>
          <w:lang w:val="fr-CH"/>
        </w:rPr>
        <w:t>encore</w:t>
      </w:r>
      <w:r w:rsidR="006F7DB0" w:rsidRPr="00731644">
        <w:rPr>
          <w:lang w:val="fr-CH"/>
        </w:rPr>
        <w:t xml:space="preserve"> la coopération et la </w:t>
      </w:r>
      <w:r w:rsidR="004C7BF6" w:rsidRPr="00731644">
        <w:rPr>
          <w:lang w:val="fr-CH"/>
        </w:rPr>
        <w:t>communication</w:t>
      </w:r>
      <w:r w:rsidR="006F7DB0" w:rsidRPr="00731644">
        <w:rPr>
          <w:lang w:val="fr-CH"/>
        </w:rPr>
        <w:t xml:space="preserve"> réciproque</w:t>
      </w:r>
      <w:r w:rsidR="00F31DD5" w:rsidRPr="00731644">
        <w:rPr>
          <w:lang w:val="fr-CH"/>
        </w:rPr>
        <w:t>;</w:t>
      </w:r>
      <w:r w:rsidR="004C7BF6" w:rsidRPr="00731644">
        <w:rPr>
          <w:lang w:val="fr-CH"/>
        </w:rPr>
        <w:t xml:space="preserve"> </w:t>
      </w:r>
      <w:r w:rsidR="006F7DB0" w:rsidRPr="00731644">
        <w:rPr>
          <w:lang w:val="fr-CH"/>
        </w:rPr>
        <w:t>amélioration des conditions de travail des organisations non gouvernementales et des principes de la coopération</w:t>
      </w:r>
      <w:r w:rsidR="00184D14" w:rsidRPr="00731644">
        <w:rPr>
          <w:lang w:val="fr-CH"/>
        </w:rPr>
        <w:t>, à savoir</w:t>
      </w:r>
      <w:r w:rsidR="00F31DD5" w:rsidRPr="00731644">
        <w:rPr>
          <w:lang w:val="fr-CH"/>
        </w:rPr>
        <w:t>:</w:t>
      </w:r>
      <w:r w:rsidR="00184D14" w:rsidRPr="00731644">
        <w:rPr>
          <w:lang w:val="fr-CH"/>
        </w:rPr>
        <w:t xml:space="preserve"> le</w:t>
      </w:r>
      <w:r w:rsidR="004C7BF6" w:rsidRPr="00731644">
        <w:rPr>
          <w:lang w:val="fr-CH"/>
        </w:rPr>
        <w:t xml:space="preserve"> part</w:t>
      </w:r>
      <w:r w:rsidR="006F7DB0" w:rsidRPr="00731644">
        <w:rPr>
          <w:lang w:val="fr-CH"/>
        </w:rPr>
        <w:t xml:space="preserve">enariat, </w:t>
      </w:r>
      <w:r w:rsidR="00184D14" w:rsidRPr="00731644">
        <w:rPr>
          <w:lang w:val="fr-CH"/>
        </w:rPr>
        <w:t xml:space="preserve">la </w:t>
      </w:r>
      <w:r w:rsidR="006F7DB0" w:rsidRPr="00731644">
        <w:rPr>
          <w:lang w:val="fr-CH"/>
        </w:rPr>
        <w:t xml:space="preserve">transparence, </w:t>
      </w:r>
      <w:r w:rsidR="00184D14" w:rsidRPr="00731644">
        <w:rPr>
          <w:lang w:val="fr-CH"/>
        </w:rPr>
        <w:t xml:space="preserve">la </w:t>
      </w:r>
      <w:r w:rsidR="006F7DB0" w:rsidRPr="00731644">
        <w:rPr>
          <w:lang w:val="fr-CH"/>
        </w:rPr>
        <w:t>respons</w:t>
      </w:r>
      <w:r w:rsidR="00925E7F" w:rsidRPr="00731644">
        <w:rPr>
          <w:lang w:val="fr-CH"/>
        </w:rPr>
        <w:t>a</w:t>
      </w:r>
      <w:r w:rsidR="006F7DB0" w:rsidRPr="00731644">
        <w:rPr>
          <w:lang w:val="fr-CH"/>
        </w:rPr>
        <w:t>bilité,</w:t>
      </w:r>
      <w:r w:rsidR="00184D14" w:rsidRPr="00731644">
        <w:rPr>
          <w:lang w:val="fr-CH"/>
        </w:rPr>
        <w:t xml:space="preserve"> l</w:t>
      </w:r>
      <w:r w:rsidR="00425386" w:rsidRPr="00731644">
        <w:rPr>
          <w:lang w:val="fr-CH"/>
        </w:rPr>
        <w:t>’</w:t>
      </w:r>
      <w:r w:rsidR="006F7DB0" w:rsidRPr="00731644">
        <w:rPr>
          <w:lang w:val="fr-CH"/>
        </w:rPr>
        <w:t xml:space="preserve">information réciproque et </w:t>
      </w:r>
      <w:r w:rsidR="00184D14" w:rsidRPr="00731644">
        <w:rPr>
          <w:lang w:val="fr-CH"/>
        </w:rPr>
        <w:t>l</w:t>
      </w:r>
      <w:r w:rsidR="00425386" w:rsidRPr="00731644">
        <w:rPr>
          <w:lang w:val="fr-CH"/>
        </w:rPr>
        <w:t>’</w:t>
      </w:r>
      <w:r w:rsidR="006F7DB0" w:rsidRPr="00731644">
        <w:rPr>
          <w:lang w:val="fr-CH"/>
        </w:rPr>
        <w:t>indépendance des organisations non gouvernementales. L</w:t>
      </w:r>
      <w:r w:rsidR="00425386" w:rsidRPr="00731644">
        <w:rPr>
          <w:lang w:val="fr-CH"/>
        </w:rPr>
        <w:t>’</w:t>
      </w:r>
      <w:r w:rsidR="006F7DB0" w:rsidRPr="00731644">
        <w:rPr>
          <w:lang w:val="fr-CH"/>
        </w:rPr>
        <w:t>a</w:t>
      </w:r>
      <w:r w:rsidR="004C7BF6" w:rsidRPr="00731644">
        <w:rPr>
          <w:lang w:val="fr-CH"/>
        </w:rPr>
        <w:t xml:space="preserve">doption </w:t>
      </w:r>
      <w:r w:rsidR="006F7DB0" w:rsidRPr="00731644">
        <w:rPr>
          <w:lang w:val="fr-CH"/>
        </w:rPr>
        <w:t>de ce</w:t>
      </w:r>
      <w:r w:rsidR="004C7BF6" w:rsidRPr="00731644">
        <w:rPr>
          <w:lang w:val="fr-CH"/>
        </w:rPr>
        <w:t xml:space="preserve"> document </w:t>
      </w:r>
      <w:r w:rsidR="006F7DB0" w:rsidRPr="00731644">
        <w:rPr>
          <w:lang w:val="fr-CH"/>
        </w:rPr>
        <w:t>a</w:t>
      </w:r>
      <w:r w:rsidR="009B5940" w:rsidRPr="00731644">
        <w:rPr>
          <w:lang w:val="fr-CH"/>
        </w:rPr>
        <w:t xml:space="preserve"> </w:t>
      </w:r>
      <w:r w:rsidR="006F7DB0" w:rsidRPr="00731644">
        <w:rPr>
          <w:lang w:val="fr-CH"/>
        </w:rPr>
        <w:t xml:space="preserve">été précédée </w:t>
      </w:r>
      <w:r w:rsidR="009B5940" w:rsidRPr="00731644">
        <w:rPr>
          <w:lang w:val="fr-CH"/>
        </w:rPr>
        <w:t>d</w:t>
      </w:r>
      <w:r w:rsidR="00425386" w:rsidRPr="00731644">
        <w:rPr>
          <w:lang w:val="fr-CH"/>
        </w:rPr>
        <w:t>’</w:t>
      </w:r>
      <w:r w:rsidR="00925E7F" w:rsidRPr="00731644">
        <w:rPr>
          <w:lang w:val="fr-CH"/>
        </w:rPr>
        <w:t>é</w:t>
      </w:r>
      <w:r w:rsidR="009B5940" w:rsidRPr="00731644">
        <w:rPr>
          <w:lang w:val="fr-CH"/>
        </w:rPr>
        <w:t xml:space="preserve">changes de vues auxquels ont pris part </w:t>
      </w:r>
      <w:r w:rsidR="00184D14" w:rsidRPr="00731644">
        <w:rPr>
          <w:lang w:val="fr-CH"/>
        </w:rPr>
        <w:t>l</w:t>
      </w:r>
      <w:r w:rsidR="009B5940" w:rsidRPr="00731644">
        <w:rPr>
          <w:lang w:val="fr-CH"/>
        </w:rPr>
        <w:t>es représentants d</w:t>
      </w:r>
      <w:r w:rsidR="00425386" w:rsidRPr="00731644">
        <w:rPr>
          <w:lang w:val="fr-CH"/>
        </w:rPr>
        <w:t>’</w:t>
      </w:r>
      <w:r w:rsidR="009B5940" w:rsidRPr="00731644">
        <w:rPr>
          <w:lang w:val="fr-CH"/>
        </w:rPr>
        <w:t>un certain nombre d</w:t>
      </w:r>
      <w:r w:rsidR="00425386" w:rsidRPr="00731644">
        <w:rPr>
          <w:lang w:val="fr-CH"/>
        </w:rPr>
        <w:t>’</w:t>
      </w:r>
      <w:r w:rsidR="009B5940" w:rsidRPr="00731644">
        <w:rPr>
          <w:lang w:val="fr-CH"/>
        </w:rPr>
        <w:t>organisations non gouvernementales et d</w:t>
      </w:r>
      <w:r w:rsidR="00425386" w:rsidRPr="00731644">
        <w:rPr>
          <w:lang w:val="fr-CH"/>
        </w:rPr>
        <w:t>’</w:t>
      </w:r>
      <w:r w:rsidR="009B5940" w:rsidRPr="00731644">
        <w:rPr>
          <w:lang w:val="fr-CH"/>
        </w:rPr>
        <w:t>organisations internationales présentes au Monténégro.</w:t>
      </w:r>
      <w:r w:rsidR="00F31DD5" w:rsidRPr="00731644">
        <w:rPr>
          <w:lang w:val="fr-CH"/>
        </w:rPr>
        <w:t xml:space="preserve"> </w:t>
      </w:r>
    </w:p>
    <w:p w:rsidR="004C7BF6" w:rsidRPr="00731644" w:rsidRDefault="004D324E" w:rsidP="004C7BF6">
      <w:pPr>
        <w:pStyle w:val="SingleTxtG"/>
        <w:rPr>
          <w:lang w:val="fr-CH"/>
        </w:rPr>
      </w:pPr>
      <w:r w:rsidRPr="00731644">
        <w:rPr>
          <w:lang w:val="fr-CH"/>
        </w:rPr>
        <w:t>191.</w:t>
      </w:r>
      <w:r w:rsidRPr="00731644">
        <w:rPr>
          <w:lang w:val="fr-CH"/>
        </w:rPr>
        <w:tab/>
      </w:r>
      <w:r w:rsidR="0063366B" w:rsidRPr="00731644">
        <w:rPr>
          <w:lang w:val="fr-CH"/>
        </w:rPr>
        <w:t xml:space="preserve">Sur la base de ce document, le Gouvernement du Monténégro a mis en place, au cours du premier trimestre de </w:t>
      </w:r>
      <w:r w:rsidR="004C7BF6" w:rsidRPr="00731644">
        <w:rPr>
          <w:lang w:val="fr-CH"/>
        </w:rPr>
        <w:t xml:space="preserve">2007, </w:t>
      </w:r>
      <w:r w:rsidR="0063366B" w:rsidRPr="00731644">
        <w:rPr>
          <w:lang w:val="fr-CH"/>
        </w:rPr>
        <w:t xml:space="preserve">le Bureau de coopération avec les organisations non gouvernementales, et en mai </w:t>
      </w:r>
      <w:r w:rsidR="004C7BF6" w:rsidRPr="00731644">
        <w:rPr>
          <w:lang w:val="fr-CH"/>
        </w:rPr>
        <w:t xml:space="preserve">2007, </w:t>
      </w:r>
      <w:r w:rsidR="0063366B" w:rsidRPr="00731644">
        <w:rPr>
          <w:lang w:val="fr-CH"/>
        </w:rPr>
        <w:t>le groupe de travail interinstitutions pour l</w:t>
      </w:r>
      <w:r w:rsidR="00425386" w:rsidRPr="00731644">
        <w:rPr>
          <w:lang w:val="fr-CH"/>
        </w:rPr>
        <w:t>’</w:t>
      </w:r>
      <w:r w:rsidR="0063366B" w:rsidRPr="00731644">
        <w:rPr>
          <w:lang w:val="fr-CH"/>
        </w:rPr>
        <w:t>élaboration du projet de stratégie de coopération entre le Gouvernement du Monténégro et les organisations non gouvernementales</w:t>
      </w:r>
      <w:r w:rsidR="004C7BF6" w:rsidRPr="00731644">
        <w:rPr>
          <w:lang w:val="fr-CH"/>
        </w:rPr>
        <w:t xml:space="preserve">. </w:t>
      </w:r>
      <w:r w:rsidR="0063366B" w:rsidRPr="00731644">
        <w:rPr>
          <w:lang w:val="fr-CH"/>
        </w:rPr>
        <w:t xml:space="preserve">Les ministères et autres services administratifs ont désigné des </w:t>
      </w:r>
      <w:r w:rsidR="00076CB9" w:rsidRPr="00731644">
        <w:rPr>
          <w:lang w:val="fr-CH"/>
        </w:rPr>
        <w:t>coordonna</w:t>
      </w:r>
      <w:r w:rsidR="0063366B" w:rsidRPr="00731644">
        <w:rPr>
          <w:lang w:val="fr-CH"/>
        </w:rPr>
        <w:t xml:space="preserve">teurs </w:t>
      </w:r>
      <w:r w:rsidR="004C7BF6" w:rsidRPr="00731644">
        <w:rPr>
          <w:lang w:val="fr-CH"/>
        </w:rPr>
        <w:t>(</w:t>
      </w:r>
      <w:r w:rsidR="0063366B" w:rsidRPr="00731644">
        <w:rPr>
          <w:lang w:val="fr-CH"/>
        </w:rPr>
        <w:t>aujourd</w:t>
      </w:r>
      <w:r w:rsidR="00425386" w:rsidRPr="00731644">
        <w:rPr>
          <w:lang w:val="fr-CH"/>
        </w:rPr>
        <w:t>’</w:t>
      </w:r>
      <w:r w:rsidR="0063366B" w:rsidRPr="00731644">
        <w:rPr>
          <w:lang w:val="fr-CH"/>
        </w:rPr>
        <w:t>hui au nombre de 42, présents dans les ministères, les directions, les agences, les bureaux, etc.</w:t>
      </w:r>
      <w:r w:rsidR="004C7BF6" w:rsidRPr="00731644">
        <w:rPr>
          <w:lang w:val="fr-CH"/>
        </w:rPr>
        <w:t>)</w:t>
      </w:r>
      <w:r w:rsidR="0063366B" w:rsidRPr="00731644">
        <w:rPr>
          <w:lang w:val="fr-CH"/>
        </w:rPr>
        <w:t xml:space="preserve"> </w:t>
      </w:r>
      <w:r w:rsidR="00076CB9" w:rsidRPr="00731644">
        <w:rPr>
          <w:lang w:val="fr-CH"/>
        </w:rPr>
        <w:t>de</w:t>
      </w:r>
      <w:r w:rsidR="0063366B" w:rsidRPr="00731644">
        <w:rPr>
          <w:lang w:val="fr-CH"/>
        </w:rPr>
        <w:t xml:space="preserve"> la coopération avec les organisations non gouvernementales.</w:t>
      </w:r>
      <w:r w:rsidR="00F31DD5" w:rsidRPr="00731644">
        <w:rPr>
          <w:lang w:val="fr-CH"/>
        </w:rPr>
        <w:t xml:space="preserve"> </w:t>
      </w:r>
      <w:r w:rsidR="0063366B" w:rsidRPr="00731644">
        <w:rPr>
          <w:lang w:val="fr-CH"/>
        </w:rPr>
        <w:t>C</w:t>
      </w:r>
      <w:r w:rsidR="00425386" w:rsidRPr="00731644">
        <w:rPr>
          <w:lang w:val="fr-CH"/>
        </w:rPr>
        <w:t>’</w:t>
      </w:r>
      <w:r w:rsidR="0063366B" w:rsidRPr="00731644">
        <w:rPr>
          <w:lang w:val="fr-CH"/>
        </w:rPr>
        <w:t>est ainsi qu</w:t>
      </w:r>
      <w:r w:rsidR="00425386" w:rsidRPr="00731644">
        <w:rPr>
          <w:lang w:val="fr-CH"/>
        </w:rPr>
        <w:t>’</w:t>
      </w:r>
      <w:r w:rsidR="0063366B" w:rsidRPr="00731644">
        <w:rPr>
          <w:lang w:val="fr-CH"/>
        </w:rPr>
        <w:t>ont pu être adoptés</w:t>
      </w:r>
      <w:r w:rsidR="00BE74EF" w:rsidRPr="00731644">
        <w:rPr>
          <w:lang w:val="fr-CH"/>
        </w:rPr>
        <w:t>, en 2009,</w:t>
      </w:r>
      <w:r w:rsidR="00F31DD5" w:rsidRPr="00731644">
        <w:rPr>
          <w:lang w:val="fr-CH"/>
        </w:rPr>
        <w:t xml:space="preserve"> </w:t>
      </w:r>
      <w:r w:rsidR="0063366B" w:rsidRPr="00731644">
        <w:rPr>
          <w:lang w:val="fr-CH"/>
        </w:rPr>
        <w:t xml:space="preserve">la </w:t>
      </w:r>
      <w:r w:rsidR="00BE74EF" w:rsidRPr="00731644">
        <w:rPr>
          <w:lang w:val="fr-CH"/>
        </w:rPr>
        <w:t>Stratégie de coopération entre le Gouvernement du Monténégro et les organisations non gouvernementales</w:t>
      </w:r>
      <w:r w:rsidR="004C7BF6" w:rsidRPr="00731644">
        <w:rPr>
          <w:lang w:val="fr-CH"/>
        </w:rPr>
        <w:t xml:space="preserve">, </w:t>
      </w:r>
      <w:r w:rsidR="00BE74EF" w:rsidRPr="00731644">
        <w:rPr>
          <w:lang w:val="fr-CH"/>
        </w:rPr>
        <w:t xml:space="preserve">et, à la réunion </w:t>
      </w:r>
      <w:r w:rsidR="00076CB9" w:rsidRPr="00731644">
        <w:rPr>
          <w:lang w:val="fr-CH"/>
        </w:rPr>
        <w:t>tenue par le</w:t>
      </w:r>
      <w:r w:rsidR="00BE74EF" w:rsidRPr="00731644">
        <w:rPr>
          <w:lang w:val="fr-CH"/>
        </w:rPr>
        <w:t xml:space="preserve"> Gouvernement </w:t>
      </w:r>
      <w:r w:rsidR="00306FD4" w:rsidRPr="00731644">
        <w:rPr>
          <w:lang w:val="fr-CH"/>
        </w:rPr>
        <w:t>le</w:t>
      </w:r>
      <w:r w:rsidR="00BE74EF" w:rsidRPr="00731644">
        <w:rPr>
          <w:lang w:val="fr-CH"/>
        </w:rPr>
        <w:t xml:space="preserve"> 22 janvier 2009, le </w:t>
      </w:r>
      <w:r w:rsidR="004C7BF6" w:rsidRPr="00731644">
        <w:rPr>
          <w:lang w:val="fr-CH"/>
        </w:rPr>
        <w:t xml:space="preserve">Plan </w:t>
      </w:r>
      <w:r w:rsidR="00BE74EF" w:rsidRPr="00731644">
        <w:rPr>
          <w:lang w:val="fr-CH"/>
        </w:rPr>
        <w:t>d</w:t>
      </w:r>
      <w:r w:rsidR="00425386" w:rsidRPr="00731644">
        <w:rPr>
          <w:lang w:val="fr-CH"/>
        </w:rPr>
        <w:t>’</w:t>
      </w:r>
      <w:r w:rsidR="00BE74EF" w:rsidRPr="00731644">
        <w:rPr>
          <w:lang w:val="fr-CH"/>
        </w:rPr>
        <w:t>action en vue de la</w:t>
      </w:r>
      <w:r w:rsidR="00F31DD5" w:rsidRPr="00731644">
        <w:rPr>
          <w:lang w:val="fr-CH"/>
        </w:rPr>
        <w:t xml:space="preserve"> </w:t>
      </w:r>
      <w:r w:rsidR="00BE74EF" w:rsidRPr="00731644">
        <w:rPr>
          <w:lang w:val="fr-CH"/>
        </w:rPr>
        <w:t xml:space="preserve">mise en </w:t>
      </w:r>
      <w:r w:rsidR="0083174F" w:rsidRPr="00731644">
        <w:rPr>
          <w:lang w:val="fr-CH"/>
        </w:rPr>
        <w:t>œuvre</w:t>
      </w:r>
      <w:r w:rsidR="00BE74EF" w:rsidRPr="00731644">
        <w:rPr>
          <w:lang w:val="fr-CH"/>
        </w:rPr>
        <w:t xml:space="preserve"> de la</w:t>
      </w:r>
      <w:r w:rsidR="00F31DD5" w:rsidRPr="00731644">
        <w:rPr>
          <w:lang w:val="fr-CH"/>
        </w:rPr>
        <w:t xml:space="preserve"> </w:t>
      </w:r>
      <w:r w:rsidR="004C7BF6" w:rsidRPr="00731644">
        <w:rPr>
          <w:lang w:val="fr-CH"/>
        </w:rPr>
        <w:t>Strat</w:t>
      </w:r>
      <w:r w:rsidR="00BE74EF" w:rsidRPr="00731644">
        <w:rPr>
          <w:lang w:val="fr-CH"/>
        </w:rPr>
        <w:t>égie pour la période</w:t>
      </w:r>
      <w:r w:rsidR="004C7BF6" w:rsidRPr="00731644">
        <w:rPr>
          <w:lang w:val="fr-CH"/>
        </w:rPr>
        <w:t xml:space="preserve"> 2009-2011. </w:t>
      </w:r>
    </w:p>
    <w:p w:rsidR="004C7BF6" w:rsidRPr="00731644" w:rsidRDefault="004D324E" w:rsidP="004C7BF6">
      <w:pPr>
        <w:pStyle w:val="SingleTxtG"/>
        <w:rPr>
          <w:lang w:val="fr-CH"/>
        </w:rPr>
      </w:pPr>
      <w:r w:rsidRPr="00731644">
        <w:rPr>
          <w:lang w:val="fr-CH"/>
        </w:rPr>
        <w:t>192.</w:t>
      </w:r>
      <w:r w:rsidRPr="00731644">
        <w:rPr>
          <w:lang w:val="fr-CH"/>
        </w:rPr>
        <w:tab/>
      </w:r>
      <w:r w:rsidR="00BE74EF" w:rsidRPr="00731644">
        <w:rPr>
          <w:lang w:val="fr-CH"/>
        </w:rPr>
        <w:t>Outre la</w:t>
      </w:r>
      <w:r w:rsidR="004C7BF6" w:rsidRPr="00731644">
        <w:rPr>
          <w:lang w:val="fr-CH"/>
        </w:rPr>
        <w:t xml:space="preserve"> Constitution</w:t>
      </w:r>
      <w:r w:rsidR="00BE74EF" w:rsidRPr="00731644">
        <w:rPr>
          <w:lang w:val="fr-CH"/>
        </w:rPr>
        <w:t>, qui garantit la liberté d</w:t>
      </w:r>
      <w:r w:rsidR="00425386" w:rsidRPr="00731644">
        <w:rPr>
          <w:lang w:val="fr-CH"/>
        </w:rPr>
        <w:t>’</w:t>
      </w:r>
      <w:r w:rsidR="00BE74EF" w:rsidRPr="00731644">
        <w:rPr>
          <w:lang w:val="fr-CH"/>
        </w:rPr>
        <w:t>association syndicale</w:t>
      </w:r>
      <w:r w:rsidR="005122FF" w:rsidRPr="00731644">
        <w:rPr>
          <w:lang w:val="fr-CH"/>
        </w:rPr>
        <w:t xml:space="preserve"> dans son principe</w:t>
      </w:r>
      <w:r w:rsidR="00BE74EF" w:rsidRPr="00731644">
        <w:rPr>
          <w:lang w:val="fr-CH"/>
        </w:rPr>
        <w:t xml:space="preserve">, la </w:t>
      </w:r>
      <w:r w:rsidR="00BE74EF" w:rsidRPr="00852F93">
        <w:rPr>
          <w:iCs/>
          <w:lang w:val="fr-CH"/>
        </w:rPr>
        <w:t xml:space="preserve">loi </w:t>
      </w:r>
      <w:r w:rsidR="005122FF" w:rsidRPr="00852F93">
        <w:rPr>
          <w:iCs/>
          <w:lang w:val="fr-CH"/>
        </w:rPr>
        <w:t>sur le</w:t>
      </w:r>
      <w:r w:rsidR="00BE74EF" w:rsidRPr="00852F93">
        <w:rPr>
          <w:iCs/>
          <w:lang w:val="fr-CH"/>
        </w:rPr>
        <w:t xml:space="preserve"> travail</w:t>
      </w:r>
      <w:r w:rsidR="004C7BF6" w:rsidRPr="00731644">
        <w:rPr>
          <w:lang w:val="fr-CH"/>
        </w:rPr>
        <w:t xml:space="preserve"> (</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D908C6">
        <w:rPr>
          <w:lang w:val="fr-CH"/>
        </w:rPr>
        <w:t xml:space="preserve"> </w:t>
      </w:r>
      <w:r w:rsidR="005072A0">
        <w:rPr>
          <w:lang w:val="fr-CH"/>
        </w:rPr>
        <w:t>n</w:t>
      </w:r>
      <w:r w:rsidR="005072A0" w:rsidRPr="005072A0">
        <w:rPr>
          <w:vertAlign w:val="superscript"/>
          <w:lang w:val="fr-CH"/>
        </w:rPr>
        <w:t>o</w:t>
      </w:r>
      <w:r w:rsidR="00D908C6">
        <w:rPr>
          <w:vertAlign w:val="superscript"/>
          <w:lang w:val="fr-CH"/>
        </w:rPr>
        <w:t>s</w:t>
      </w:r>
      <w:r w:rsidR="005072A0">
        <w:rPr>
          <w:lang w:val="fr-CH"/>
        </w:rPr>
        <w:t> </w:t>
      </w:r>
      <w:r w:rsidR="004C7BF6" w:rsidRPr="00731644">
        <w:rPr>
          <w:lang w:val="fr-CH"/>
        </w:rPr>
        <w:t xml:space="preserve">49/08 </w:t>
      </w:r>
      <w:r w:rsidR="00BE74EF" w:rsidRPr="00731644">
        <w:rPr>
          <w:lang w:val="fr-CH"/>
        </w:rPr>
        <w:t xml:space="preserve">et 26/09) réglemente plus précisément ce domaine. Elle </w:t>
      </w:r>
      <w:r w:rsidR="00BC26C2" w:rsidRPr="00731644">
        <w:rPr>
          <w:lang w:val="fr-CH"/>
        </w:rPr>
        <w:t>donne</w:t>
      </w:r>
      <w:r w:rsidR="00BE74EF" w:rsidRPr="00731644">
        <w:rPr>
          <w:lang w:val="fr-CH"/>
        </w:rPr>
        <w:t xml:space="preserve"> aux salariés la liberté de </w:t>
      </w:r>
      <w:r w:rsidR="005122FF" w:rsidRPr="00731644">
        <w:rPr>
          <w:lang w:val="fr-CH"/>
        </w:rPr>
        <w:t>se syndiquer</w:t>
      </w:r>
      <w:r w:rsidR="00BE74EF" w:rsidRPr="00731644">
        <w:rPr>
          <w:lang w:val="fr-CH"/>
        </w:rPr>
        <w:t xml:space="preserve"> et de mener des activités syndicales sans approbation préalable.</w:t>
      </w:r>
      <w:r w:rsidR="00F31DD5" w:rsidRPr="00731644">
        <w:rPr>
          <w:lang w:val="fr-CH"/>
        </w:rPr>
        <w:t xml:space="preserve"> </w:t>
      </w:r>
      <w:r w:rsidR="00BE74EF" w:rsidRPr="00731644">
        <w:rPr>
          <w:lang w:val="fr-CH"/>
        </w:rPr>
        <w:t>L</w:t>
      </w:r>
      <w:r w:rsidR="00425386" w:rsidRPr="00731644">
        <w:rPr>
          <w:lang w:val="fr-CH"/>
        </w:rPr>
        <w:t>’</w:t>
      </w:r>
      <w:r w:rsidR="00BE74EF" w:rsidRPr="00731644">
        <w:rPr>
          <w:lang w:val="fr-CH"/>
        </w:rPr>
        <w:t xml:space="preserve">organisation syndicale doit être inscrite </w:t>
      </w:r>
      <w:r w:rsidR="00184D14" w:rsidRPr="00731644">
        <w:rPr>
          <w:lang w:val="fr-CH"/>
        </w:rPr>
        <w:t>sur le</w:t>
      </w:r>
      <w:r w:rsidR="00BE74EF" w:rsidRPr="00731644">
        <w:rPr>
          <w:lang w:val="fr-CH"/>
        </w:rPr>
        <w:t xml:space="preserve"> registre tenu par l</w:t>
      </w:r>
      <w:r w:rsidR="00425386" w:rsidRPr="00731644">
        <w:rPr>
          <w:lang w:val="fr-CH"/>
        </w:rPr>
        <w:t>’</w:t>
      </w:r>
      <w:r w:rsidR="00BE74EF" w:rsidRPr="00731644">
        <w:rPr>
          <w:lang w:val="fr-CH"/>
        </w:rPr>
        <w:t>organe compétent de l</w:t>
      </w:r>
      <w:r w:rsidR="00425386" w:rsidRPr="00731644">
        <w:rPr>
          <w:lang w:val="fr-CH"/>
        </w:rPr>
        <w:t>’</w:t>
      </w:r>
      <w:r w:rsidR="00BE74EF" w:rsidRPr="00731644">
        <w:rPr>
          <w:lang w:val="fr-CH"/>
        </w:rPr>
        <w:t>administration</w:t>
      </w:r>
      <w:r w:rsidR="005122FF" w:rsidRPr="00731644">
        <w:rPr>
          <w:lang w:val="fr-CH"/>
        </w:rPr>
        <w:t xml:space="preserve"> centrale</w:t>
      </w:r>
      <w:r w:rsidR="004C7BF6" w:rsidRPr="00731644">
        <w:rPr>
          <w:lang w:val="fr-CH"/>
        </w:rPr>
        <w:t xml:space="preserve">. </w:t>
      </w:r>
      <w:r w:rsidR="00D908C6">
        <w:rPr>
          <w:lang w:val="fr-CH"/>
        </w:rPr>
        <w:t>À </w:t>
      </w:r>
      <w:r w:rsidR="005122FF" w:rsidRPr="00731644">
        <w:rPr>
          <w:lang w:val="fr-CH"/>
        </w:rPr>
        <w:t>l</w:t>
      </w:r>
      <w:r w:rsidR="00425386" w:rsidRPr="00731644">
        <w:rPr>
          <w:lang w:val="fr-CH"/>
        </w:rPr>
        <w:t>’</w:t>
      </w:r>
      <w:r w:rsidR="005122FF" w:rsidRPr="00731644">
        <w:rPr>
          <w:lang w:val="fr-CH"/>
        </w:rPr>
        <w:t xml:space="preserve">appui du </w:t>
      </w:r>
      <w:r w:rsidR="00BE74EF" w:rsidRPr="00731644">
        <w:rPr>
          <w:lang w:val="fr-CH"/>
        </w:rPr>
        <w:t xml:space="preserve">droit de créer des associations de cette nature et </w:t>
      </w:r>
      <w:r w:rsidR="005122FF" w:rsidRPr="00731644">
        <w:rPr>
          <w:lang w:val="fr-CH"/>
        </w:rPr>
        <w:t xml:space="preserve">de </w:t>
      </w:r>
      <w:r w:rsidR="00BE74EF" w:rsidRPr="00731644">
        <w:rPr>
          <w:lang w:val="fr-CH"/>
        </w:rPr>
        <w:t xml:space="preserve">la pleine liberté de la pratique syndicale, </w:t>
      </w:r>
      <w:r w:rsidR="00EE01F4" w:rsidRPr="00731644">
        <w:rPr>
          <w:lang w:val="fr-CH"/>
        </w:rPr>
        <w:t>la loi prescrit que, pendant la durée des activités syndicales et les six mois qui suivent leur cessation, les représentants de l</w:t>
      </w:r>
      <w:r w:rsidR="00425386" w:rsidRPr="00731644">
        <w:rPr>
          <w:lang w:val="fr-CH"/>
        </w:rPr>
        <w:t>’</w:t>
      </w:r>
      <w:r w:rsidR="00EE01F4" w:rsidRPr="00731644">
        <w:rPr>
          <w:lang w:val="fr-CH"/>
        </w:rPr>
        <w:t xml:space="preserve">organisation </w:t>
      </w:r>
      <w:r w:rsidR="00BC26C2" w:rsidRPr="00731644">
        <w:rPr>
          <w:lang w:val="fr-CH"/>
        </w:rPr>
        <w:t>syndica</w:t>
      </w:r>
      <w:r w:rsidR="00EE01F4" w:rsidRPr="00731644">
        <w:rPr>
          <w:lang w:val="fr-CH"/>
        </w:rPr>
        <w:t xml:space="preserve">le et ceux des salariés ne peuvent </w:t>
      </w:r>
      <w:r w:rsidR="00184D14" w:rsidRPr="00731644">
        <w:rPr>
          <w:lang w:val="fr-CH"/>
        </w:rPr>
        <w:t xml:space="preserve">pas </w:t>
      </w:r>
      <w:r w:rsidR="00EE01F4" w:rsidRPr="00731644">
        <w:rPr>
          <w:lang w:val="fr-CH"/>
        </w:rPr>
        <w:t xml:space="preserve">être tenus pour responsables </w:t>
      </w:r>
      <w:r w:rsidR="00184D14" w:rsidRPr="00731644">
        <w:rPr>
          <w:lang w:val="fr-CH"/>
        </w:rPr>
        <w:t>du fait</w:t>
      </w:r>
      <w:r w:rsidR="00EE01F4" w:rsidRPr="00731644">
        <w:rPr>
          <w:lang w:val="fr-CH"/>
        </w:rPr>
        <w:t xml:space="preserve"> des ces activités,</w:t>
      </w:r>
      <w:r w:rsidR="00E841FC" w:rsidRPr="00731644">
        <w:rPr>
          <w:lang w:val="fr-CH"/>
        </w:rPr>
        <w:t xml:space="preserve"> </w:t>
      </w:r>
      <w:r w:rsidR="008739F2" w:rsidRPr="00731644">
        <w:rPr>
          <w:lang w:val="fr-CH"/>
        </w:rPr>
        <w:t>fai</w:t>
      </w:r>
      <w:r w:rsidR="00184D14" w:rsidRPr="00731644">
        <w:rPr>
          <w:lang w:val="fr-CH"/>
        </w:rPr>
        <w:t>re</w:t>
      </w:r>
      <w:r w:rsidR="00EE01F4" w:rsidRPr="00731644">
        <w:rPr>
          <w:lang w:val="fr-CH"/>
        </w:rPr>
        <w:t xml:space="preserve"> l</w:t>
      </w:r>
      <w:r w:rsidR="00425386" w:rsidRPr="00731644">
        <w:rPr>
          <w:lang w:val="fr-CH"/>
        </w:rPr>
        <w:t>’</w:t>
      </w:r>
      <w:r w:rsidR="00EE01F4" w:rsidRPr="00731644">
        <w:rPr>
          <w:lang w:val="fr-CH"/>
        </w:rPr>
        <w:t>objet d</w:t>
      </w:r>
      <w:r w:rsidR="00425386" w:rsidRPr="00731644">
        <w:rPr>
          <w:lang w:val="fr-CH"/>
        </w:rPr>
        <w:t>’</w:t>
      </w:r>
      <w:r w:rsidR="00EE01F4" w:rsidRPr="00731644">
        <w:rPr>
          <w:lang w:val="fr-CH"/>
        </w:rPr>
        <w:t>un licenciement économique, être affectés à un autre poste dans le même établissement ou dans une autre entreprise en raison de leurs a</w:t>
      </w:r>
      <w:r w:rsidR="00D34C51" w:rsidRPr="00731644">
        <w:rPr>
          <w:lang w:val="fr-CH"/>
        </w:rPr>
        <w:t>c</w:t>
      </w:r>
      <w:r w:rsidR="00EE01F4" w:rsidRPr="00731644">
        <w:rPr>
          <w:lang w:val="fr-CH"/>
        </w:rPr>
        <w:t>tivités syndicales</w:t>
      </w:r>
      <w:r w:rsidR="00D34C51" w:rsidRPr="00731644">
        <w:rPr>
          <w:lang w:val="fr-CH"/>
        </w:rPr>
        <w:t>,</w:t>
      </w:r>
      <w:r w:rsidR="00EE01F4" w:rsidRPr="00731644">
        <w:rPr>
          <w:lang w:val="fr-CH"/>
        </w:rPr>
        <w:t xml:space="preserve"> </w:t>
      </w:r>
      <w:r w:rsidR="00D34C51" w:rsidRPr="00731644">
        <w:rPr>
          <w:lang w:val="fr-CH"/>
        </w:rPr>
        <w:t>ou défavorisés de quelque autre manière. De même, l</w:t>
      </w:r>
      <w:r w:rsidR="00425386" w:rsidRPr="00731644">
        <w:rPr>
          <w:lang w:val="fr-CH"/>
        </w:rPr>
        <w:t>’</w:t>
      </w:r>
      <w:r w:rsidR="00D34C51" w:rsidRPr="00731644">
        <w:rPr>
          <w:lang w:val="fr-CH"/>
        </w:rPr>
        <w:t>employeur ne peut</w:t>
      </w:r>
      <w:r w:rsidR="00F31DD5" w:rsidRPr="00731644">
        <w:rPr>
          <w:lang w:val="fr-CH"/>
        </w:rPr>
        <w:t xml:space="preserve"> </w:t>
      </w:r>
      <w:r w:rsidR="00D34C51" w:rsidRPr="00731644">
        <w:rPr>
          <w:lang w:val="fr-CH"/>
        </w:rPr>
        <w:t>placer le représentant d</w:t>
      </w:r>
      <w:r w:rsidR="00425386" w:rsidRPr="00731644">
        <w:rPr>
          <w:lang w:val="fr-CH"/>
        </w:rPr>
        <w:t>’</w:t>
      </w:r>
      <w:r w:rsidR="00D34C51" w:rsidRPr="00731644">
        <w:rPr>
          <w:lang w:val="fr-CH"/>
        </w:rPr>
        <w:t xml:space="preserve">une organisation syndicale ou celui des salariés dans une situation plus </w:t>
      </w:r>
      <w:r w:rsidR="00E841FC" w:rsidRPr="00731644">
        <w:rPr>
          <w:lang w:val="fr-CH"/>
        </w:rPr>
        <w:t xml:space="preserve">favorable </w:t>
      </w:r>
      <w:r w:rsidR="004B4335" w:rsidRPr="00731644">
        <w:rPr>
          <w:lang w:val="fr-CH"/>
        </w:rPr>
        <w:t xml:space="preserve">ou plus défavorable </w:t>
      </w:r>
      <w:r w:rsidR="00D34C51" w:rsidRPr="00731644">
        <w:rPr>
          <w:lang w:val="fr-CH"/>
        </w:rPr>
        <w:t xml:space="preserve">en raison de son affiliation à un syndicat ou de ses activités syndicales. </w:t>
      </w:r>
    </w:p>
    <w:p w:rsidR="004C7BF6" w:rsidRPr="00731644" w:rsidRDefault="004D324E" w:rsidP="004C7BF6">
      <w:pPr>
        <w:pStyle w:val="SingleTxtG"/>
        <w:rPr>
          <w:lang w:val="fr-CH"/>
        </w:rPr>
      </w:pPr>
      <w:r w:rsidRPr="00731644">
        <w:rPr>
          <w:lang w:val="fr-CH"/>
        </w:rPr>
        <w:t>193.</w:t>
      </w:r>
      <w:r w:rsidRPr="00731644">
        <w:rPr>
          <w:lang w:val="fr-CH"/>
        </w:rPr>
        <w:tab/>
      </w:r>
      <w:r w:rsidR="00D34C51" w:rsidRPr="00731644">
        <w:rPr>
          <w:lang w:val="fr-CH"/>
        </w:rPr>
        <w:t>La liberté des salariés de former des syndicats et de mener des</w:t>
      </w:r>
      <w:r w:rsidR="00F31DD5" w:rsidRPr="00731644">
        <w:rPr>
          <w:lang w:val="fr-CH"/>
        </w:rPr>
        <w:t xml:space="preserve"> </w:t>
      </w:r>
      <w:r w:rsidR="00D34C51" w:rsidRPr="00731644">
        <w:rPr>
          <w:lang w:val="fr-CH"/>
        </w:rPr>
        <w:t>activités syndicales, sans agrément préalable mais avec obligation d</w:t>
      </w:r>
      <w:r w:rsidR="00425386" w:rsidRPr="00731644">
        <w:rPr>
          <w:lang w:val="fr-CH"/>
        </w:rPr>
        <w:t>’</w:t>
      </w:r>
      <w:r w:rsidR="0083174F" w:rsidRPr="00731644">
        <w:rPr>
          <w:lang w:val="fr-CH"/>
        </w:rPr>
        <w:t>enregistrer</w:t>
      </w:r>
      <w:r w:rsidR="00D34C51" w:rsidRPr="00731644">
        <w:rPr>
          <w:lang w:val="fr-CH"/>
        </w:rPr>
        <w:t xml:space="preserve"> le syndicat auprès de l</w:t>
      </w:r>
      <w:r w:rsidR="00425386" w:rsidRPr="00731644">
        <w:rPr>
          <w:lang w:val="fr-CH"/>
        </w:rPr>
        <w:t>’</w:t>
      </w:r>
      <w:r w:rsidR="00D34C51" w:rsidRPr="00731644">
        <w:rPr>
          <w:lang w:val="fr-CH"/>
        </w:rPr>
        <w:t>autorité compétente</w:t>
      </w:r>
      <w:r w:rsidR="00E841FC" w:rsidRPr="00731644">
        <w:rPr>
          <w:lang w:val="fr-CH"/>
        </w:rPr>
        <w:t>,</w:t>
      </w:r>
      <w:r w:rsidR="00D34C51" w:rsidRPr="00731644">
        <w:rPr>
          <w:lang w:val="fr-CH"/>
        </w:rPr>
        <w:t xml:space="preserve"> est garantie par la </w:t>
      </w:r>
      <w:r w:rsidR="004C7BF6" w:rsidRPr="00731644">
        <w:rPr>
          <w:lang w:val="fr-CH"/>
        </w:rPr>
        <w:t>Constitution.</w:t>
      </w:r>
    </w:p>
    <w:p w:rsidR="004C7BF6" w:rsidRPr="00731644" w:rsidRDefault="004D324E" w:rsidP="00D53B48">
      <w:pPr>
        <w:pStyle w:val="SingleTxtG"/>
        <w:rPr>
          <w:lang w:val="fr-CH"/>
        </w:rPr>
      </w:pPr>
      <w:r w:rsidRPr="00731644">
        <w:rPr>
          <w:lang w:val="fr-CH"/>
        </w:rPr>
        <w:t>194.</w:t>
      </w:r>
      <w:r w:rsidRPr="00731644">
        <w:rPr>
          <w:lang w:val="fr-CH"/>
        </w:rPr>
        <w:tab/>
      </w:r>
      <w:r w:rsidR="00D34C51" w:rsidRPr="00731644">
        <w:rPr>
          <w:lang w:val="fr-CH"/>
        </w:rPr>
        <w:t>D</w:t>
      </w:r>
      <w:r w:rsidR="00425386" w:rsidRPr="00731644">
        <w:rPr>
          <w:lang w:val="fr-CH"/>
        </w:rPr>
        <w:t>’</w:t>
      </w:r>
      <w:r w:rsidR="00D34C51" w:rsidRPr="00731644">
        <w:rPr>
          <w:lang w:val="fr-CH"/>
        </w:rPr>
        <w:t xml:space="preserve">après </w:t>
      </w:r>
      <w:r w:rsidR="00374D76" w:rsidRPr="00731644">
        <w:rPr>
          <w:lang w:val="fr-CH"/>
        </w:rPr>
        <w:t>l</w:t>
      </w:r>
      <w:r w:rsidR="00425386" w:rsidRPr="00731644">
        <w:rPr>
          <w:lang w:val="fr-CH"/>
        </w:rPr>
        <w:t>’</w:t>
      </w:r>
      <w:r w:rsidR="001753EC">
        <w:rPr>
          <w:lang w:val="fr-CH"/>
        </w:rPr>
        <w:t>article </w:t>
      </w:r>
      <w:r w:rsidR="004C7BF6" w:rsidRPr="00731644">
        <w:rPr>
          <w:lang w:val="fr-CH"/>
        </w:rPr>
        <w:t xml:space="preserve">155 </w:t>
      </w:r>
      <w:r w:rsidR="00D34C51" w:rsidRPr="00731644">
        <w:rPr>
          <w:lang w:val="fr-CH"/>
        </w:rPr>
        <w:t xml:space="preserve">de la loi </w:t>
      </w:r>
      <w:r w:rsidR="00E841FC" w:rsidRPr="00731644">
        <w:rPr>
          <w:lang w:val="fr-CH"/>
        </w:rPr>
        <w:t>sur le</w:t>
      </w:r>
      <w:r w:rsidR="00D34C51" w:rsidRPr="00731644">
        <w:rPr>
          <w:lang w:val="fr-CH"/>
        </w:rPr>
        <w:t xml:space="preserve"> travail</w:t>
      </w:r>
      <w:r w:rsidR="004C7BF6" w:rsidRPr="00731644">
        <w:rPr>
          <w:lang w:val="fr-CH"/>
        </w:rPr>
        <w:t xml:space="preserve">, </w:t>
      </w:r>
      <w:r w:rsidR="00D34C51" w:rsidRPr="00731644">
        <w:rPr>
          <w:lang w:val="fr-CH"/>
        </w:rPr>
        <w:t>tout syndicat doit être inscrit au registre des organisations professionnelles tenu par le Ministère du travail et de la protection sociale</w:t>
      </w:r>
      <w:r w:rsidR="004C7BF6" w:rsidRPr="00731644">
        <w:rPr>
          <w:lang w:val="fr-CH"/>
        </w:rPr>
        <w:t>.</w:t>
      </w:r>
      <w:r w:rsidR="00D34C51" w:rsidRPr="00731644">
        <w:rPr>
          <w:lang w:val="fr-CH"/>
        </w:rPr>
        <w:t xml:space="preserve"> Les formalités d</w:t>
      </w:r>
      <w:r w:rsidR="00425386" w:rsidRPr="00731644">
        <w:rPr>
          <w:lang w:val="fr-CH"/>
        </w:rPr>
        <w:t>’</w:t>
      </w:r>
      <w:r w:rsidR="00D34C51" w:rsidRPr="00731644">
        <w:rPr>
          <w:lang w:val="fr-CH"/>
        </w:rPr>
        <w:t>inscription, de modification</w:t>
      </w:r>
      <w:r w:rsidR="00885421" w:rsidRPr="00731644">
        <w:rPr>
          <w:lang w:val="fr-CH"/>
        </w:rPr>
        <w:t xml:space="preserve"> </w:t>
      </w:r>
      <w:r w:rsidR="00D34C51" w:rsidRPr="00731644">
        <w:rPr>
          <w:lang w:val="fr-CH"/>
        </w:rPr>
        <w:t>des mentions et de radiation sont fixées par ce ministère</w:t>
      </w:r>
      <w:r w:rsidR="00885421" w:rsidRPr="00731644">
        <w:rPr>
          <w:lang w:val="fr-CH"/>
        </w:rPr>
        <w:t>. Le décret</w:t>
      </w:r>
      <w:r w:rsidR="004C7BF6" w:rsidRPr="00731644">
        <w:rPr>
          <w:lang w:val="fr-CH"/>
        </w:rPr>
        <w:t xml:space="preserve"> </w:t>
      </w:r>
      <w:r w:rsidR="00885421" w:rsidRPr="00731644">
        <w:rPr>
          <w:lang w:val="fr-CH"/>
        </w:rPr>
        <w:t>relatif à l</w:t>
      </w:r>
      <w:r w:rsidR="00425386" w:rsidRPr="00731644">
        <w:rPr>
          <w:lang w:val="fr-CH"/>
        </w:rPr>
        <w:t>’</w:t>
      </w:r>
      <w:r w:rsidR="00885421" w:rsidRPr="00731644">
        <w:rPr>
          <w:lang w:val="fr-CH"/>
        </w:rPr>
        <w:t>enregistrement des organisations syndicales indique les modalités</w:t>
      </w:r>
      <w:r w:rsidR="004C7BF6" w:rsidRPr="00731644">
        <w:rPr>
          <w:lang w:val="fr-CH"/>
        </w:rPr>
        <w:t xml:space="preserve"> </w:t>
      </w:r>
      <w:r w:rsidR="00885421" w:rsidRPr="00731644">
        <w:rPr>
          <w:lang w:val="fr-CH"/>
        </w:rPr>
        <w:t>d</w:t>
      </w:r>
      <w:r w:rsidR="00425386" w:rsidRPr="00731644">
        <w:rPr>
          <w:lang w:val="fr-CH"/>
        </w:rPr>
        <w:t>’</w:t>
      </w:r>
      <w:r w:rsidR="00885421" w:rsidRPr="00731644">
        <w:rPr>
          <w:lang w:val="fr-CH"/>
        </w:rPr>
        <w:t xml:space="preserve">inscription </w:t>
      </w:r>
      <w:r w:rsidR="008739F2" w:rsidRPr="00731644">
        <w:rPr>
          <w:lang w:val="fr-CH"/>
        </w:rPr>
        <w:t>au</w:t>
      </w:r>
      <w:r w:rsidR="00885421" w:rsidRPr="00731644">
        <w:rPr>
          <w:lang w:val="fr-CH"/>
        </w:rPr>
        <w:t xml:space="preserve"> registre</w:t>
      </w:r>
      <w:r w:rsidR="004C7BF6" w:rsidRPr="00731644">
        <w:rPr>
          <w:lang w:val="fr-CH"/>
        </w:rPr>
        <w:t xml:space="preserve">, </w:t>
      </w:r>
      <w:r w:rsidR="00885421" w:rsidRPr="00731644">
        <w:rPr>
          <w:lang w:val="fr-CH"/>
        </w:rPr>
        <w:t>les mentions qui doivent y figurer, la manière de tenir le registre et les modalités de radiation. L</w:t>
      </w:r>
      <w:r w:rsidR="00425386" w:rsidRPr="00731644">
        <w:rPr>
          <w:lang w:val="fr-CH"/>
        </w:rPr>
        <w:t>’</w:t>
      </w:r>
      <w:r w:rsidR="00885421" w:rsidRPr="00731644">
        <w:rPr>
          <w:lang w:val="fr-CH"/>
        </w:rPr>
        <w:t>inscription est faite à la suite d</w:t>
      </w:r>
      <w:r w:rsidR="00425386" w:rsidRPr="00731644">
        <w:rPr>
          <w:lang w:val="fr-CH"/>
        </w:rPr>
        <w:t>’</w:t>
      </w:r>
      <w:r w:rsidR="00885421" w:rsidRPr="00731644">
        <w:rPr>
          <w:lang w:val="fr-CH"/>
        </w:rPr>
        <w:t>une demande, à laquelle doivent être joints</w:t>
      </w:r>
      <w:r w:rsidR="00F31DD5" w:rsidRPr="00731644">
        <w:rPr>
          <w:lang w:val="fr-CH"/>
        </w:rPr>
        <w:t xml:space="preserve"> </w:t>
      </w:r>
      <w:r w:rsidR="00885421" w:rsidRPr="00731644">
        <w:rPr>
          <w:lang w:val="fr-CH"/>
        </w:rPr>
        <w:t>la décision de création du syndicat, ses statuts et l</w:t>
      </w:r>
      <w:r w:rsidR="00425386" w:rsidRPr="00731644">
        <w:rPr>
          <w:lang w:val="fr-CH"/>
        </w:rPr>
        <w:t>’</w:t>
      </w:r>
      <w:r w:rsidR="00885421" w:rsidRPr="00731644">
        <w:rPr>
          <w:lang w:val="fr-CH"/>
        </w:rPr>
        <w:t>indication de son objet. Les organisations syndicales acquièrent la personnalité juridique le jour de leur inscription au registre.</w:t>
      </w:r>
      <w:r w:rsidR="00F31DD5" w:rsidRPr="00731644">
        <w:rPr>
          <w:lang w:val="fr-CH"/>
        </w:rPr>
        <w:t xml:space="preserve"> </w:t>
      </w:r>
    </w:p>
    <w:p w:rsidR="004C7BF6" w:rsidRPr="00731644" w:rsidRDefault="004D324E" w:rsidP="00AB4B08">
      <w:pPr>
        <w:pStyle w:val="SingleTxtG"/>
        <w:rPr>
          <w:lang w:val="fr-CH"/>
        </w:rPr>
      </w:pPr>
      <w:r w:rsidRPr="00731644">
        <w:rPr>
          <w:lang w:val="fr-CH"/>
        </w:rPr>
        <w:t>195.</w:t>
      </w:r>
      <w:r w:rsidRPr="00731644">
        <w:rPr>
          <w:lang w:val="fr-CH"/>
        </w:rPr>
        <w:tab/>
      </w:r>
      <w:r w:rsidR="004B4335" w:rsidRPr="00731644">
        <w:rPr>
          <w:lang w:val="fr-CH"/>
        </w:rPr>
        <w:t>En vertu</w:t>
      </w:r>
      <w:r w:rsidR="00885421" w:rsidRPr="00731644">
        <w:rPr>
          <w:lang w:val="fr-CH"/>
        </w:rPr>
        <w:t xml:space="preserve"> de </w:t>
      </w:r>
      <w:r w:rsidR="00374D76" w:rsidRPr="00731644">
        <w:rPr>
          <w:lang w:val="fr-CH"/>
        </w:rPr>
        <w:t>l</w:t>
      </w:r>
      <w:r w:rsidR="00425386" w:rsidRPr="00731644">
        <w:rPr>
          <w:lang w:val="fr-CH"/>
        </w:rPr>
        <w:t>’</w:t>
      </w:r>
      <w:r w:rsidR="001753EC">
        <w:rPr>
          <w:lang w:val="fr-CH"/>
        </w:rPr>
        <w:t>article </w:t>
      </w:r>
      <w:r w:rsidR="004C7BF6" w:rsidRPr="00731644">
        <w:rPr>
          <w:lang w:val="fr-CH"/>
        </w:rPr>
        <w:t xml:space="preserve">5 </w:t>
      </w:r>
      <w:r w:rsidR="00885421" w:rsidRPr="00731644">
        <w:rPr>
          <w:lang w:val="fr-CH"/>
        </w:rPr>
        <w:t xml:space="preserve">du </w:t>
      </w:r>
      <w:r w:rsidR="00885421" w:rsidRPr="00FC3369">
        <w:rPr>
          <w:i/>
          <w:lang w:val="fr-CH"/>
        </w:rPr>
        <w:t>décret relatif à l</w:t>
      </w:r>
      <w:r w:rsidR="00425386" w:rsidRPr="00FC3369">
        <w:rPr>
          <w:i/>
          <w:lang w:val="fr-CH"/>
        </w:rPr>
        <w:t>’</w:t>
      </w:r>
      <w:r w:rsidR="00885421" w:rsidRPr="00FC3369">
        <w:rPr>
          <w:i/>
          <w:lang w:val="fr-CH"/>
        </w:rPr>
        <w:t>enregistrement des organisations syndicales</w:t>
      </w:r>
      <w:r w:rsidR="00885421" w:rsidRPr="00731644">
        <w:rPr>
          <w:lang w:val="fr-CH"/>
        </w:rPr>
        <w:t>, le registre contient des lignes où sont portés</w:t>
      </w:r>
      <w:r w:rsidR="00F31DD5" w:rsidRPr="00731644">
        <w:rPr>
          <w:lang w:val="fr-CH"/>
        </w:rPr>
        <w:t>:</w:t>
      </w:r>
      <w:r w:rsidR="004C7BF6" w:rsidRPr="00731644">
        <w:rPr>
          <w:lang w:val="fr-CH"/>
        </w:rPr>
        <w:t xml:space="preserve"> </w:t>
      </w:r>
      <w:r w:rsidR="0000469B" w:rsidRPr="00731644">
        <w:rPr>
          <w:lang w:val="fr-CH"/>
        </w:rPr>
        <w:t>le numéro d</w:t>
      </w:r>
      <w:r w:rsidR="00425386" w:rsidRPr="00731644">
        <w:rPr>
          <w:lang w:val="fr-CH"/>
        </w:rPr>
        <w:t>’</w:t>
      </w:r>
      <w:r w:rsidR="0000469B" w:rsidRPr="00731644">
        <w:rPr>
          <w:lang w:val="fr-CH"/>
        </w:rPr>
        <w:t>ordre, le nom de l</w:t>
      </w:r>
      <w:r w:rsidR="00425386" w:rsidRPr="00731644">
        <w:rPr>
          <w:lang w:val="fr-CH"/>
        </w:rPr>
        <w:t>’</w:t>
      </w:r>
      <w:r w:rsidR="0000469B" w:rsidRPr="00731644">
        <w:rPr>
          <w:lang w:val="fr-CH"/>
        </w:rPr>
        <w:t>organisation syndicale, la date d</w:t>
      </w:r>
      <w:r w:rsidR="00425386" w:rsidRPr="00731644">
        <w:rPr>
          <w:lang w:val="fr-CH"/>
        </w:rPr>
        <w:t>’</w:t>
      </w:r>
      <w:r w:rsidR="0000469B" w:rsidRPr="00731644">
        <w:rPr>
          <w:lang w:val="fr-CH"/>
        </w:rPr>
        <w:t>inscription, l</w:t>
      </w:r>
      <w:r w:rsidR="00425386" w:rsidRPr="00731644">
        <w:rPr>
          <w:lang w:val="fr-CH"/>
        </w:rPr>
        <w:t>’</w:t>
      </w:r>
      <w:r w:rsidR="0000469B" w:rsidRPr="00731644">
        <w:rPr>
          <w:lang w:val="fr-CH"/>
        </w:rPr>
        <w:t>adresse du siège de l</w:t>
      </w:r>
      <w:r w:rsidR="00425386" w:rsidRPr="00731644">
        <w:rPr>
          <w:lang w:val="fr-CH"/>
        </w:rPr>
        <w:t>’</w:t>
      </w:r>
      <w:r w:rsidR="0000469B" w:rsidRPr="00731644">
        <w:rPr>
          <w:lang w:val="fr-CH"/>
        </w:rPr>
        <w:t>organisation</w:t>
      </w:r>
      <w:r w:rsidR="004C7BF6" w:rsidRPr="00731644">
        <w:rPr>
          <w:lang w:val="fr-CH"/>
        </w:rPr>
        <w:t xml:space="preserve">, </w:t>
      </w:r>
      <w:r w:rsidR="0000469B" w:rsidRPr="00731644">
        <w:rPr>
          <w:lang w:val="fr-CH"/>
        </w:rPr>
        <w:t>son domaine d</w:t>
      </w:r>
      <w:r w:rsidR="00425386" w:rsidRPr="00731644">
        <w:rPr>
          <w:lang w:val="fr-CH"/>
        </w:rPr>
        <w:t>’</w:t>
      </w:r>
      <w:r w:rsidR="0000469B" w:rsidRPr="00731644">
        <w:rPr>
          <w:lang w:val="fr-CH"/>
        </w:rPr>
        <w:t>activité, le nom de la personne autorisée à la représenter, le numéro et la date du certificat d</w:t>
      </w:r>
      <w:r w:rsidR="00425386" w:rsidRPr="00731644">
        <w:rPr>
          <w:lang w:val="fr-CH"/>
        </w:rPr>
        <w:t>’</w:t>
      </w:r>
      <w:r w:rsidR="0000469B" w:rsidRPr="00731644">
        <w:rPr>
          <w:lang w:val="fr-CH"/>
        </w:rPr>
        <w:t>inscription, le motif de la radiation</w:t>
      </w:r>
      <w:r w:rsidR="004B4335" w:rsidRPr="00731644">
        <w:rPr>
          <w:lang w:val="fr-CH"/>
        </w:rPr>
        <w:t>,</w:t>
      </w:r>
      <w:r w:rsidR="0000469B" w:rsidRPr="00731644">
        <w:rPr>
          <w:lang w:val="fr-CH"/>
        </w:rPr>
        <w:t xml:space="preserve"> et des notes.</w:t>
      </w:r>
      <w:r w:rsidR="00F31DD5" w:rsidRPr="00731644">
        <w:rPr>
          <w:lang w:val="fr-CH"/>
        </w:rPr>
        <w:t xml:space="preserve"> </w:t>
      </w:r>
    </w:p>
    <w:p w:rsidR="004C7BF6" w:rsidRPr="00731644" w:rsidRDefault="004D324E" w:rsidP="004C7BF6">
      <w:pPr>
        <w:pStyle w:val="SingleTxtG"/>
        <w:rPr>
          <w:lang w:val="fr-CH"/>
        </w:rPr>
      </w:pPr>
      <w:r w:rsidRPr="00731644">
        <w:rPr>
          <w:lang w:val="fr-CH"/>
        </w:rPr>
        <w:t>196.</w:t>
      </w:r>
      <w:r w:rsidRPr="00731644">
        <w:rPr>
          <w:lang w:val="fr-CH"/>
        </w:rPr>
        <w:tab/>
      </w:r>
      <w:r w:rsidR="0000469B" w:rsidRPr="00731644">
        <w:rPr>
          <w:lang w:val="fr-CH"/>
        </w:rPr>
        <w:t>En vertu du décret susmentionné, les organisations syndicales sont tenues d</w:t>
      </w:r>
      <w:r w:rsidR="00425386" w:rsidRPr="00731644">
        <w:rPr>
          <w:lang w:val="fr-CH"/>
        </w:rPr>
        <w:t>’</w:t>
      </w:r>
      <w:r w:rsidR="0000469B" w:rsidRPr="00731644">
        <w:rPr>
          <w:lang w:val="fr-CH"/>
        </w:rPr>
        <w:t xml:space="preserve">informer le Ministère du travail et de la protection sociale de tout changement </w:t>
      </w:r>
      <w:r w:rsidR="00862BF2" w:rsidRPr="00731644">
        <w:rPr>
          <w:lang w:val="fr-CH"/>
        </w:rPr>
        <w:t>concernant</w:t>
      </w:r>
      <w:r w:rsidR="0000469B" w:rsidRPr="00731644">
        <w:rPr>
          <w:lang w:val="fr-CH"/>
        </w:rPr>
        <w:t xml:space="preserve"> les renseignements inscrits au registre dans les 15</w:t>
      </w:r>
      <w:r w:rsidR="00731644" w:rsidRPr="00731644">
        <w:rPr>
          <w:lang w:val="fr-CH"/>
        </w:rPr>
        <w:t> jours</w:t>
      </w:r>
      <w:r w:rsidR="0000469B" w:rsidRPr="00731644">
        <w:rPr>
          <w:lang w:val="fr-CH"/>
        </w:rPr>
        <w:t xml:space="preserve"> qui suivent la date du changement.</w:t>
      </w:r>
    </w:p>
    <w:p w:rsidR="004C7BF6" w:rsidRPr="00731644" w:rsidRDefault="004D324E" w:rsidP="004C7BF6">
      <w:pPr>
        <w:pStyle w:val="SingleTxtG"/>
        <w:rPr>
          <w:lang w:val="fr-CH"/>
        </w:rPr>
      </w:pPr>
      <w:r w:rsidRPr="00731644">
        <w:rPr>
          <w:lang w:val="fr-CH"/>
        </w:rPr>
        <w:t>197.</w:t>
      </w:r>
      <w:r w:rsidRPr="00731644">
        <w:rPr>
          <w:lang w:val="fr-CH"/>
        </w:rPr>
        <w:tab/>
      </w:r>
      <w:r w:rsidR="0000469B" w:rsidRPr="00731644">
        <w:rPr>
          <w:lang w:val="fr-CH"/>
        </w:rPr>
        <w:t>En mai</w:t>
      </w:r>
      <w:r w:rsidR="004C7BF6" w:rsidRPr="00731644">
        <w:rPr>
          <w:lang w:val="fr-CH"/>
        </w:rPr>
        <w:t xml:space="preserve"> 2010, </w:t>
      </w:r>
      <w:r w:rsidR="0000469B" w:rsidRPr="00731644">
        <w:rPr>
          <w:lang w:val="fr-CH"/>
        </w:rPr>
        <w:t xml:space="preserve">le Parlement a adopté la </w:t>
      </w:r>
      <w:r w:rsidR="0000469B" w:rsidRPr="00FC3369">
        <w:rPr>
          <w:i/>
          <w:lang w:val="fr-CH"/>
        </w:rPr>
        <w:t>loi relative à la représentativité des syndicats</w:t>
      </w:r>
      <w:r w:rsidR="0000469B" w:rsidRPr="00731644">
        <w:rPr>
          <w:lang w:val="fr-CH"/>
        </w:rPr>
        <w:t xml:space="preserve"> </w:t>
      </w:r>
      <w:r w:rsidR="004C7BF6"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00469B" w:rsidRPr="00731644">
        <w:rPr>
          <w:lang w:val="fr-CH"/>
        </w:rPr>
        <w:t xml:space="preserve"> </w:t>
      </w:r>
      <w:r w:rsidR="005072A0">
        <w:rPr>
          <w:lang w:val="fr-CH"/>
        </w:rPr>
        <w:t>n</w:t>
      </w:r>
      <w:r w:rsidR="005072A0" w:rsidRPr="005072A0">
        <w:rPr>
          <w:vertAlign w:val="superscript"/>
          <w:lang w:val="fr-CH"/>
        </w:rPr>
        <w:t>o</w:t>
      </w:r>
      <w:r w:rsidR="005072A0">
        <w:rPr>
          <w:lang w:val="fr-CH"/>
        </w:rPr>
        <w:t> </w:t>
      </w:r>
      <w:r w:rsidR="004C7BF6" w:rsidRPr="00731644">
        <w:rPr>
          <w:lang w:val="fr-CH"/>
        </w:rPr>
        <w:t>26/10)</w:t>
      </w:r>
      <w:r w:rsidR="003C413F" w:rsidRPr="00731644">
        <w:rPr>
          <w:lang w:val="fr-CH"/>
        </w:rPr>
        <w:t xml:space="preserve">, qui est entrée en vigueur le 15 </w:t>
      </w:r>
      <w:r w:rsidR="00862BF2" w:rsidRPr="00731644">
        <w:rPr>
          <w:lang w:val="fr-CH"/>
        </w:rPr>
        <w:t>du même</w:t>
      </w:r>
      <w:r w:rsidR="003C413F" w:rsidRPr="00731644">
        <w:rPr>
          <w:lang w:val="fr-CH"/>
        </w:rPr>
        <w:t xml:space="preserve"> mois.</w:t>
      </w:r>
      <w:r w:rsidR="00F31DD5" w:rsidRPr="00731644">
        <w:rPr>
          <w:lang w:val="fr-CH"/>
        </w:rPr>
        <w:t xml:space="preserve"> </w:t>
      </w:r>
      <w:r w:rsidR="003C413F" w:rsidRPr="00731644">
        <w:rPr>
          <w:lang w:val="fr-CH"/>
        </w:rPr>
        <w:t xml:space="preserve">En application de ce texte a été constitué, </w:t>
      </w:r>
      <w:r w:rsidR="008739F2" w:rsidRPr="00731644">
        <w:rPr>
          <w:lang w:val="fr-CH"/>
        </w:rPr>
        <w:t>dans</w:t>
      </w:r>
      <w:r w:rsidR="003C413F" w:rsidRPr="00731644">
        <w:rPr>
          <w:lang w:val="fr-CH"/>
        </w:rPr>
        <w:t xml:space="preserve"> le mois qui a suivi son adoption, le comité chargé de déterminer la représentativité des syndicats </w:t>
      </w:r>
      <w:r w:rsidR="00862BF2" w:rsidRPr="00731644">
        <w:rPr>
          <w:lang w:val="fr-CH"/>
        </w:rPr>
        <w:t xml:space="preserve">au plan </w:t>
      </w:r>
      <w:r w:rsidR="003C413F" w:rsidRPr="00731644">
        <w:rPr>
          <w:lang w:val="fr-CH"/>
        </w:rPr>
        <w:t xml:space="preserve">national et </w:t>
      </w:r>
      <w:r w:rsidR="00862BF2" w:rsidRPr="00731644">
        <w:rPr>
          <w:lang w:val="fr-CH"/>
        </w:rPr>
        <w:t>au niveau</w:t>
      </w:r>
      <w:r w:rsidR="003C413F" w:rsidRPr="00731644">
        <w:rPr>
          <w:lang w:val="fr-CH"/>
        </w:rPr>
        <w:t xml:space="preserve"> des branches</w:t>
      </w:r>
      <w:r w:rsidR="00862BF2" w:rsidRPr="00731644">
        <w:rPr>
          <w:lang w:val="fr-CH"/>
        </w:rPr>
        <w:t xml:space="preserve"> professionnelles</w:t>
      </w:r>
      <w:r w:rsidR="003C413F" w:rsidRPr="00731644">
        <w:rPr>
          <w:lang w:val="fr-CH"/>
        </w:rPr>
        <w:t>, qui comprenait</w:t>
      </w:r>
      <w:r w:rsidR="00F31DD5" w:rsidRPr="00731644">
        <w:rPr>
          <w:lang w:val="fr-CH"/>
        </w:rPr>
        <w:t>:</w:t>
      </w:r>
      <w:r w:rsidR="003C413F" w:rsidRPr="00731644">
        <w:rPr>
          <w:lang w:val="fr-CH"/>
        </w:rPr>
        <w:t xml:space="preserve"> deux représentants du Ministère du travail et de la protection sociale,</w:t>
      </w:r>
      <w:r w:rsidR="00F31DD5" w:rsidRPr="00731644">
        <w:rPr>
          <w:lang w:val="fr-CH"/>
        </w:rPr>
        <w:t xml:space="preserve"> </w:t>
      </w:r>
      <w:r w:rsidR="003C413F" w:rsidRPr="00731644">
        <w:rPr>
          <w:lang w:val="fr-CH"/>
        </w:rPr>
        <w:t>deux représentants</w:t>
      </w:r>
      <w:r w:rsidR="004C7BF6" w:rsidRPr="00731644">
        <w:rPr>
          <w:lang w:val="fr-CH"/>
        </w:rPr>
        <w:t xml:space="preserve"> </w:t>
      </w:r>
      <w:r w:rsidR="003C413F" w:rsidRPr="00731644">
        <w:rPr>
          <w:lang w:val="fr-CH"/>
        </w:rPr>
        <w:t>de la Confédération des syndicats du Monténégro,</w:t>
      </w:r>
      <w:r w:rsidR="00F31DD5" w:rsidRPr="00731644">
        <w:rPr>
          <w:lang w:val="fr-CH"/>
        </w:rPr>
        <w:t xml:space="preserve"> </w:t>
      </w:r>
      <w:r w:rsidR="003C413F" w:rsidRPr="00731644">
        <w:rPr>
          <w:lang w:val="fr-CH"/>
        </w:rPr>
        <w:t>deux représentants de l</w:t>
      </w:r>
      <w:r w:rsidR="00425386" w:rsidRPr="00731644">
        <w:rPr>
          <w:lang w:val="fr-CH"/>
        </w:rPr>
        <w:t>’</w:t>
      </w:r>
      <w:r w:rsidR="004C7BF6" w:rsidRPr="00731644">
        <w:rPr>
          <w:lang w:val="fr-CH"/>
        </w:rPr>
        <w:t xml:space="preserve">Union </w:t>
      </w:r>
      <w:r w:rsidR="003C413F" w:rsidRPr="00731644">
        <w:rPr>
          <w:lang w:val="fr-CH"/>
        </w:rPr>
        <w:t>des syndicats libres du Monténégro (</w:t>
      </w:r>
      <w:r w:rsidR="008739F2" w:rsidRPr="00731644">
        <w:rPr>
          <w:lang w:val="fr-CH"/>
        </w:rPr>
        <w:t xml:space="preserve">représentant les </w:t>
      </w:r>
      <w:r w:rsidR="003C413F" w:rsidRPr="00731644">
        <w:rPr>
          <w:lang w:val="fr-CH"/>
        </w:rPr>
        <w:t>syndicats représentatifs) et deux représentants de l</w:t>
      </w:r>
      <w:r w:rsidR="00425386" w:rsidRPr="00731644">
        <w:rPr>
          <w:lang w:val="fr-CH"/>
        </w:rPr>
        <w:t>’</w:t>
      </w:r>
      <w:r w:rsidR="003C413F" w:rsidRPr="00731644">
        <w:rPr>
          <w:lang w:val="fr-CH"/>
        </w:rPr>
        <w:t xml:space="preserve">Union des employeurs du Monténégro </w:t>
      </w:r>
      <w:r w:rsidR="004C7BF6" w:rsidRPr="00731644">
        <w:rPr>
          <w:lang w:val="fr-CH"/>
        </w:rPr>
        <w:t>(</w:t>
      </w:r>
      <w:r w:rsidR="008739F2" w:rsidRPr="00731644">
        <w:rPr>
          <w:lang w:val="fr-CH"/>
        </w:rPr>
        <w:t xml:space="preserve">représentant les </w:t>
      </w:r>
      <w:r w:rsidR="003C413F" w:rsidRPr="00731644">
        <w:rPr>
          <w:lang w:val="fr-CH"/>
        </w:rPr>
        <w:t>association</w:t>
      </w:r>
      <w:r w:rsidR="008739F2" w:rsidRPr="00731644">
        <w:rPr>
          <w:lang w:val="fr-CH"/>
        </w:rPr>
        <w:t>s</w:t>
      </w:r>
      <w:r w:rsidR="003C413F" w:rsidRPr="00731644">
        <w:rPr>
          <w:lang w:val="fr-CH"/>
        </w:rPr>
        <w:t xml:space="preserve"> d</w:t>
      </w:r>
      <w:r w:rsidR="00425386" w:rsidRPr="00731644">
        <w:rPr>
          <w:lang w:val="fr-CH"/>
        </w:rPr>
        <w:t>’</w:t>
      </w:r>
      <w:r w:rsidR="0083174F" w:rsidRPr="00731644">
        <w:rPr>
          <w:lang w:val="fr-CH"/>
        </w:rPr>
        <w:t>employeurs</w:t>
      </w:r>
      <w:r w:rsidR="003C413F" w:rsidRPr="00731644">
        <w:rPr>
          <w:lang w:val="fr-CH"/>
        </w:rPr>
        <w:t xml:space="preserve"> représentative</w:t>
      </w:r>
      <w:r w:rsidR="008739F2" w:rsidRPr="00731644">
        <w:rPr>
          <w:lang w:val="fr-CH"/>
        </w:rPr>
        <w:t>s</w:t>
      </w:r>
      <w:r w:rsidR="004C7BF6" w:rsidRPr="00731644">
        <w:rPr>
          <w:lang w:val="fr-CH"/>
        </w:rPr>
        <w:t xml:space="preserve">). </w:t>
      </w:r>
      <w:r w:rsidR="00052DE6" w:rsidRPr="00731644">
        <w:rPr>
          <w:lang w:val="fr-CH"/>
        </w:rPr>
        <w:t>S</w:t>
      </w:r>
      <w:r w:rsidR="00425386" w:rsidRPr="00731644">
        <w:rPr>
          <w:lang w:val="fr-CH"/>
        </w:rPr>
        <w:t>’</w:t>
      </w:r>
      <w:r w:rsidR="00052DE6" w:rsidRPr="00731644">
        <w:rPr>
          <w:lang w:val="fr-CH"/>
        </w:rPr>
        <w:t>appuyant sur les demandes déposées et la documentation jointe, l</w:t>
      </w:r>
      <w:r w:rsidR="003C413F" w:rsidRPr="00731644">
        <w:rPr>
          <w:lang w:val="fr-CH"/>
        </w:rPr>
        <w:t>e Comité a présenté au Ministre du travail et de la protection sociale</w:t>
      </w:r>
      <w:r w:rsidR="00052DE6" w:rsidRPr="00731644">
        <w:rPr>
          <w:lang w:val="fr-CH"/>
        </w:rPr>
        <w:t xml:space="preserve"> des propositions sur la base desquelles </w:t>
      </w:r>
      <w:r w:rsidR="00862BF2" w:rsidRPr="00731644">
        <w:rPr>
          <w:lang w:val="fr-CH"/>
        </w:rPr>
        <w:t>celui-ci</w:t>
      </w:r>
      <w:r w:rsidR="00052DE6" w:rsidRPr="00731644">
        <w:rPr>
          <w:lang w:val="fr-CH"/>
        </w:rPr>
        <w:t xml:space="preserve"> a </w:t>
      </w:r>
      <w:r w:rsidR="00862BF2" w:rsidRPr="00731644">
        <w:rPr>
          <w:lang w:val="fr-CH"/>
        </w:rPr>
        <w:t>décrété</w:t>
      </w:r>
      <w:r w:rsidR="00052DE6" w:rsidRPr="00731644">
        <w:rPr>
          <w:lang w:val="fr-CH"/>
        </w:rPr>
        <w:t xml:space="preserve"> la représentativité de deux syndicats au niveau national et de 18 syndicats à l</w:t>
      </w:r>
      <w:r w:rsidR="00425386" w:rsidRPr="00731644">
        <w:rPr>
          <w:lang w:val="fr-CH"/>
        </w:rPr>
        <w:t>’</w:t>
      </w:r>
      <w:r w:rsidR="00052DE6" w:rsidRPr="00731644">
        <w:rPr>
          <w:lang w:val="fr-CH"/>
        </w:rPr>
        <w:t>échelon des branches.</w:t>
      </w:r>
    </w:p>
    <w:p w:rsidR="004C7BF6" w:rsidRPr="00731644" w:rsidRDefault="00052DE6" w:rsidP="004D324E">
      <w:pPr>
        <w:pStyle w:val="H23G"/>
        <w:rPr>
          <w:lang w:val="fr-CH"/>
        </w:rPr>
      </w:pPr>
      <w:r w:rsidRPr="00731644">
        <w:rPr>
          <w:lang w:val="fr-CH"/>
        </w:rPr>
        <w:tab/>
      </w:r>
      <w:r w:rsidRPr="00731644">
        <w:rPr>
          <w:lang w:val="fr-CH"/>
        </w:rPr>
        <w:tab/>
        <w:t>Le droit au travail, l</w:t>
      </w:r>
      <w:r w:rsidR="00425386" w:rsidRPr="00731644">
        <w:rPr>
          <w:lang w:val="fr-CH"/>
        </w:rPr>
        <w:t>’</w:t>
      </w:r>
      <w:r w:rsidRPr="00731644">
        <w:rPr>
          <w:lang w:val="fr-CH"/>
        </w:rPr>
        <w:t>assurance chômage</w:t>
      </w:r>
      <w:r w:rsidR="004C7BF6" w:rsidRPr="00731644">
        <w:rPr>
          <w:lang w:val="fr-CH"/>
        </w:rPr>
        <w:t>,</w:t>
      </w:r>
      <w:r w:rsidRPr="00731644">
        <w:rPr>
          <w:lang w:val="fr-CH"/>
        </w:rPr>
        <w:t xml:space="preserve"> les droits</w:t>
      </w:r>
      <w:r w:rsidR="00E841FC" w:rsidRPr="00731644">
        <w:rPr>
          <w:lang w:val="fr-CH"/>
        </w:rPr>
        <w:t xml:space="preserve"> des travailleurs</w:t>
      </w:r>
    </w:p>
    <w:p w:rsidR="00E460D9" w:rsidRPr="00731644" w:rsidRDefault="004D324E" w:rsidP="004C7BF6">
      <w:pPr>
        <w:pStyle w:val="SingleTxtG"/>
        <w:rPr>
          <w:lang w:val="fr-CH"/>
        </w:rPr>
      </w:pPr>
      <w:r w:rsidRPr="00731644">
        <w:rPr>
          <w:iCs/>
          <w:lang w:val="fr-CH"/>
        </w:rPr>
        <w:t>198.</w:t>
      </w:r>
      <w:r w:rsidRPr="00731644">
        <w:rPr>
          <w:i/>
          <w:lang w:val="fr-CH"/>
        </w:rPr>
        <w:tab/>
      </w:r>
      <w:r w:rsidR="00E460D9" w:rsidRPr="00731644">
        <w:rPr>
          <w:iCs/>
          <w:lang w:val="fr-CH"/>
        </w:rPr>
        <w:t>La</w:t>
      </w:r>
      <w:r w:rsidR="004C7BF6" w:rsidRPr="00731644">
        <w:rPr>
          <w:lang w:val="fr-CH"/>
        </w:rPr>
        <w:t xml:space="preserve"> </w:t>
      </w:r>
      <w:r w:rsidR="00052DE6" w:rsidRPr="00FC3369">
        <w:rPr>
          <w:i/>
          <w:lang w:val="fr-CH"/>
        </w:rPr>
        <w:t>loi relative à l</w:t>
      </w:r>
      <w:r w:rsidR="00425386" w:rsidRPr="00FC3369">
        <w:rPr>
          <w:i/>
          <w:lang w:val="fr-CH"/>
        </w:rPr>
        <w:t>’</w:t>
      </w:r>
      <w:r w:rsidR="00052DE6" w:rsidRPr="00FC3369">
        <w:rPr>
          <w:i/>
          <w:lang w:val="fr-CH"/>
        </w:rPr>
        <w:t xml:space="preserve">emploi et </w:t>
      </w:r>
      <w:r w:rsidR="00E42688" w:rsidRPr="00FC3369">
        <w:rPr>
          <w:i/>
          <w:lang w:val="fr-CH"/>
        </w:rPr>
        <w:t>aux</w:t>
      </w:r>
      <w:r w:rsidR="00052DE6" w:rsidRPr="00FC3369">
        <w:rPr>
          <w:i/>
          <w:lang w:val="fr-CH"/>
        </w:rPr>
        <w:t xml:space="preserve"> droits </w:t>
      </w:r>
      <w:r w:rsidR="000439A0" w:rsidRPr="00FC3369">
        <w:rPr>
          <w:i/>
          <w:lang w:val="fr-CH"/>
        </w:rPr>
        <w:t xml:space="preserve">aux </w:t>
      </w:r>
      <w:r w:rsidR="00D853F8" w:rsidRPr="00FC3369">
        <w:rPr>
          <w:i/>
          <w:lang w:val="fr-CH"/>
        </w:rPr>
        <w:t>prest</w:t>
      </w:r>
      <w:r w:rsidR="000439A0" w:rsidRPr="00FC3369">
        <w:rPr>
          <w:i/>
          <w:lang w:val="fr-CH"/>
        </w:rPr>
        <w:t>ations de</w:t>
      </w:r>
      <w:r w:rsidR="00052DE6" w:rsidRPr="00FC3369">
        <w:rPr>
          <w:i/>
          <w:lang w:val="fr-CH"/>
        </w:rPr>
        <w:t xml:space="preserve"> l</w:t>
      </w:r>
      <w:r w:rsidR="00425386" w:rsidRPr="00FC3369">
        <w:rPr>
          <w:i/>
          <w:lang w:val="fr-CH"/>
        </w:rPr>
        <w:t>’</w:t>
      </w:r>
      <w:r w:rsidR="00052DE6" w:rsidRPr="00FC3369">
        <w:rPr>
          <w:i/>
          <w:lang w:val="fr-CH"/>
        </w:rPr>
        <w:t>assurance chômage</w:t>
      </w:r>
      <w:r w:rsidR="00052DE6" w:rsidRPr="00731644">
        <w:rPr>
          <w:lang w:val="fr-CH"/>
        </w:rPr>
        <w:t xml:space="preserve"> </w:t>
      </w:r>
      <w:r w:rsidR="004C7BF6"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052DE6" w:rsidRPr="00731644">
        <w:rPr>
          <w:lang w:val="fr-CH"/>
        </w:rPr>
        <w:t xml:space="preserve"> </w:t>
      </w:r>
      <w:r w:rsidR="005072A0">
        <w:rPr>
          <w:lang w:val="fr-CH"/>
        </w:rPr>
        <w:t>n</w:t>
      </w:r>
      <w:r w:rsidR="005072A0" w:rsidRPr="005072A0">
        <w:rPr>
          <w:vertAlign w:val="superscript"/>
          <w:lang w:val="fr-CH"/>
        </w:rPr>
        <w:t>o</w:t>
      </w:r>
      <w:r w:rsidR="005072A0">
        <w:rPr>
          <w:lang w:val="fr-CH"/>
        </w:rPr>
        <w:t> </w:t>
      </w:r>
      <w:r w:rsidR="004C7BF6" w:rsidRPr="00731644">
        <w:rPr>
          <w:lang w:val="fr-CH"/>
        </w:rPr>
        <w:t>14/10)</w:t>
      </w:r>
      <w:r w:rsidR="00052DE6" w:rsidRPr="00731644">
        <w:rPr>
          <w:lang w:val="fr-CH"/>
        </w:rPr>
        <w:t xml:space="preserve"> a pris effet le 23 mars </w:t>
      </w:r>
      <w:r w:rsidR="004C7BF6" w:rsidRPr="00731644">
        <w:rPr>
          <w:lang w:val="fr-CH"/>
        </w:rPr>
        <w:t xml:space="preserve">2010. </w:t>
      </w:r>
      <w:r w:rsidR="00E460D9" w:rsidRPr="00731644">
        <w:rPr>
          <w:lang w:val="fr-CH"/>
        </w:rPr>
        <w:t xml:space="preserve">Son principal objet est </w:t>
      </w:r>
      <w:r w:rsidR="00F5379C" w:rsidRPr="00731644">
        <w:rPr>
          <w:lang w:val="fr-CH"/>
        </w:rPr>
        <w:t>d</w:t>
      </w:r>
      <w:r w:rsidR="00425386" w:rsidRPr="00731644">
        <w:rPr>
          <w:lang w:val="fr-CH"/>
        </w:rPr>
        <w:t>’</w:t>
      </w:r>
      <w:r w:rsidR="00F5379C" w:rsidRPr="00731644">
        <w:rPr>
          <w:lang w:val="fr-CH"/>
        </w:rPr>
        <w:t>harmoniser</w:t>
      </w:r>
      <w:r w:rsidR="00E460D9" w:rsidRPr="00731644">
        <w:rPr>
          <w:lang w:val="fr-CH"/>
        </w:rPr>
        <w:t xml:space="preserve"> la législation nationale </w:t>
      </w:r>
      <w:r w:rsidR="00F5379C" w:rsidRPr="00731644">
        <w:rPr>
          <w:lang w:val="fr-CH"/>
        </w:rPr>
        <w:t>avec</w:t>
      </w:r>
      <w:r w:rsidR="00E460D9" w:rsidRPr="00731644">
        <w:rPr>
          <w:lang w:val="fr-CH"/>
        </w:rPr>
        <w:t xml:space="preserve"> les principes contenus dans le Traité </w:t>
      </w:r>
      <w:r w:rsidR="00F5379C" w:rsidRPr="00731644">
        <w:rPr>
          <w:lang w:val="fr-CH"/>
        </w:rPr>
        <w:t>sur</w:t>
      </w:r>
      <w:r w:rsidR="00E460D9" w:rsidRPr="00731644">
        <w:rPr>
          <w:lang w:val="fr-CH"/>
        </w:rPr>
        <w:t xml:space="preserve"> l</w:t>
      </w:r>
      <w:r w:rsidR="00425386" w:rsidRPr="00731644">
        <w:rPr>
          <w:lang w:val="fr-CH"/>
        </w:rPr>
        <w:t>’</w:t>
      </w:r>
      <w:r w:rsidR="00E460D9" w:rsidRPr="00731644">
        <w:rPr>
          <w:lang w:val="fr-CH"/>
        </w:rPr>
        <w:t xml:space="preserve">Union européenne, </w:t>
      </w:r>
      <w:r w:rsidR="00F5379C" w:rsidRPr="00731644">
        <w:rPr>
          <w:lang w:val="fr-CH"/>
        </w:rPr>
        <w:t>avec</w:t>
      </w:r>
      <w:r w:rsidR="00E460D9" w:rsidRPr="00731644">
        <w:rPr>
          <w:lang w:val="fr-CH"/>
        </w:rPr>
        <w:t xml:space="preserve"> la </w:t>
      </w:r>
      <w:r w:rsidR="000738E8" w:rsidRPr="00731644">
        <w:rPr>
          <w:lang w:val="fr-CH"/>
        </w:rPr>
        <w:t>décision du Conseil de l</w:t>
      </w:r>
      <w:r w:rsidR="00425386" w:rsidRPr="00731644">
        <w:rPr>
          <w:lang w:val="fr-CH"/>
        </w:rPr>
        <w:t>’</w:t>
      </w:r>
      <w:r w:rsidR="000738E8" w:rsidRPr="00731644">
        <w:rPr>
          <w:lang w:val="fr-CH"/>
        </w:rPr>
        <w:t>Union européenne relative aux lignes directrices pour la politique de l</w:t>
      </w:r>
      <w:r w:rsidR="00425386" w:rsidRPr="00731644">
        <w:rPr>
          <w:lang w:val="fr-CH"/>
        </w:rPr>
        <w:t>’</w:t>
      </w:r>
      <w:r w:rsidR="000738E8" w:rsidRPr="00731644">
        <w:rPr>
          <w:lang w:val="fr-CH"/>
        </w:rPr>
        <w:t>emploi des États membres</w:t>
      </w:r>
      <w:r w:rsidR="00E460D9" w:rsidRPr="00731644">
        <w:rPr>
          <w:lang w:val="fr-CH"/>
        </w:rPr>
        <w:t xml:space="preserve">, et </w:t>
      </w:r>
      <w:r w:rsidR="00F5379C" w:rsidRPr="00731644">
        <w:rPr>
          <w:lang w:val="fr-CH"/>
        </w:rPr>
        <w:t>avec</w:t>
      </w:r>
      <w:r w:rsidR="00E460D9" w:rsidRPr="00731644">
        <w:rPr>
          <w:lang w:val="fr-CH"/>
        </w:rPr>
        <w:t xml:space="preserve"> la </w:t>
      </w:r>
      <w:r w:rsidR="000738E8" w:rsidRPr="00731644">
        <w:rPr>
          <w:lang w:val="fr-CH"/>
        </w:rPr>
        <w:t>stratégie européenne pour l</w:t>
      </w:r>
      <w:r w:rsidR="00425386" w:rsidRPr="00731644">
        <w:rPr>
          <w:lang w:val="fr-CH"/>
        </w:rPr>
        <w:t>’</w:t>
      </w:r>
      <w:r w:rsidR="000738E8" w:rsidRPr="00731644">
        <w:rPr>
          <w:lang w:val="fr-CH"/>
        </w:rPr>
        <w:t>emploi.</w:t>
      </w:r>
      <w:r w:rsidR="00F31DD5" w:rsidRPr="00731644">
        <w:rPr>
          <w:lang w:val="fr-CH"/>
        </w:rPr>
        <w:t xml:space="preserve"> </w:t>
      </w:r>
    </w:p>
    <w:p w:rsidR="008A4932" w:rsidRPr="00731644" w:rsidRDefault="004D324E" w:rsidP="004C7BF6">
      <w:pPr>
        <w:pStyle w:val="SingleTxtG"/>
        <w:rPr>
          <w:lang w:val="fr-CH"/>
        </w:rPr>
      </w:pPr>
      <w:r w:rsidRPr="00731644">
        <w:rPr>
          <w:lang w:val="fr-CH"/>
        </w:rPr>
        <w:t>199.</w:t>
      </w:r>
      <w:r w:rsidRPr="00731644">
        <w:rPr>
          <w:lang w:val="fr-CH"/>
        </w:rPr>
        <w:tab/>
      </w:r>
      <w:r w:rsidR="00E460D9" w:rsidRPr="00731644">
        <w:rPr>
          <w:lang w:val="fr-CH"/>
        </w:rPr>
        <w:t>Les principes sur lesquels repose l</w:t>
      </w:r>
      <w:r w:rsidR="00425386" w:rsidRPr="00731644">
        <w:rPr>
          <w:lang w:val="fr-CH"/>
        </w:rPr>
        <w:t>’</w:t>
      </w:r>
      <w:r w:rsidR="00E460D9" w:rsidRPr="00731644">
        <w:rPr>
          <w:lang w:val="fr-CH"/>
        </w:rPr>
        <w:t xml:space="preserve">exercice des droits </w:t>
      </w:r>
      <w:r w:rsidR="00B569C5" w:rsidRPr="00731644">
        <w:rPr>
          <w:lang w:val="fr-CH"/>
        </w:rPr>
        <w:t>des personnes</w:t>
      </w:r>
      <w:r w:rsidR="000738E8" w:rsidRPr="00731644">
        <w:rPr>
          <w:lang w:val="fr-CH"/>
        </w:rPr>
        <w:t xml:space="preserve"> au</w:t>
      </w:r>
      <w:r w:rsidR="00E460D9" w:rsidRPr="00731644">
        <w:rPr>
          <w:lang w:val="fr-CH"/>
        </w:rPr>
        <w:t xml:space="preserve"> chômage sont</w:t>
      </w:r>
      <w:r w:rsidR="00F31DD5" w:rsidRPr="00731644">
        <w:rPr>
          <w:lang w:val="fr-CH"/>
        </w:rPr>
        <w:t>:</w:t>
      </w:r>
      <w:r w:rsidR="00E460D9" w:rsidRPr="00731644">
        <w:rPr>
          <w:lang w:val="fr-CH"/>
        </w:rPr>
        <w:t xml:space="preserve"> le libre choix de la profession et du poste</w:t>
      </w:r>
      <w:r w:rsidR="00F31DD5" w:rsidRPr="00731644">
        <w:rPr>
          <w:lang w:val="fr-CH"/>
        </w:rPr>
        <w:t>;</w:t>
      </w:r>
      <w:r w:rsidR="00E460D9" w:rsidRPr="00731644">
        <w:rPr>
          <w:lang w:val="fr-CH"/>
        </w:rPr>
        <w:t xml:space="preserve"> l</w:t>
      </w:r>
      <w:r w:rsidR="00425386" w:rsidRPr="00731644">
        <w:rPr>
          <w:lang w:val="fr-CH"/>
        </w:rPr>
        <w:t>’</w:t>
      </w:r>
      <w:r w:rsidR="00E460D9" w:rsidRPr="00731644">
        <w:rPr>
          <w:lang w:val="fr-CH"/>
        </w:rPr>
        <w:t>interdiction de la discrimination</w:t>
      </w:r>
      <w:r w:rsidR="00F31DD5" w:rsidRPr="00731644">
        <w:rPr>
          <w:lang w:val="fr-CH"/>
        </w:rPr>
        <w:t>;</w:t>
      </w:r>
      <w:r w:rsidR="00E460D9" w:rsidRPr="00731644">
        <w:rPr>
          <w:lang w:val="fr-CH"/>
        </w:rPr>
        <w:t xml:space="preserve"> l</w:t>
      </w:r>
      <w:r w:rsidR="00425386" w:rsidRPr="00731644">
        <w:rPr>
          <w:lang w:val="fr-CH"/>
        </w:rPr>
        <w:t>’</w:t>
      </w:r>
      <w:r w:rsidR="00E460D9" w:rsidRPr="00731644">
        <w:rPr>
          <w:lang w:val="fr-CH"/>
        </w:rPr>
        <w:t>égalité des sexes</w:t>
      </w:r>
      <w:r w:rsidR="00F31DD5" w:rsidRPr="00731644">
        <w:rPr>
          <w:lang w:val="fr-CH"/>
        </w:rPr>
        <w:t>;</w:t>
      </w:r>
      <w:r w:rsidR="00E460D9" w:rsidRPr="00731644">
        <w:rPr>
          <w:lang w:val="fr-CH"/>
        </w:rPr>
        <w:t xml:space="preserve"> l</w:t>
      </w:r>
      <w:r w:rsidR="00425386" w:rsidRPr="00731644">
        <w:rPr>
          <w:lang w:val="fr-CH"/>
        </w:rPr>
        <w:t>’</w:t>
      </w:r>
      <w:r w:rsidR="00E460D9" w:rsidRPr="00731644">
        <w:rPr>
          <w:lang w:val="fr-CH"/>
        </w:rPr>
        <w:t xml:space="preserve">action positive en faveur </w:t>
      </w:r>
      <w:r w:rsidR="00B569C5" w:rsidRPr="00731644">
        <w:rPr>
          <w:lang w:val="fr-CH"/>
        </w:rPr>
        <w:t>des personnes</w:t>
      </w:r>
      <w:r w:rsidR="00E460D9" w:rsidRPr="00731644">
        <w:rPr>
          <w:lang w:val="fr-CH"/>
        </w:rPr>
        <w:t xml:space="preserve"> </w:t>
      </w:r>
      <w:r w:rsidR="0088623D" w:rsidRPr="00731644">
        <w:rPr>
          <w:lang w:val="fr-CH"/>
        </w:rPr>
        <w:t>relativement difficile</w:t>
      </w:r>
      <w:r w:rsidR="00D853F8" w:rsidRPr="00731644">
        <w:rPr>
          <w:lang w:val="fr-CH"/>
        </w:rPr>
        <w:t>s</w:t>
      </w:r>
      <w:r w:rsidR="0088623D" w:rsidRPr="00731644">
        <w:rPr>
          <w:lang w:val="fr-CH"/>
        </w:rPr>
        <w:t xml:space="preserve"> </w:t>
      </w:r>
      <w:r w:rsidR="00D853F8" w:rsidRPr="00731644">
        <w:rPr>
          <w:lang w:val="fr-CH"/>
        </w:rPr>
        <w:t xml:space="preserve">à </w:t>
      </w:r>
      <w:r w:rsidR="0088623D" w:rsidRPr="00731644">
        <w:rPr>
          <w:lang w:val="fr-CH"/>
        </w:rPr>
        <w:t>employer</w:t>
      </w:r>
      <w:r w:rsidR="00F31DD5" w:rsidRPr="00731644">
        <w:rPr>
          <w:lang w:val="fr-CH"/>
        </w:rPr>
        <w:t>;</w:t>
      </w:r>
      <w:r w:rsidR="004C7BF6" w:rsidRPr="00731644">
        <w:rPr>
          <w:lang w:val="fr-CH"/>
        </w:rPr>
        <w:t xml:space="preserve"> </w:t>
      </w:r>
      <w:r w:rsidR="008A4932" w:rsidRPr="00731644">
        <w:rPr>
          <w:lang w:val="fr-CH"/>
        </w:rPr>
        <w:t>l</w:t>
      </w:r>
      <w:r w:rsidR="00425386" w:rsidRPr="00731644">
        <w:rPr>
          <w:lang w:val="fr-CH"/>
        </w:rPr>
        <w:t>’</w:t>
      </w:r>
      <w:r w:rsidR="004C7BF6" w:rsidRPr="00731644">
        <w:rPr>
          <w:lang w:val="fr-CH"/>
        </w:rPr>
        <w:t>impartialit</w:t>
      </w:r>
      <w:r w:rsidR="008A4932" w:rsidRPr="00731644">
        <w:rPr>
          <w:lang w:val="fr-CH"/>
        </w:rPr>
        <w:t>é</w:t>
      </w:r>
      <w:r w:rsidR="004C7BF6" w:rsidRPr="00731644">
        <w:rPr>
          <w:lang w:val="fr-CH"/>
        </w:rPr>
        <w:t xml:space="preserve"> </w:t>
      </w:r>
      <w:r w:rsidR="008A4932" w:rsidRPr="00731644">
        <w:rPr>
          <w:lang w:val="fr-CH"/>
        </w:rPr>
        <w:t>du recrutement</w:t>
      </w:r>
      <w:r w:rsidR="00F31DD5" w:rsidRPr="00731644">
        <w:rPr>
          <w:lang w:val="fr-CH"/>
        </w:rPr>
        <w:t>;</w:t>
      </w:r>
      <w:r w:rsidR="004C7BF6" w:rsidRPr="00731644">
        <w:rPr>
          <w:lang w:val="fr-CH"/>
        </w:rPr>
        <w:t xml:space="preserve"> </w:t>
      </w:r>
      <w:r w:rsidR="008A4932" w:rsidRPr="00731644">
        <w:rPr>
          <w:lang w:val="fr-CH"/>
        </w:rPr>
        <w:t>la gratuité de l</w:t>
      </w:r>
      <w:r w:rsidR="00425386" w:rsidRPr="00731644">
        <w:rPr>
          <w:lang w:val="fr-CH"/>
        </w:rPr>
        <w:t>’</w:t>
      </w:r>
      <w:r w:rsidR="008A4932" w:rsidRPr="00731644">
        <w:rPr>
          <w:lang w:val="fr-CH"/>
        </w:rPr>
        <w:t>aide à l</w:t>
      </w:r>
      <w:r w:rsidR="00425386" w:rsidRPr="00731644">
        <w:rPr>
          <w:lang w:val="fr-CH"/>
        </w:rPr>
        <w:t>’</w:t>
      </w:r>
      <w:r w:rsidR="008A4932" w:rsidRPr="00731644">
        <w:rPr>
          <w:lang w:val="fr-CH"/>
        </w:rPr>
        <w:t xml:space="preserve">emploi. </w:t>
      </w:r>
    </w:p>
    <w:p w:rsidR="003D0627" w:rsidRPr="00731644" w:rsidRDefault="004D324E" w:rsidP="004C7BF6">
      <w:pPr>
        <w:pStyle w:val="SingleTxtG"/>
        <w:rPr>
          <w:lang w:val="fr-CH"/>
        </w:rPr>
      </w:pPr>
      <w:r w:rsidRPr="00731644">
        <w:rPr>
          <w:iCs/>
          <w:lang w:val="fr-CH"/>
        </w:rPr>
        <w:t>200.</w:t>
      </w:r>
      <w:r w:rsidRPr="00731644">
        <w:rPr>
          <w:i/>
          <w:lang w:val="fr-CH"/>
        </w:rPr>
        <w:tab/>
      </w:r>
      <w:r w:rsidR="008A4932" w:rsidRPr="00731644">
        <w:rPr>
          <w:lang w:val="fr-CH"/>
        </w:rPr>
        <w:t xml:space="preserve">La </w:t>
      </w:r>
      <w:r w:rsidR="008A4932" w:rsidRPr="00FC3369">
        <w:rPr>
          <w:i/>
          <w:lang w:val="fr-CH"/>
        </w:rPr>
        <w:t>loi relative à l</w:t>
      </w:r>
      <w:r w:rsidR="00425386" w:rsidRPr="00FC3369">
        <w:rPr>
          <w:i/>
          <w:lang w:val="fr-CH"/>
        </w:rPr>
        <w:t>’</w:t>
      </w:r>
      <w:r w:rsidR="008A4932" w:rsidRPr="00FC3369">
        <w:rPr>
          <w:i/>
          <w:lang w:val="fr-CH"/>
        </w:rPr>
        <w:t>emploi et au travail des étrangers</w:t>
      </w:r>
      <w:r w:rsidR="008A4932" w:rsidRPr="00731644">
        <w:rPr>
          <w:lang w:val="fr-CH"/>
        </w:rPr>
        <w:t xml:space="preserve"> </w:t>
      </w:r>
      <w:r w:rsidR="0083174F"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8A4932" w:rsidRPr="00731644">
        <w:rPr>
          <w:lang w:val="fr-CH"/>
        </w:rPr>
        <w:t xml:space="preserve"> </w:t>
      </w:r>
      <w:r w:rsidR="005072A0">
        <w:rPr>
          <w:lang w:val="fr-CH"/>
        </w:rPr>
        <w:t>n</w:t>
      </w:r>
      <w:r w:rsidR="005072A0" w:rsidRPr="005072A0">
        <w:rPr>
          <w:vertAlign w:val="superscript"/>
          <w:lang w:val="fr-CH"/>
        </w:rPr>
        <w:t>o</w:t>
      </w:r>
      <w:r w:rsidR="005072A0">
        <w:rPr>
          <w:lang w:val="fr-CH"/>
        </w:rPr>
        <w:t> </w:t>
      </w:r>
      <w:r w:rsidR="004C7BF6" w:rsidRPr="00731644">
        <w:rPr>
          <w:lang w:val="fr-CH"/>
        </w:rPr>
        <w:t>22/08)</w:t>
      </w:r>
      <w:r w:rsidR="004C7BF6" w:rsidRPr="00731644">
        <w:rPr>
          <w:i/>
          <w:lang w:val="fr-CH"/>
        </w:rPr>
        <w:t xml:space="preserve"> </w:t>
      </w:r>
      <w:r w:rsidR="008A4932" w:rsidRPr="00731644">
        <w:rPr>
          <w:lang w:val="fr-CH"/>
        </w:rPr>
        <w:t>est en vigueur depuis le 1</w:t>
      </w:r>
      <w:r w:rsidR="008A4932" w:rsidRPr="00731644">
        <w:rPr>
          <w:vertAlign w:val="superscript"/>
          <w:lang w:val="fr-CH"/>
        </w:rPr>
        <w:t>er</w:t>
      </w:r>
      <w:r w:rsidR="008A4932" w:rsidRPr="00731644">
        <w:rPr>
          <w:lang w:val="fr-CH"/>
        </w:rPr>
        <w:t xml:space="preserve"> janvier</w:t>
      </w:r>
      <w:r w:rsidR="004C7BF6" w:rsidRPr="00731644">
        <w:rPr>
          <w:lang w:val="fr-CH"/>
        </w:rPr>
        <w:t xml:space="preserve"> 2009. </w:t>
      </w:r>
      <w:r w:rsidR="003D0627" w:rsidRPr="00731644">
        <w:rPr>
          <w:lang w:val="fr-CH"/>
        </w:rPr>
        <w:t>Elle dispose qu</w:t>
      </w:r>
      <w:r w:rsidR="00425386" w:rsidRPr="00731644">
        <w:rPr>
          <w:lang w:val="fr-CH"/>
        </w:rPr>
        <w:t>’</w:t>
      </w:r>
      <w:r w:rsidR="003D0627" w:rsidRPr="00731644">
        <w:rPr>
          <w:lang w:val="fr-CH"/>
        </w:rPr>
        <w:t>un étranger peut occuper un emploi, c</w:t>
      </w:r>
      <w:r w:rsidR="00425386" w:rsidRPr="00731644">
        <w:rPr>
          <w:lang w:val="fr-CH"/>
        </w:rPr>
        <w:t>’</w:t>
      </w:r>
      <w:r w:rsidR="003D0627" w:rsidRPr="00731644">
        <w:rPr>
          <w:lang w:val="fr-CH"/>
        </w:rPr>
        <w:t>est-à-dire travailler au Monténégro, dès lors qu</w:t>
      </w:r>
      <w:r w:rsidR="00425386" w:rsidRPr="00731644">
        <w:rPr>
          <w:lang w:val="fr-CH"/>
        </w:rPr>
        <w:t>’</w:t>
      </w:r>
      <w:r w:rsidR="003D0627" w:rsidRPr="00731644">
        <w:rPr>
          <w:lang w:val="fr-CH"/>
        </w:rPr>
        <w:t>il possède un permis de travail, qu</w:t>
      </w:r>
      <w:r w:rsidR="00425386" w:rsidRPr="00731644">
        <w:rPr>
          <w:lang w:val="fr-CH"/>
        </w:rPr>
        <w:t>’</w:t>
      </w:r>
      <w:r w:rsidR="003D0627" w:rsidRPr="00731644">
        <w:rPr>
          <w:lang w:val="fr-CH"/>
        </w:rPr>
        <w:t>il est résident permanent ou</w:t>
      </w:r>
      <w:r w:rsidR="00F72EF2" w:rsidRPr="00731644">
        <w:rPr>
          <w:lang w:val="fr-CH"/>
        </w:rPr>
        <w:t xml:space="preserve"> titulaire d</w:t>
      </w:r>
      <w:r w:rsidR="00425386" w:rsidRPr="00731644">
        <w:rPr>
          <w:lang w:val="fr-CH"/>
        </w:rPr>
        <w:t>’</w:t>
      </w:r>
      <w:r w:rsidR="00F72EF2" w:rsidRPr="00731644">
        <w:rPr>
          <w:lang w:val="fr-CH"/>
        </w:rPr>
        <w:t>un permis de séjour</w:t>
      </w:r>
      <w:r w:rsidR="003D0627" w:rsidRPr="00731644">
        <w:rPr>
          <w:lang w:val="fr-CH"/>
        </w:rPr>
        <w:t xml:space="preserve"> temporaire,</w:t>
      </w:r>
      <w:r w:rsidR="00F31DD5" w:rsidRPr="00731644">
        <w:rPr>
          <w:lang w:val="fr-CH"/>
        </w:rPr>
        <w:t xml:space="preserve"> </w:t>
      </w:r>
      <w:r w:rsidR="003D0627" w:rsidRPr="00731644">
        <w:rPr>
          <w:lang w:val="fr-CH"/>
        </w:rPr>
        <w:t>qu</w:t>
      </w:r>
      <w:r w:rsidR="00425386" w:rsidRPr="00731644">
        <w:rPr>
          <w:lang w:val="fr-CH"/>
        </w:rPr>
        <w:t>’</w:t>
      </w:r>
      <w:r w:rsidR="003D0627" w:rsidRPr="00731644">
        <w:rPr>
          <w:lang w:val="fr-CH"/>
        </w:rPr>
        <w:t xml:space="preserve">il a un contrat de travail valide en droit civil et que </w:t>
      </w:r>
      <w:r w:rsidR="00F72EF2" w:rsidRPr="00731644">
        <w:rPr>
          <w:lang w:val="fr-CH"/>
        </w:rPr>
        <w:t>son employeur</w:t>
      </w:r>
      <w:r w:rsidR="003D0627" w:rsidRPr="00731644">
        <w:rPr>
          <w:lang w:val="fr-CH"/>
        </w:rPr>
        <w:t xml:space="preserve"> a signalé avoir recruté un étranger conformément à la loi. </w:t>
      </w:r>
    </w:p>
    <w:p w:rsidR="004C7BF6" w:rsidRPr="00731644" w:rsidRDefault="004D324E" w:rsidP="004C7BF6">
      <w:pPr>
        <w:pStyle w:val="SingleTxtG"/>
        <w:rPr>
          <w:lang w:val="fr-CH"/>
        </w:rPr>
      </w:pPr>
      <w:r w:rsidRPr="00731644">
        <w:rPr>
          <w:lang w:val="fr-CH"/>
        </w:rPr>
        <w:t>201.</w:t>
      </w:r>
      <w:r w:rsidRPr="00731644">
        <w:rPr>
          <w:lang w:val="fr-CH"/>
        </w:rPr>
        <w:tab/>
      </w:r>
      <w:r w:rsidR="003D0627" w:rsidRPr="00731644">
        <w:rPr>
          <w:lang w:val="fr-CH"/>
        </w:rPr>
        <w:t>La loi précise notamment que ses dispositions ne s</w:t>
      </w:r>
      <w:r w:rsidR="00425386" w:rsidRPr="00731644">
        <w:rPr>
          <w:lang w:val="fr-CH"/>
        </w:rPr>
        <w:t>’</w:t>
      </w:r>
      <w:r w:rsidR="003D0627" w:rsidRPr="00731644">
        <w:rPr>
          <w:lang w:val="fr-CH"/>
        </w:rPr>
        <w:t>appliquent pas aux réfugiés</w:t>
      </w:r>
      <w:r w:rsidR="00F72EF2" w:rsidRPr="00731644">
        <w:rPr>
          <w:lang w:val="fr-CH"/>
        </w:rPr>
        <w:t xml:space="preserve"> </w:t>
      </w:r>
      <w:r w:rsidR="003D0627" w:rsidRPr="00731644">
        <w:rPr>
          <w:lang w:val="fr-CH"/>
        </w:rPr>
        <w:t xml:space="preserve">dont le statut est régi par la </w:t>
      </w:r>
      <w:r w:rsidR="003D0627" w:rsidRPr="00FC3369">
        <w:rPr>
          <w:i/>
          <w:lang w:val="fr-CH"/>
        </w:rPr>
        <w:t>loi relative à l</w:t>
      </w:r>
      <w:r w:rsidR="00425386" w:rsidRPr="00FC3369">
        <w:rPr>
          <w:i/>
          <w:lang w:val="fr-CH"/>
        </w:rPr>
        <w:t>’</w:t>
      </w:r>
      <w:r w:rsidR="003D0627" w:rsidRPr="00FC3369">
        <w:rPr>
          <w:i/>
          <w:lang w:val="fr-CH"/>
        </w:rPr>
        <w:t>asile</w:t>
      </w:r>
      <w:r w:rsidR="003D0627" w:rsidRPr="00731644">
        <w:rPr>
          <w:lang w:val="fr-CH"/>
        </w:rPr>
        <w:t xml:space="preserve"> (</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DC703A">
        <w:rPr>
          <w:lang w:val="fr-CH"/>
        </w:rPr>
        <w:t xml:space="preserve"> </w:t>
      </w:r>
      <w:r w:rsidR="005072A0">
        <w:rPr>
          <w:lang w:val="fr-CH"/>
        </w:rPr>
        <w:t>n</w:t>
      </w:r>
      <w:r w:rsidR="005072A0" w:rsidRPr="005072A0">
        <w:rPr>
          <w:vertAlign w:val="superscript"/>
          <w:lang w:val="fr-CH"/>
        </w:rPr>
        <w:t>o</w:t>
      </w:r>
      <w:r w:rsidR="005072A0">
        <w:rPr>
          <w:lang w:val="fr-CH"/>
        </w:rPr>
        <w:t> </w:t>
      </w:r>
      <w:r w:rsidR="004C7BF6" w:rsidRPr="00731644">
        <w:rPr>
          <w:lang w:val="fr-CH"/>
        </w:rPr>
        <w:t>45/06)</w:t>
      </w:r>
      <w:r w:rsidR="00D853F8" w:rsidRPr="00731644">
        <w:rPr>
          <w:lang w:val="fr-CH"/>
        </w:rPr>
        <w:t xml:space="preserve"> et</w:t>
      </w:r>
      <w:r w:rsidR="004C7BF6" w:rsidRPr="00731644">
        <w:rPr>
          <w:lang w:val="fr-CH"/>
        </w:rPr>
        <w:t xml:space="preserve"> </w:t>
      </w:r>
      <w:r w:rsidR="003D0627" w:rsidRPr="00731644">
        <w:rPr>
          <w:lang w:val="fr-CH"/>
        </w:rPr>
        <w:t>qui remplissent une des conditions suivantes</w:t>
      </w:r>
      <w:r w:rsidR="00F31DD5" w:rsidRPr="00731644">
        <w:rPr>
          <w:lang w:val="fr-CH"/>
        </w:rPr>
        <w:t>:</w:t>
      </w:r>
      <w:r w:rsidR="004C7BF6" w:rsidRPr="00731644">
        <w:rPr>
          <w:lang w:val="fr-CH"/>
        </w:rPr>
        <w:t xml:space="preserve"> </w:t>
      </w:r>
      <w:r w:rsidR="003D0627" w:rsidRPr="00731644">
        <w:rPr>
          <w:lang w:val="fr-CH"/>
        </w:rPr>
        <w:t>résider depuis trois</w:t>
      </w:r>
      <w:r w:rsidR="00976D48">
        <w:rPr>
          <w:lang w:val="fr-CH"/>
        </w:rPr>
        <w:t> ans</w:t>
      </w:r>
      <w:r w:rsidR="003D0627" w:rsidRPr="00731644">
        <w:rPr>
          <w:lang w:val="fr-CH"/>
        </w:rPr>
        <w:t xml:space="preserve"> au minimum au Monténégro</w:t>
      </w:r>
      <w:r w:rsidR="00F31DD5" w:rsidRPr="00731644">
        <w:rPr>
          <w:lang w:val="fr-CH"/>
        </w:rPr>
        <w:t>;</w:t>
      </w:r>
      <w:r w:rsidR="003D0627" w:rsidRPr="00731644">
        <w:rPr>
          <w:lang w:val="fr-CH"/>
        </w:rPr>
        <w:t xml:space="preserve"> être marié</w:t>
      </w:r>
      <w:r w:rsidR="00F72EF2" w:rsidRPr="00731644">
        <w:rPr>
          <w:lang w:val="fr-CH"/>
        </w:rPr>
        <w:t>(e)</w:t>
      </w:r>
      <w:r w:rsidR="003D0627" w:rsidRPr="00731644">
        <w:rPr>
          <w:lang w:val="fr-CH"/>
        </w:rPr>
        <w:t xml:space="preserve"> à un(e) ressortissant(e) monténégrin(e)</w:t>
      </w:r>
      <w:r w:rsidR="00F31DD5" w:rsidRPr="00731644">
        <w:rPr>
          <w:lang w:val="fr-CH"/>
        </w:rPr>
        <w:t>;</w:t>
      </w:r>
      <w:r w:rsidR="00AE700A" w:rsidRPr="00731644">
        <w:rPr>
          <w:lang w:val="fr-CH"/>
        </w:rPr>
        <w:t xml:space="preserve"> avoir un enfant de nationalité monténégrine. Les réfugiés qui satisfont à ces conditions et </w:t>
      </w:r>
      <w:r w:rsidR="00CB7658" w:rsidRPr="00731644">
        <w:rPr>
          <w:lang w:val="fr-CH"/>
        </w:rPr>
        <w:t>les personnes</w:t>
      </w:r>
      <w:r w:rsidR="00AE700A" w:rsidRPr="00731644">
        <w:rPr>
          <w:lang w:val="fr-CH"/>
        </w:rPr>
        <w:t xml:space="preserve"> qui bénéficient de la protection subsidiaire conformément à la</w:t>
      </w:r>
      <w:r w:rsidR="00AE700A" w:rsidRPr="00FC3369">
        <w:rPr>
          <w:i/>
          <w:lang w:val="fr-CH"/>
        </w:rPr>
        <w:t xml:space="preserve"> loi relative à l</w:t>
      </w:r>
      <w:r w:rsidR="00425386" w:rsidRPr="00FC3369">
        <w:rPr>
          <w:i/>
          <w:lang w:val="fr-CH"/>
        </w:rPr>
        <w:t>’</w:t>
      </w:r>
      <w:r w:rsidR="00AE700A" w:rsidRPr="00FC3369">
        <w:rPr>
          <w:i/>
          <w:lang w:val="fr-CH"/>
        </w:rPr>
        <w:t>asile</w:t>
      </w:r>
      <w:r w:rsidR="00AE700A" w:rsidRPr="00731644">
        <w:rPr>
          <w:lang w:val="fr-CH"/>
        </w:rPr>
        <w:t xml:space="preserve"> ont librement accès au marché du travail, à condition que l</w:t>
      </w:r>
      <w:r w:rsidR="00425386" w:rsidRPr="00731644">
        <w:rPr>
          <w:lang w:val="fr-CH"/>
        </w:rPr>
        <w:t>’</w:t>
      </w:r>
      <w:r w:rsidR="00AE700A" w:rsidRPr="00731644">
        <w:rPr>
          <w:lang w:val="fr-CH"/>
        </w:rPr>
        <w:t>Agence pour l</w:t>
      </w:r>
      <w:r w:rsidR="00425386" w:rsidRPr="00731644">
        <w:rPr>
          <w:lang w:val="fr-CH"/>
        </w:rPr>
        <w:t>’</w:t>
      </w:r>
      <w:r w:rsidR="00AE700A" w:rsidRPr="00731644">
        <w:rPr>
          <w:lang w:val="fr-CH"/>
        </w:rPr>
        <w:t>emploi leur délivre un permis de travail. Lorsqu</w:t>
      </w:r>
      <w:r w:rsidR="00425386" w:rsidRPr="00731644">
        <w:rPr>
          <w:lang w:val="fr-CH"/>
        </w:rPr>
        <w:t>’</w:t>
      </w:r>
      <w:r w:rsidR="00E759B3" w:rsidRPr="00731644">
        <w:rPr>
          <w:lang w:val="fr-CH"/>
        </w:rPr>
        <w:t>il</w:t>
      </w:r>
      <w:r w:rsidR="00AE700A" w:rsidRPr="00731644">
        <w:rPr>
          <w:lang w:val="fr-CH"/>
        </w:rPr>
        <w:t xml:space="preserve">s en sont titulaires, ces </w:t>
      </w:r>
      <w:r w:rsidR="00E759B3" w:rsidRPr="00731644">
        <w:rPr>
          <w:lang w:val="fr-CH"/>
        </w:rPr>
        <w:t>réfugiés</w:t>
      </w:r>
      <w:r w:rsidR="00AE700A" w:rsidRPr="00731644">
        <w:rPr>
          <w:lang w:val="fr-CH"/>
        </w:rPr>
        <w:t xml:space="preserve"> ont les mêmes droits que les Monténégrins</w:t>
      </w:r>
      <w:r w:rsidR="004F1932" w:rsidRPr="00731644">
        <w:rPr>
          <w:lang w:val="fr-CH"/>
        </w:rPr>
        <w:t xml:space="preserve"> </w:t>
      </w:r>
      <w:r w:rsidR="00E759B3" w:rsidRPr="00731644">
        <w:rPr>
          <w:lang w:val="fr-CH"/>
        </w:rPr>
        <w:t>sur le marché</w:t>
      </w:r>
      <w:r w:rsidR="004F1932" w:rsidRPr="00731644">
        <w:rPr>
          <w:lang w:val="fr-CH"/>
        </w:rPr>
        <w:t xml:space="preserve"> d</w:t>
      </w:r>
      <w:r w:rsidR="00E759B3" w:rsidRPr="00731644">
        <w:rPr>
          <w:lang w:val="fr-CH"/>
        </w:rPr>
        <w:t>u</w:t>
      </w:r>
      <w:r w:rsidR="004F1932" w:rsidRPr="00731644">
        <w:rPr>
          <w:lang w:val="fr-CH"/>
        </w:rPr>
        <w:t xml:space="preserve"> travail et </w:t>
      </w:r>
      <w:r w:rsidR="00596A23" w:rsidRPr="00731644">
        <w:rPr>
          <w:lang w:val="fr-CH"/>
        </w:rPr>
        <w:t xml:space="preserve">quand </w:t>
      </w:r>
      <w:r w:rsidR="00E759B3" w:rsidRPr="00731644">
        <w:rPr>
          <w:lang w:val="fr-CH"/>
        </w:rPr>
        <w:t>ils</w:t>
      </w:r>
      <w:r w:rsidR="004F1932" w:rsidRPr="00731644">
        <w:rPr>
          <w:lang w:val="fr-CH"/>
        </w:rPr>
        <w:t xml:space="preserve"> sont au chômage</w:t>
      </w:r>
      <w:r w:rsidR="004C7BF6" w:rsidRPr="00731644">
        <w:rPr>
          <w:lang w:val="fr-CH"/>
        </w:rPr>
        <w:t>.</w:t>
      </w:r>
    </w:p>
    <w:p w:rsidR="004C7BF6" w:rsidRPr="00731644" w:rsidRDefault="000B3ECF" w:rsidP="00B14D2B">
      <w:pPr>
        <w:pStyle w:val="SingleTxtG"/>
        <w:rPr>
          <w:lang w:val="fr-CH"/>
        </w:rPr>
      </w:pPr>
      <w:r w:rsidRPr="00731644">
        <w:rPr>
          <w:lang w:val="fr-CH"/>
        </w:rPr>
        <w:t>202.</w:t>
      </w:r>
      <w:r w:rsidRPr="00731644">
        <w:rPr>
          <w:lang w:val="fr-CH"/>
        </w:rPr>
        <w:tab/>
      </w:r>
      <w:r w:rsidR="00E759B3" w:rsidRPr="00731644">
        <w:rPr>
          <w:lang w:val="fr-CH"/>
        </w:rPr>
        <w:t xml:space="preserve">La nouvelle </w:t>
      </w:r>
      <w:r w:rsidR="00E759B3" w:rsidRPr="00FC3369">
        <w:rPr>
          <w:i/>
          <w:lang w:val="fr-CH"/>
        </w:rPr>
        <w:t>loi sur le travail</w:t>
      </w:r>
      <w:r w:rsidR="00F31DD5" w:rsidRPr="00731644">
        <w:rPr>
          <w:lang w:val="fr-CH"/>
        </w:rPr>
        <w:t xml:space="preserve"> </w:t>
      </w:r>
      <w:r w:rsidR="004C7BF6"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DC703A">
        <w:rPr>
          <w:lang w:val="fr-CH"/>
        </w:rPr>
        <w:t xml:space="preserve"> </w:t>
      </w:r>
      <w:r w:rsidR="005072A0">
        <w:rPr>
          <w:lang w:val="fr-CH"/>
        </w:rPr>
        <w:t>n</w:t>
      </w:r>
      <w:r w:rsidR="005072A0" w:rsidRPr="005072A0">
        <w:rPr>
          <w:vertAlign w:val="superscript"/>
          <w:lang w:val="fr-CH"/>
        </w:rPr>
        <w:t>o</w:t>
      </w:r>
      <w:r w:rsidR="005072A0">
        <w:rPr>
          <w:lang w:val="fr-CH"/>
        </w:rPr>
        <w:t> </w:t>
      </w:r>
      <w:r w:rsidR="004C7BF6" w:rsidRPr="00731644">
        <w:rPr>
          <w:lang w:val="fr-CH"/>
        </w:rPr>
        <w:t>49/08)</w:t>
      </w:r>
      <w:r w:rsidR="003472DA" w:rsidRPr="00731644">
        <w:rPr>
          <w:lang w:val="fr-CH"/>
        </w:rPr>
        <w:t xml:space="preserve"> est entrée en vigueur le </w:t>
      </w:r>
      <w:r w:rsidR="00F54C96">
        <w:rPr>
          <w:lang w:val="fr-CH"/>
        </w:rPr>
        <w:t>23 </w:t>
      </w:r>
      <w:r w:rsidR="003472DA" w:rsidRPr="00731644">
        <w:rPr>
          <w:lang w:val="fr-CH"/>
        </w:rPr>
        <w:t>août</w:t>
      </w:r>
      <w:r w:rsidR="004C7BF6" w:rsidRPr="00731644">
        <w:rPr>
          <w:lang w:val="fr-CH"/>
        </w:rPr>
        <w:t xml:space="preserve"> 2008</w:t>
      </w:r>
      <w:r w:rsidR="00F31DD5" w:rsidRPr="00731644">
        <w:rPr>
          <w:lang w:val="fr-CH"/>
        </w:rPr>
        <w:t>;</w:t>
      </w:r>
      <w:r w:rsidR="003472DA" w:rsidRPr="00731644">
        <w:rPr>
          <w:lang w:val="fr-CH"/>
        </w:rPr>
        <w:t xml:space="preserve"> elle assure l</w:t>
      </w:r>
      <w:r w:rsidR="00425386" w:rsidRPr="00731644">
        <w:rPr>
          <w:lang w:val="fr-CH"/>
        </w:rPr>
        <w:t>’</w:t>
      </w:r>
      <w:r w:rsidR="0083174F" w:rsidRPr="00731644">
        <w:rPr>
          <w:lang w:val="fr-CH"/>
        </w:rPr>
        <w:t>application</w:t>
      </w:r>
      <w:r w:rsidR="003472DA" w:rsidRPr="00731644">
        <w:rPr>
          <w:lang w:val="fr-CH"/>
        </w:rPr>
        <w:t xml:space="preserve"> des conventions et recommandations de l</w:t>
      </w:r>
      <w:r w:rsidR="00425386" w:rsidRPr="00731644">
        <w:rPr>
          <w:lang w:val="fr-CH"/>
        </w:rPr>
        <w:t>’</w:t>
      </w:r>
      <w:r w:rsidR="003472DA" w:rsidRPr="00731644">
        <w:rPr>
          <w:lang w:val="fr-CH"/>
        </w:rPr>
        <w:t>Organisation internationale du Travail que le Monténégro a ratifiées et de l</w:t>
      </w:r>
      <w:r w:rsidR="00425386" w:rsidRPr="00731644">
        <w:rPr>
          <w:lang w:val="fr-CH"/>
        </w:rPr>
        <w:t>’</w:t>
      </w:r>
      <w:r w:rsidR="003472DA" w:rsidRPr="00731644">
        <w:rPr>
          <w:lang w:val="fr-CH"/>
        </w:rPr>
        <w:t>acquis de l</w:t>
      </w:r>
      <w:r w:rsidR="00425386" w:rsidRPr="00731644">
        <w:rPr>
          <w:lang w:val="fr-CH"/>
        </w:rPr>
        <w:t>’</w:t>
      </w:r>
      <w:r w:rsidR="003472DA" w:rsidRPr="00731644">
        <w:rPr>
          <w:lang w:val="fr-CH"/>
        </w:rPr>
        <w:t>Union européenne</w:t>
      </w:r>
      <w:r w:rsidR="004C7BF6" w:rsidRPr="00731644">
        <w:rPr>
          <w:lang w:val="fr-CH"/>
        </w:rPr>
        <w:t>.</w:t>
      </w:r>
    </w:p>
    <w:p w:rsidR="004C7BF6" w:rsidRPr="00731644" w:rsidRDefault="000B3ECF" w:rsidP="00C15A9A">
      <w:pPr>
        <w:pStyle w:val="SingleTxtG"/>
        <w:rPr>
          <w:lang w:val="fr-CH"/>
        </w:rPr>
      </w:pPr>
      <w:r w:rsidRPr="00731644">
        <w:rPr>
          <w:lang w:val="fr-CH"/>
        </w:rPr>
        <w:t>203.</w:t>
      </w:r>
      <w:r w:rsidRPr="00731644">
        <w:rPr>
          <w:lang w:val="fr-CH"/>
        </w:rPr>
        <w:tab/>
      </w:r>
      <w:r w:rsidR="00E61777" w:rsidRPr="00731644">
        <w:rPr>
          <w:lang w:val="fr-CH"/>
        </w:rPr>
        <w:t>Tout en</w:t>
      </w:r>
      <w:r w:rsidR="00F31DD5" w:rsidRPr="00731644">
        <w:rPr>
          <w:lang w:val="fr-CH"/>
        </w:rPr>
        <w:t xml:space="preserve"> </w:t>
      </w:r>
      <w:r w:rsidR="00E61777" w:rsidRPr="00731644">
        <w:rPr>
          <w:lang w:val="fr-CH"/>
        </w:rPr>
        <w:t>assouplissant les relations entre empl</w:t>
      </w:r>
      <w:r w:rsidR="00F34F4E" w:rsidRPr="00731644">
        <w:rPr>
          <w:lang w:val="fr-CH"/>
        </w:rPr>
        <w:t>o</w:t>
      </w:r>
      <w:r w:rsidR="00E61777" w:rsidRPr="00731644">
        <w:rPr>
          <w:lang w:val="fr-CH"/>
        </w:rPr>
        <w:t>yeurs et salar</w:t>
      </w:r>
      <w:r w:rsidR="0083174F" w:rsidRPr="00731644">
        <w:rPr>
          <w:lang w:val="fr-CH"/>
        </w:rPr>
        <w:t>i</w:t>
      </w:r>
      <w:r w:rsidR="00E61777" w:rsidRPr="00731644">
        <w:rPr>
          <w:lang w:val="fr-CH"/>
        </w:rPr>
        <w:t xml:space="preserve">és sans cependant compromettre la protection de ces derniers, la nouvelle </w:t>
      </w:r>
      <w:r w:rsidR="00E61777" w:rsidRPr="004C0671">
        <w:rPr>
          <w:iCs/>
          <w:lang w:val="fr-CH"/>
        </w:rPr>
        <w:t xml:space="preserve">loi </w:t>
      </w:r>
      <w:r w:rsidR="00E759B3" w:rsidRPr="004C0671">
        <w:rPr>
          <w:iCs/>
          <w:lang w:val="fr-CH"/>
        </w:rPr>
        <w:t>sur le</w:t>
      </w:r>
      <w:r w:rsidR="00E61777" w:rsidRPr="004C0671">
        <w:rPr>
          <w:iCs/>
          <w:lang w:val="fr-CH"/>
        </w:rPr>
        <w:t xml:space="preserve"> travail </w:t>
      </w:r>
      <w:r w:rsidR="00E61777" w:rsidRPr="00731644">
        <w:rPr>
          <w:lang w:val="fr-CH"/>
        </w:rPr>
        <w:t>vise princip</w:t>
      </w:r>
      <w:r w:rsidR="00E759B3" w:rsidRPr="00731644">
        <w:rPr>
          <w:lang w:val="fr-CH"/>
        </w:rPr>
        <w:t>a</w:t>
      </w:r>
      <w:r w:rsidR="00E61777" w:rsidRPr="00731644">
        <w:rPr>
          <w:lang w:val="fr-CH"/>
        </w:rPr>
        <w:t>lement</w:t>
      </w:r>
      <w:r w:rsidR="00F31DD5" w:rsidRPr="00731644">
        <w:rPr>
          <w:lang w:val="fr-CH"/>
        </w:rPr>
        <w:t>:</w:t>
      </w:r>
      <w:r w:rsidR="00E61777" w:rsidRPr="00731644">
        <w:rPr>
          <w:lang w:val="fr-CH"/>
        </w:rPr>
        <w:t xml:space="preserve"> à assurer l</w:t>
      </w:r>
      <w:r w:rsidR="00425386" w:rsidRPr="00731644">
        <w:rPr>
          <w:lang w:val="fr-CH"/>
        </w:rPr>
        <w:t>’</w:t>
      </w:r>
      <w:r w:rsidR="004C7BF6" w:rsidRPr="00731644">
        <w:rPr>
          <w:lang w:val="fr-CH"/>
        </w:rPr>
        <w:t xml:space="preserve">application </w:t>
      </w:r>
      <w:r w:rsidR="00E61777" w:rsidRPr="00731644">
        <w:rPr>
          <w:lang w:val="fr-CH"/>
        </w:rPr>
        <w:t>de la réglementation pertinente de l</w:t>
      </w:r>
      <w:r w:rsidR="00425386" w:rsidRPr="00731644">
        <w:rPr>
          <w:lang w:val="fr-CH"/>
        </w:rPr>
        <w:t>’</w:t>
      </w:r>
      <w:r w:rsidR="00E61777" w:rsidRPr="00731644">
        <w:rPr>
          <w:lang w:val="fr-CH"/>
        </w:rPr>
        <w:t xml:space="preserve">Union </w:t>
      </w:r>
      <w:r w:rsidR="0083174F" w:rsidRPr="00731644">
        <w:rPr>
          <w:lang w:val="fr-CH"/>
        </w:rPr>
        <w:t>européenne</w:t>
      </w:r>
      <w:r w:rsidR="00F31DD5" w:rsidRPr="00731644">
        <w:rPr>
          <w:lang w:val="fr-CH"/>
        </w:rPr>
        <w:t>;</w:t>
      </w:r>
      <w:r w:rsidR="00E61777" w:rsidRPr="00731644">
        <w:rPr>
          <w:lang w:val="fr-CH"/>
        </w:rPr>
        <w:t xml:space="preserve"> à </w:t>
      </w:r>
      <w:r w:rsidR="00E759B3" w:rsidRPr="00731644">
        <w:rPr>
          <w:lang w:val="fr-CH"/>
        </w:rPr>
        <w:t xml:space="preserve">apporter les précisions nécessaires pour </w:t>
      </w:r>
      <w:r w:rsidR="00E61777" w:rsidRPr="00731644">
        <w:rPr>
          <w:lang w:val="fr-CH"/>
        </w:rPr>
        <w:t>assurer une application cohérente des conventions et recommandations de l</w:t>
      </w:r>
      <w:r w:rsidR="00425386" w:rsidRPr="00731644">
        <w:rPr>
          <w:lang w:val="fr-CH"/>
        </w:rPr>
        <w:t>’</w:t>
      </w:r>
      <w:r w:rsidR="00E61777" w:rsidRPr="00731644">
        <w:rPr>
          <w:lang w:val="fr-CH"/>
        </w:rPr>
        <w:t>OIT qui ont été ratifiées</w:t>
      </w:r>
      <w:r w:rsidR="00F31DD5" w:rsidRPr="00731644">
        <w:rPr>
          <w:lang w:val="fr-CH"/>
        </w:rPr>
        <w:t>;</w:t>
      </w:r>
      <w:r w:rsidR="00E61777" w:rsidRPr="00731644">
        <w:rPr>
          <w:lang w:val="fr-CH"/>
        </w:rPr>
        <w:t xml:space="preserve"> à promouvoir le </w:t>
      </w:r>
      <w:r w:rsidR="00F34F4E" w:rsidRPr="00731644">
        <w:rPr>
          <w:lang w:val="fr-CH"/>
        </w:rPr>
        <w:t>di</w:t>
      </w:r>
      <w:r w:rsidR="00E61777" w:rsidRPr="00731644">
        <w:rPr>
          <w:lang w:val="fr-CH"/>
        </w:rPr>
        <w:t>alogue social en développ</w:t>
      </w:r>
      <w:r w:rsidR="00596A23" w:rsidRPr="00731644">
        <w:rPr>
          <w:lang w:val="fr-CH"/>
        </w:rPr>
        <w:t>a</w:t>
      </w:r>
      <w:r w:rsidR="00E61777" w:rsidRPr="00731644">
        <w:rPr>
          <w:lang w:val="fr-CH"/>
        </w:rPr>
        <w:t xml:space="preserve">nt les négociations collectives </w:t>
      </w:r>
      <w:r w:rsidR="004C7BF6" w:rsidRPr="00731644">
        <w:rPr>
          <w:lang w:val="fr-CH"/>
        </w:rPr>
        <w:t>(</w:t>
      </w:r>
      <w:r w:rsidR="00F31DD5" w:rsidRPr="00731644">
        <w:rPr>
          <w:lang w:val="fr-CH"/>
        </w:rPr>
        <w:t>art. </w:t>
      </w:r>
      <w:r w:rsidR="004C7BF6" w:rsidRPr="00731644">
        <w:rPr>
          <w:lang w:val="fr-CH"/>
        </w:rPr>
        <w:t xml:space="preserve">147 </w:t>
      </w:r>
      <w:r w:rsidR="00E61777" w:rsidRPr="00731644">
        <w:rPr>
          <w:lang w:val="fr-CH"/>
        </w:rPr>
        <w:t>à</w:t>
      </w:r>
      <w:r w:rsidR="004C7BF6" w:rsidRPr="00731644">
        <w:rPr>
          <w:lang w:val="fr-CH"/>
        </w:rPr>
        <w:t xml:space="preserve"> 153)</w:t>
      </w:r>
      <w:r w:rsidR="00F31DD5" w:rsidRPr="00731644">
        <w:rPr>
          <w:lang w:val="fr-CH"/>
        </w:rPr>
        <w:t>;</w:t>
      </w:r>
      <w:r w:rsidR="004C7BF6" w:rsidRPr="00731644">
        <w:rPr>
          <w:lang w:val="fr-CH"/>
        </w:rPr>
        <w:t xml:space="preserve"> </w:t>
      </w:r>
      <w:r w:rsidR="00E61777" w:rsidRPr="00731644">
        <w:rPr>
          <w:lang w:val="fr-CH"/>
        </w:rPr>
        <w:t xml:space="preserve">à </w:t>
      </w:r>
      <w:r w:rsidR="00F34F4E" w:rsidRPr="00731644">
        <w:rPr>
          <w:lang w:val="fr-CH"/>
        </w:rPr>
        <w:t>faire en sorte</w:t>
      </w:r>
      <w:r w:rsidR="00F31DD5" w:rsidRPr="00731644">
        <w:rPr>
          <w:lang w:val="fr-CH"/>
        </w:rPr>
        <w:t xml:space="preserve"> </w:t>
      </w:r>
      <w:r w:rsidR="00E61777" w:rsidRPr="00731644">
        <w:rPr>
          <w:lang w:val="fr-CH"/>
        </w:rPr>
        <w:t>que les salariés soient informés de toutes les questions ayant trait à leur</w:t>
      </w:r>
      <w:r w:rsidR="00E759B3" w:rsidRPr="00731644">
        <w:rPr>
          <w:lang w:val="fr-CH"/>
        </w:rPr>
        <w:t>s</w:t>
      </w:r>
      <w:r w:rsidR="00E61777" w:rsidRPr="00731644">
        <w:rPr>
          <w:lang w:val="fr-CH"/>
        </w:rPr>
        <w:t xml:space="preserve"> </w:t>
      </w:r>
      <w:r w:rsidR="00E759B3" w:rsidRPr="00731644">
        <w:rPr>
          <w:lang w:val="fr-CH"/>
        </w:rPr>
        <w:t>ressources</w:t>
      </w:r>
      <w:r w:rsidR="00E61777" w:rsidRPr="00731644">
        <w:rPr>
          <w:lang w:val="fr-CH"/>
        </w:rPr>
        <w:t xml:space="preserve"> et à leur </w:t>
      </w:r>
      <w:r w:rsidR="00E759B3" w:rsidRPr="00731644">
        <w:rPr>
          <w:lang w:val="fr-CH"/>
        </w:rPr>
        <w:t>situat</w:t>
      </w:r>
      <w:r w:rsidR="00E61777" w:rsidRPr="00731644">
        <w:rPr>
          <w:lang w:val="fr-CH"/>
        </w:rPr>
        <w:t xml:space="preserve">ion sociale </w:t>
      </w:r>
      <w:r w:rsidR="004C7BF6" w:rsidRPr="00731644">
        <w:rPr>
          <w:lang w:val="fr-CH"/>
        </w:rPr>
        <w:t>(</w:t>
      </w:r>
      <w:r w:rsidR="00AB4B08" w:rsidRPr="00731644">
        <w:rPr>
          <w:lang w:val="fr-CH"/>
        </w:rPr>
        <w:t>art.</w:t>
      </w:r>
      <w:r w:rsidR="00FC3369">
        <w:rPr>
          <w:lang w:val="fr-CH"/>
        </w:rPr>
        <w:t> </w:t>
      </w:r>
      <w:r w:rsidR="004C7BF6" w:rsidRPr="00731644">
        <w:rPr>
          <w:lang w:val="fr-CH"/>
        </w:rPr>
        <w:t>158)</w:t>
      </w:r>
      <w:r w:rsidR="00F31DD5" w:rsidRPr="00731644">
        <w:rPr>
          <w:lang w:val="fr-CH"/>
        </w:rPr>
        <w:t>;</w:t>
      </w:r>
      <w:r w:rsidR="004C7BF6" w:rsidRPr="00731644">
        <w:rPr>
          <w:lang w:val="fr-CH"/>
        </w:rPr>
        <w:t xml:space="preserve"> </w:t>
      </w:r>
      <w:r w:rsidR="00E61777" w:rsidRPr="00731644">
        <w:rPr>
          <w:lang w:val="fr-CH"/>
        </w:rPr>
        <w:t xml:space="preserve">à établir un équilibre entre </w:t>
      </w:r>
      <w:r w:rsidR="00F34F4E" w:rsidRPr="00731644">
        <w:rPr>
          <w:lang w:val="fr-CH"/>
        </w:rPr>
        <w:t>les droits et les intérêts des salariés, d</w:t>
      </w:r>
      <w:r w:rsidR="00425386" w:rsidRPr="00731644">
        <w:rPr>
          <w:lang w:val="fr-CH"/>
        </w:rPr>
        <w:t>’</w:t>
      </w:r>
      <w:r w:rsidR="00F34F4E" w:rsidRPr="00731644">
        <w:rPr>
          <w:lang w:val="fr-CH"/>
        </w:rPr>
        <w:t>une part, et ceux des employeurs, d</w:t>
      </w:r>
      <w:r w:rsidR="00425386" w:rsidRPr="00731644">
        <w:rPr>
          <w:lang w:val="fr-CH"/>
        </w:rPr>
        <w:t>’</w:t>
      </w:r>
      <w:r w:rsidR="00F34F4E" w:rsidRPr="00731644">
        <w:rPr>
          <w:lang w:val="fr-CH"/>
        </w:rPr>
        <w:t>aut</w:t>
      </w:r>
      <w:r w:rsidR="00FD3181" w:rsidRPr="00731644">
        <w:rPr>
          <w:lang w:val="fr-CH"/>
        </w:rPr>
        <w:t>r</w:t>
      </w:r>
      <w:r w:rsidR="00F34F4E" w:rsidRPr="00731644">
        <w:rPr>
          <w:lang w:val="fr-CH"/>
        </w:rPr>
        <w:t>e part</w:t>
      </w:r>
      <w:r w:rsidR="00F31DD5" w:rsidRPr="00731644">
        <w:rPr>
          <w:lang w:val="fr-CH"/>
        </w:rPr>
        <w:t>;</w:t>
      </w:r>
      <w:r w:rsidR="004C7BF6" w:rsidRPr="00731644">
        <w:rPr>
          <w:lang w:val="fr-CH"/>
        </w:rPr>
        <w:t xml:space="preserve"> </w:t>
      </w:r>
      <w:r w:rsidR="00F34F4E" w:rsidRPr="00731644">
        <w:rPr>
          <w:lang w:val="fr-CH"/>
        </w:rPr>
        <w:t>à lutter contre la</w:t>
      </w:r>
      <w:r w:rsidR="004C7BF6" w:rsidRPr="00731644">
        <w:rPr>
          <w:lang w:val="fr-CH"/>
        </w:rPr>
        <w:t xml:space="preserve"> discrimination direct</w:t>
      </w:r>
      <w:r w:rsidR="00F34F4E" w:rsidRPr="00731644">
        <w:rPr>
          <w:lang w:val="fr-CH"/>
        </w:rPr>
        <w:t>e</w:t>
      </w:r>
      <w:r w:rsidR="004C7BF6" w:rsidRPr="00731644">
        <w:rPr>
          <w:lang w:val="fr-CH"/>
        </w:rPr>
        <w:t xml:space="preserve"> </w:t>
      </w:r>
      <w:r w:rsidR="00F34F4E" w:rsidRPr="00731644">
        <w:rPr>
          <w:lang w:val="fr-CH"/>
        </w:rPr>
        <w:t>et</w:t>
      </w:r>
      <w:r w:rsidR="004C7BF6" w:rsidRPr="00731644">
        <w:rPr>
          <w:lang w:val="fr-CH"/>
        </w:rPr>
        <w:t xml:space="preserve"> indirect</w:t>
      </w:r>
      <w:r w:rsidR="00F34F4E" w:rsidRPr="00731644">
        <w:rPr>
          <w:lang w:val="fr-CH"/>
        </w:rPr>
        <w:t xml:space="preserve">e </w:t>
      </w:r>
      <w:r w:rsidR="00596A23" w:rsidRPr="00731644">
        <w:rPr>
          <w:lang w:val="fr-CH"/>
        </w:rPr>
        <w:t>envers l</w:t>
      </w:r>
      <w:r w:rsidR="00F34F4E" w:rsidRPr="00731644">
        <w:rPr>
          <w:lang w:val="fr-CH"/>
        </w:rPr>
        <w:t xml:space="preserve">es salariés et </w:t>
      </w:r>
      <w:r w:rsidR="00596A23" w:rsidRPr="00731644">
        <w:rPr>
          <w:lang w:val="fr-CH"/>
        </w:rPr>
        <w:t>l</w:t>
      </w:r>
      <w:r w:rsidR="00F34F4E" w:rsidRPr="00731644">
        <w:rPr>
          <w:lang w:val="fr-CH"/>
        </w:rPr>
        <w:t>es demandeurs d</w:t>
      </w:r>
      <w:r w:rsidR="00425386" w:rsidRPr="00731644">
        <w:rPr>
          <w:lang w:val="fr-CH"/>
        </w:rPr>
        <w:t>’</w:t>
      </w:r>
      <w:r w:rsidR="00F34F4E" w:rsidRPr="00731644">
        <w:rPr>
          <w:lang w:val="fr-CH"/>
        </w:rPr>
        <w:t>emploi</w:t>
      </w:r>
      <w:r w:rsidR="004C7BF6" w:rsidRPr="00731644">
        <w:rPr>
          <w:lang w:val="fr-CH"/>
        </w:rPr>
        <w:t xml:space="preserve"> </w:t>
      </w:r>
      <w:r w:rsidR="00FD3181" w:rsidRPr="00731644">
        <w:rPr>
          <w:lang w:val="fr-CH"/>
        </w:rPr>
        <w:t>(</w:t>
      </w:r>
      <w:r w:rsidR="00F31DD5" w:rsidRPr="00731644">
        <w:rPr>
          <w:lang w:val="fr-CH"/>
        </w:rPr>
        <w:t>art. </w:t>
      </w:r>
      <w:r w:rsidR="004C7BF6" w:rsidRPr="00731644">
        <w:rPr>
          <w:lang w:val="fr-CH"/>
        </w:rPr>
        <w:t xml:space="preserve">5 </w:t>
      </w:r>
      <w:r w:rsidR="00F34F4E" w:rsidRPr="00731644">
        <w:rPr>
          <w:lang w:val="fr-CH"/>
        </w:rPr>
        <w:t>à</w:t>
      </w:r>
      <w:r w:rsidR="004C7BF6" w:rsidRPr="00731644">
        <w:rPr>
          <w:lang w:val="fr-CH"/>
        </w:rPr>
        <w:t xml:space="preserve"> 10)</w:t>
      </w:r>
      <w:r w:rsidR="00F31DD5" w:rsidRPr="00731644">
        <w:rPr>
          <w:lang w:val="fr-CH"/>
        </w:rPr>
        <w:t>;</w:t>
      </w:r>
      <w:r w:rsidR="004C7BF6" w:rsidRPr="00731644">
        <w:rPr>
          <w:lang w:val="fr-CH"/>
        </w:rPr>
        <w:t xml:space="preserve"> </w:t>
      </w:r>
      <w:r w:rsidR="00F34F4E" w:rsidRPr="00731644">
        <w:rPr>
          <w:lang w:val="fr-CH"/>
        </w:rPr>
        <w:t>à mieux préciser le principe de l</w:t>
      </w:r>
      <w:r w:rsidR="00425386" w:rsidRPr="00731644">
        <w:rPr>
          <w:lang w:val="fr-CH"/>
        </w:rPr>
        <w:t>’</w:t>
      </w:r>
      <w:r w:rsidR="00F34F4E" w:rsidRPr="00731644">
        <w:rPr>
          <w:lang w:val="fr-CH"/>
        </w:rPr>
        <w:t xml:space="preserve">égalité de salaire des hommes et des femmes </w:t>
      </w:r>
      <w:r w:rsidR="004C7BF6" w:rsidRPr="00731644">
        <w:rPr>
          <w:lang w:val="fr-CH"/>
        </w:rPr>
        <w:t>(</w:t>
      </w:r>
      <w:r w:rsidR="00F31DD5" w:rsidRPr="00731644">
        <w:rPr>
          <w:lang w:val="fr-CH"/>
        </w:rPr>
        <w:t>art. </w:t>
      </w:r>
      <w:r w:rsidR="004C7BF6" w:rsidRPr="00731644">
        <w:rPr>
          <w:lang w:val="fr-CH"/>
        </w:rPr>
        <w:t>15</w:t>
      </w:r>
      <w:r w:rsidR="00AB4B08" w:rsidRPr="00731644">
        <w:rPr>
          <w:lang w:val="fr-CH"/>
        </w:rPr>
        <w:t>,</w:t>
      </w:r>
      <w:r w:rsidR="004C7BF6" w:rsidRPr="00731644">
        <w:rPr>
          <w:lang w:val="fr-CH"/>
        </w:rPr>
        <w:t xml:space="preserve"> </w:t>
      </w:r>
      <w:r w:rsidR="002061AB">
        <w:rPr>
          <w:lang w:val="fr-CH"/>
        </w:rPr>
        <w:t>par. </w:t>
      </w:r>
      <w:r w:rsidR="004C7BF6" w:rsidRPr="00731644">
        <w:rPr>
          <w:lang w:val="fr-CH"/>
        </w:rPr>
        <w:t>2);</w:t>
      </w:r>
      <w:r w:rsidR="00F34F4E" w:rsidRPr="00731644">
        <w:rPr>
          <w:lang w:val="fr-CH"/>
        </w:rPr>
        <w:t xml:space="preserve"> à </w:t>
      </w:r>
      <w:r w:rsidR="00FD3181" w:rsidRPr="00731644">
        <w:rPr>
          <w:lang w:val="fr-CH"/>
        </w:rPr>
        <w:t>réglementer</w:t>
      </w:r>
      <w:r w:rsidR="00F34F4E" w:rsidRPr="00731644">
        <w:rPr>
          <w:lang w:val="fr-CH"/>
        </w:rPr>
        <w:t xml:space="preserve"> le droit des salariés de se défendre en cas de licenciement</w:t>
      </w:r>
      <w:r w:rsidR="004C7BF6" w:rsidRPr="00731644">
        <w:rPr>
          <w:lang w:val="fr-CH"/>
        </w:rPr>
        <w:t xml:space="preserve"> (</w:t>
      </w:r>
      <w:r w:rsidR="00F31DD5" w:rsidRPr="00731644">
        <w:rPr>
          <w:lang w:val="fr-CH"/>
        </w:rPr>
        <w:t>art. </w:t>
      </w:r>
      <w:r w:rsidR="004C7BF6" w:rsidRPr="00731644">
        <w:rPr>
          <w:lang w:val="fr-CH"/>
        </w:rPr>
        <w:t>143), etc.</w:t>
      </w:r>
    </w:p>
    <w:p w:rsidR="00FA735A" w:rsidRPr="00731644" w:rsidRDefault="000B3ECF" w:rsidP="00D53B48">
      <w:pPr>
        <w:pStyle w:val="SingleTxtG"/>
        <w:rPr>
          <w:lang w:val="fr-CH"/>
        </w:rPr>
      </w:pPr>
      <w:bookmarkStart w:id="3" w:name="SADRZAJ_014"/>
      <w:r w:rsidRPr="00731644">
        <w:rPr>
          <w:lang w:val="fr-CH"/>
        </w:rPr>
        <w:t>204.</w:t>
      </w:r>
      <w:r w:rsidRPr="00731644">
        <w:rPr>
          <w:lang w:val="fr-CH"/>
        </w:rPr>
        <w:tab/>
      </w:r>
      <w:r w:rsidR="00F34F4E" w:rsidRPr="00731644">
        <w:rPr>
          <w:lang w:val="fr-CH"/>
        </w:rPr>
        <w:t xml:space="preserve">La </w:t>
      </w:r>
      <w:r w:rsidR="00F34F4E" w:rsidRPr="00937509">
        <w:rPr>
          <w:iCs/>
          <w:lang w:val="fr-CH"/>
        </w:rPr>
        <w:t xml:space="preserve">loi </w:t>
      </w:r>
      <w:r w:rsidR="00FD3181" w:rsidRPr="00937509">
        <w:rPr>
          <w:iCs/>
          <w:lang w:val="fr-CH"/>
        </w:rPr>
        <w:t>sur le</w:t>
      </w:r>
      <w:r w:rsidR="00F34F4E" w:rsidRPr="00937509">
        <w:rPr>
          <w:iCs/>
          <w:lang w:val="fr-CH"/>
        </w:rPr>
        <w:t xml:space="preserve"> travail </w:t>
      </w:r>
      <w:r w:rsidR="00F34F4E" w:rsidRPr="00731644">
        <w:rPr>
          <w:lang w:val="fr-CH"/>
        </w:rPr>
        <w:t xml:space="preserve">contient un certain nombre de </w:t>
      </w:r>
      <w:r w:rsidR="0083174F" w:rsidRPr="00731644">
        <w:rPr>
          <w:lang w:val="fr-CH"/>
        </w:rPr>
        <w:t>dispositions</w:t>
      </w:r>
      <w:r w:rsidR="00F31DD5" w:rsidRPr="00731644">
        <w:rPr>
          <w:lang w:val="fr-CH"/>
        </w:rPr>
        <w:t xml:space="preserve"> </w:t>
      </w:r>
      <w:r w:rsidR="00F34F4E" w:rsidRPr="00731644">
        <w:rPr>
          <w:lang w:val="fr-CH"/>
        </w:rPr>
        <w:t>concernant la prohib</w:t>
      </w:r>
      <w:r w:rsidR="00FD3181" w:rsidRPr="00731644">
        <w:rPr>
          <w:lang w:val="fr-CH"/>
        </w:rPr>
        <w:t>i</w:t>
      </w:r>
      <w:r w:rsidR="00F34F4E" w:rsidRPr="00731644">
        <w:rPr>
          <w:lang w:val="fr-CH"/>
        </w:rPr>
        <w:t>tion de la discrimination.</w:t>
      </w:r>
      <w:r w:rsidR="00F31DD5" w:rsidRPr="00731644">
        <w:rPr>
          <w:lang w:val="fr-CH"/>
        </w:rPr>
        <w:t xml:space="preserve"> </w:t>
      </w:r>
      <w:r w:rsidR="00F34F4E" w:rsidRPr="00731644">
        <w:rPr>
          <w:lang w:val="fr-CH"/>
        </w:rPr>
        <w:t xml:space="preserve">Ainsi, </w:t>
      </w:r>
      <w:r w:rsidR="00374D76" w:rsidRPr="00731644">
        <w:rPr>
          <w:lang w:val="fr-CH"/>
        </w:rPr>
        <w:t>l</w:t>
      </w:r>
      <w:r w:rsidR="00425386" w:rsidRPr="00731644">
        <w:rPr>
          <w:lang w:val="fr-CH"/>
        </w:rPr>
        <w:t>’</w:t>
      </w:r>
      <w:r w:rsidR="001753EC">
        <w:rPr>
          <w:lang w:val="fr-CH"/>
        </w:rPr>
        <w:t>article </w:t>
      </w:r>
      <w:r w:rsidR="00F34F4E" w:rsidRPr="00731644">
        <w:rPr>
          <w:lang w:val="fr-CH"/>
        </w:rPr>
        <w:t>5</w:t>
      </w:r>
      <w:r w:rsidR="004C7BF6" w:rsidRPr="00731644">
        <w:rPr>
          <w:lang w:val="fr-CH"/>
        </w:rPr>
        <w:t xml:space="preserve"> </w:t>
      </w:r>
      <w:r w:rsidR="00F34F4E" w:rsidRPr="00731644">
        <w:rPr>
          <w:lang w:val="fr-CH"/>
        </w:rPr>
        <w:t>interdit d</w:t>
      </w:r>
      <w:r w:rsidR="00425386" w:rsidRPr="00731644">
        <w:rPr>
          <w:lang w:val="fr-CH"/>
        </w:rPr>
        <w:t>’</w:t>
      </w:r>
      <w:r w:rsidR="00F34F4E" w:rsidRPr="00731644">
        <w:rPr>
          <w:lang w:val="fr-CH"/>
        </w:rPr>
        <w:t>exercer à l</w:t>
      </w:r>
      <w:r w:rsidR="00425386" w:rsidRPr="00731644">
        <w:rPr>
          <w:lang w:val="fr-CH"/>
        </w:rPr>
        <w:t>’</w:t>
      </w:r>
      <w:r w:rsidR="00F34F4E" w:rsidRPr="00731644">
        <w:rPr>
          <w:lang w:val="fr-CH"/>
        </w:rPr>
        <w:t>égard des demandeurs d</w:t>
      </w:r>
      <w:r w:rsidR="00425386" w:rsidRPr="00731644">
        <w:rPr>
          <w:lang w:val="fr-CH"/>
        </w:rPr>
        <w:t>’</w:t>
      </w:r>
      <w:r w:rsidR="00F34F4E" w:rsidRPr="00731644">
        <w:rPr>
          <w:lang w:val="fr-CH"/>
        </w:rPr>
        <w:t xml:space="preserve">emploi et des salariés </w:t>
      </w:r>
      <w:r w:rsidR="00FA735A" w:rsidRPr="00731644">
        <w:rPr>
          <w:lang w:val="fr-CH"/>
        </w:rPr>
        <w:t>une discrimination directe ou indirecte fondée sur le sexe, l</w:t>
      </w:r>
      <w:r w:rsidR="00425386" w:rsidRPr="00731644">
        <w:rPr>
          <w:lang w:val="fr-CH"/>
        </w:rPr>
        <w:t>’</w:t>
      </w:r>
      <w:r w:rsidR="00FA735A" w:rsidRPr="00731644">
        <w:rPr>
          <w:lang w:val="fr-CH"/>
        </w:rPr>
        <w:t xml:space="preserve">origine, la langue, la </w:t>
      </w:r>
      <w:r w:rsidR="004C7BF6" w:rsidRPr="00731644">
        <w:rPr>
          <w:lang w:val="fr-CH"/>
        </w:rPr>
        <w:t xml:space="preserve">race, </w:t>
      </w:r>
      <w:r w:rsidR="00FA735A" w:rsidRPr="00731644">
        <w:rPr>
          <w:lang w:val="fr-CH"/>
        </w:rPr>
        <w:t>la couleur</w:t>
      </w:r>
      <w:r w:rsidR="004C7BF6" w:rsidRPr="00731644">
        <w:rPr>
          <w:lang w:val="fr-CH"/>
        </w:rPr>
        <w:t>,</w:t>
      </w:r>
      <w:r w:rsidR="00FD3181" w:rsidRPr="00731644">
        <w:rPr>
          <w:lang w:val="fr-CH"/>
        </w:rPr>
        <w:t xml:space="preserve"> </w:t>
      </w:r>
      <w:r w:rsidR="00FA735A" w:rsidRPr="00731644">
        <w:rPr>
          <w:lang w:val="fr-CH"/>
        </w:rPr>
        <w:t>l</w:t>
      </w:r>
      <w:r w:rsidR="00425386" w:rsidRPr="00731644">
        <w:rPr>
          <w:lang w:val="fr-CH"/>
        </w:rPr>
        <w:t>’</w:t>
      </w:r>
      <w:r w:rsidR="00FA735A" w:rsidRPr="00731644">
        <w:rPr>
          <w:lang w:val="fr-CH"/>
        </w:rPr>
        <w:t>â</w:t>
      </w:r>
      <w:r w:rsidR="004C7BF6" w:rsidRPr="00731644">
        <w:rPr>
          <w:lang w:val="fr-CH"/>
        </w:rPr>
        <w:t xml:space="preserve">ge, </w:t>
      </w:r>
      <w:r w:rsidR="00FA735A" w:rsidRPr="00731644">
        <w:rPr>
          <w:lang w:val="fr-CH"/>
        </w:rPr>
        <w:t>la grossesse, l</w:t>
      </w:r>
      <w:r w:rsidR="00425386" w:rsidRPr="00731644">
        <w:rPr>
          <w:lang w:val="fr-CH"/>
        </w:rPr>
        <w:t>’</w:t>
      </w:r>
      <w:r w:rsidR="00FA735A" w:rsidRPr="00731644">
        <w:rPr>
          <w:lang w:val="fr-CH"/>
        </w:rPr>
        <w:t xml:space="preserve">état de santé ou </w:t>
      </w:r>
      <w:r w:rsidR="00FD3181" w:rsidRPr="00731644">
        <w:rPr>
          <w:lang w:val="fr-CH"/>
        </w:rPr>
        <w:t>le handicap</w:t>
      </w:r>
      <w:r w:rsidR="00FA735A" w:rsidRPr="00731644">
        <w:rPr>
          <w:lang w:val="fr-CH"/>
        </w:rPr>
        <w:t>, la nationalité, la situation matrimoniale</w:t>
      </w:r>
      <w:r w:rsidR="004C7BF6" w:rsidRPr="00731644">
        <w:rPr>
          <w:lang w:val="fr-CH"/>
        </w:rPr>
        <w:t xml:space="preserve">, </w:t>
      </w:r>
      <w:r w:rsidR="00FA735A" w:rsidRPr="00731644">
        <w:rPr>
          <w:lang w:val="fr-CH"/>
        </w:rPr>
        <w:t xml:space="preserve">les responsabilités </w:t>
      </w:r>
      <w:r w:rsidR="004C7BF6" w:rsidRPr="00731644">
        <w:rPr>
          <w:lang w:val="fr-CH"/>
        </w:rPr>
        <w:t>famil</w:t>
      </w:r>
      <w:r w:rsidR="00FA735A" w:rsidRPr="00731644">
        <w:rPr>
          <w:lang w:val="fr-CH"/>
        </w:rPr>
        <w:t>iales, l</w:t>
      </w:r>
      <w:r w:rsidR="00425386" w:rsidRPr="00731644">
        <w:rPr>
          <w:lang w:val="fr-CH"/>
        </w:rPr>
        <w:t>’</w:t>
      </w:r>
      <w:r w:rsidR="004C7BF6" w:rsidRPr="00731644">
        <w:rPr>
          <w:lang w:val="fr-CH"/>
        </w:rPr>
        <w:t>orientation</w:t>
      </w:r>
      <w:r w:rsidR="00FA735A" w:rsidRPr="00731644">
        <w:rPr>
          <w:lang w:val="fr-CH"/>
        </w:rPr>
        <w:t xml:space="preserve"> sexuelle, les opinions </w:t>
      </w:r>
      <w:r w:rsidR="004C7BF6" w:rsidRPr="00731644">
        <w:rPr>
          <w:lang w:val="fr-CH"/>
        </w:rPr>
        <w:t>politi</w:t>
      </w:r>
      <w:r w:rsidR="00FA735A" w:rsidRPr="00731644">
        <w:rPr>
          <w:lang w:val="fr-CH"/>
        </w:rPr>
        <w:t>ques ou autres, l</w:t>
      </w:r>
      <w:r w:rsidR="00425386" w:rsidRPr="00731644">
        <w:rPr>
          <w:lang w:val="fr-CH"/>
        </w:rPr>
        <w:t>’</w:t>
      </w:r>
      <w:r w:rsidR="00FA735A" w:rsidRPr="00731644">
        <w:rPr>
          <w:lang w:val="fr-CH"/>
        </w:rPr>
        <w:t xml:space="preserve">origine sociale, la </w:t>
      </w:r>
      <w:r w:rsidR="008B5F71" w:rsidRPr="00731644">
        <w:rPr>
          <w:lang w:val="fr-CH"/>
        </w:rPr>
        <w:t>fortune</w:t>
      </w:r>
      <w:r w:rsidR="00FA735A" w:rsidRPr="00731644">
        <w:rPr>
          <w:lang w:val="fr-CH"/>
        </w:rPr>
        <w:t>, l</w:t>
      </w:r>
      <w:r w:rsidR="00425386" w:rsidRPr="00731644">
        <w:rPr>
          <w:lang w:val="fr-CH"/>
        </w:rPr>
        <w:t>’</w:t>
      </w:r>
      <w:r w:rsidR="00FA735A" w:rsidRPr="00731644">
        <w:rPr>
          <w:lang w:val="fr-CH"/>
        </w:rPr>
        <w:t xml:space="preserve">affiliation à un parti ou a un syndicat, ou toute autre caractéristique personnelle. </w:t>
      </w:r>
      <w:bookmarkEnd w:id="3"/>
    </w:p>
    <w:p w:rsidR="004C7BF6" w:rsidRPr="00731644" w:rsidRDefault="000B3ECF" w:rsidP="00D53B48">
      <w:pPr>
        <w:pStyle w:val="SingleTxtG"/>
        <w:rPr>
          <w:bCs/>
          <w:lang w:val="fr-CH"/>
        </w:rPr>
      </w:pPr>
      <w:r w:rsidRPr="00731644">
        <w:rPr>
          <w:bCs/>
          <w:lang w:val="fr-CH"/>
        </w:rPr>
        <w:t>205.</w:t>
      </w:r>
      <w:r w:rsidRPr="00731644">
        <w:rPr>
          <w:bCs/>
          <w:lang w:val="fr-CH"/>
        </w:rPr>
        <w:tab/>
      </w:r>
      <w:r w:rsidR="00FA735A" w:rsidRPr="00731644">
        <w:rPr>
          <w:bCs/>
          <w:lang w:val="fr-CH"/>
        </w:rPr>
        <w:t xml:space="preserve">Au sens de </w:t>
      </w:r>
      <w:r w:rsidR="00374D76" w:rsidRPr="00731644">
        <w:rPr>
          <w:bCs/>
          <w:lang w:val="fr-CH"/>
        </w:rPr>
        <w:t>l</w:t>
      </w:r>
      <w:r w:rsidR="00425386" w:rsidRPr="00731644">
        <w:rPr>
          <w:bCs/>
          <w:lang w:val="fr-CH"/>
        </w:rPr>
        <w:t>’</w:t>
      </w:r>
      <w:r w:rsidR="001753EC">
        <w:rPr>
          <w:bCs/>
          <w:lang w:val="fr-CH"/>
        </w:rPr>
        <w:t>article </w:t>
      </w:r>
      <w:r w:rsidR="004C7BF6" w:rsidRPr="00731644">
        <w:rPr>
          <w:bCs/>
          <w:lang w:val="fr-CH"/>
        </w:rPr>
        <w:t>6</w:t>
      </w:r>
      <w:r w:rsidR="00FA735A" w:rsidRPr="00731644">
        <w:rPr>
          <w:bCs/>
          <w:lang w:val="fr-CH"/>
        </w:rPr>
        <w:t xml:space="preserve"> de cette loi, la</w:t>
      </w:r>
      <w:r w:rsidR="004C7BF6" w:rsidRPr="00731644">
        <w:rPr>
          <w:bCs/>
          <w:lang w:val="fr-CH"/>
        </w:rPr>
        <w:t xml:space="preserve"> </w:t>
      </w:r>
      <w:r w:rsidR="002061AB">
        <w:rPr>
          <w:bCs/>
          <w:lang w:val="fr-CH"/>
        </w:rPr>
        <w:t>«</w:t>
      </w:r>
      <w:r w:rsidR="004C7BF6" w:rsidRPr="00731644">
        <w:rPr>
          <w:bCs/>
          <w:lang w:val="fr-CH"/>
        </w:rPr>
        <w:t xml:space="preserve">discrimination </w:t>
      </w:r>
      <w:r w:rsidR="00FA735A" w:rsidRPr="00731644">
        <w:rPr>
          <w:bCs/>
          <w:lang w:val="fr-CH"/>
        </w:rPr>
        <w:t>directe</w:t>
      </w:r>
      <w:r w:rsidR="002061AB">
        <w:rPr>
          <w:bCs/>
          <w:lang w:val="fr-CH"/>
        </w:rPr>
        <w:t>»</w:t>
      </w:r>
      <w:r w:rsidR="00FA735A" w:rsidRPr="00731644">
        <w:rPr>
          <w:bCs/>
          <w:lang w:val="fr-CH"/>
        </w:rPr>
        <w:t xml:space="preserve"> s</w:t>
      </w:r>
      <w:r w:rsidR="00425386" w:rsidRPr="00731644">
        <w:rPr>
          <w:bCs/>
          <w:lang w:val="fr-CH"/>
        </w:rPr>
        <w:t>’</w:t>
      </w:r>
      <w:r w:rsidR="00FA735A" w:rsidRPr="00731644">
        <w:rPr>
          <w:bCs/>
          <w:lang w:val="fr-CH"/>
        </w:rPr>
        <w:t>entend de tout acte fondé sur certain</w:t>
      </w:r>
      <w:r w:rsidR="00FD3181" w:rsidRPr="00731644">
        <w:rPr>
          <w:bCs/>
          <w:lang w:val="fr-CH"/>
        </w:rPr>
        <w:t>e</w:t>
      </w:r>
      <w:r w:rsidR="00FA735A" w:rsidRPr="00731644">
        <w:rPr>
          <w:bCs/>
          <w:lang w:val="fr-CH"/>
        </w:rPr>
        <w:t>s de</w:t>
      </w:r>
      <w:r w:rsidR="00FD3181" w:rsidRPr="00731644">
        <w:rPr>
          <w:bCs/>
          <w:lang w:val="fr-CH"/>
        </w:rPr>
        <w:t>s considérations</w:t>
      </w:r>
      <w:r w:rsidR="00FA735A" w:rsidRPr="00731644">
        <w:rPr>
          <w:bCs/>
          <w:lang w:val="fr-CH"/>
        </w:rPr>
        <w:t xml:space="preserve"> énuméré</w:t>
      </w:r>
      <w:r w:rsidR="00FD3181" w:rsidRPr="00731644">
        <w:rPr>
          <w:bCs/>
          <w:lang w:val="fr-CH"/>
        </w:rPr>
        <w:t>e</w:t>
      </w:r>
      <w:r w:rsidR="00FA735A" w:rsidRPr="00731644">
        <w:rPr>
          <w:bCs/>
          <w:lang w:val="fr-CH"/>
        </w:rPr>
        <w:t>s à l</w:t>
      </w:r>
      <w:r w:rsidR="00425386" w:rsidRPr="00731644">
        <w:rPr>
          <w:bCs/>
          <w:lang w:val="fr-CH"/>
        </w:rPr>
        <w:t>’</w:t>
      </w:r>
      <w:r w:rsidR="001753EC">
        <w:rPr>
          <w:bCs/>
          <w:lang w:val="fr-CH"/>
        </w:rPr>
        <w:t>article </w:t>
      </w:r>
      <w:r w:rsidR="00FA735A" w:rsidRPr="00731644">
        <w:rPr>
          <w:bCs/>
          <w:lang w:val="fr-CH"/>
        </w:rPr>
        <w:t>5 par lequel un demandeur d</w:t>
      </w:r>
      <w:r w:rsidR="00425386" w:rsidRPr="00731644">
        <w:rPr>
          <w:bCs/>
          <w:lang w:val="fr-CH"/>
        </w:rPr>
        <w:t>’</w:t>
      </w:r>
      <w:r w:rsidR="00FA735A" w:rsidRPr="00731644">
        <w:rPr>
          <w:bCs/>
          <w:lang w:val="fr-CH"/>
        </w:rPr>
        <w:t>emploi ou un salarié est défavorisé par rapport à d</w:t>
      </w:r>
      <w:r w:rsidR="00425386" w:rsidRPr="00731644">
        <w:rPr>
          <w:bCs/>
          <w:lang w:val="fr-CH"/>
        </w:rPr>
        <w:t>’</w:t>
      </w:r>
      <w:r w:rsidR="00FA735A" w:rsidRPr="00731644">
        <w:rPr>
          <w:bCs/>
          <w:lang w:val="fr-CH"/>
        </w:rPr>
        <w:t>autres</w:t>
      </w:r>
      <w:r w:rsidR="008B5F71" w:rsidRPr="00731644">
        <w:rPr>
          <w:bCs/>
          <w:lang w:val="fr-CH"/>
        </w:rPr>
        <w:t xml:space="preserve"> qui sont</w:t>
      </w:r>
      <w:r w:rsidR="00FA735A" w:rsidRPr="00731644">
        <w:rPr>
          <w:bCs/>
          <w:lang w:val="fr-CH"/>
        </w:rPr>
        <w:t xml:space="preserve"> placés dans un</w:t>
      </w:r>
      <w:r w:rsidR="00FD3181" w:rsidRPr="00731644">
        <w:rPr>
          <w:bCs/>
          <w:lang w:val="fr-CH"/>
        </w:rPr>
        <w:t>e</w:t>
      </w:r>
      <w:r w:rsidR="00FA735A" w:rsidRPr="00731644">
        <w:rPr>
          <w:bCs/>
          <w:lang w:val="fr-CH"/>
        </w:rPr>
        <w:t xml:space="preserve"> situation analogue.</w:t>
      </w:r>
      <w:r w:rsidR="004C7BF6" w:rsidRPr="00731644">
        <w:rPr>
          <w:bCs/>
          <w:lang w:val="fr-CH"/>
        </w:rPr>
        <w:t xml:space="preserve"> </w:t>
      </w:r>
      <w:r w:rsidR="00FD3181" w:rsidRPr="00731644">
        <w:rPr>
          <w:bCs/>
          <w:lang w:val="fr-CH"/>
        </w:rPr>
        <w:t>La loi qualifie de</w:t>
      </w:r>
      <w:r w:rsidR="00FA735A" w:rsidRPr="00731644">
        <w:rPr>
          <w:bCs/>
          <w:lang w:val="fr-CH"/>
        </w:rPr>
        <w:t xml:space="preserve"> </w:t>
      </w:r>
      <w:r w:rsidR="002061AB">
        <w:rPr>
          <w:bCs/>
          <w:lang w:val="fr-CH"/>
        </w:rPr>
        <w:t>«</w:t>
      </w:r>
      <w:r w:rsidR="00FA735A" w:rsidRPr="00731644">
        <w:rPr>
          <w:bCs/>
          <w:lang w:val="fr-CH"/>
        </w:rPr>
        <w:t>discrimination i</w:t>
      </w:r>
      <w:r w:rsidR="004C7BF6" w:rsidRPr="00731644">
        <w:rPr>
          <w:bCs/>
          <w:lang w:val="fr-CH"/>
        </w:rPr>
        <w:t>ndirect</w:t>
      </w:r>
      <w:r w:rsidR="00FA735A" w:rsidRPr="00731644">
        <w:rPr>
          <w:bCs/>
          <w:lang w:val="fr-CH"/>
        </w:rPr>
        <w:t>e</w:t>
      </w:r>
      <w:r w:rsidR="002061AB">
        <w:rPr>
          <w:bCs/>
          <w:lang w:val="fr-CH"/>
        </w:rPr>
        <w:t>»</w:t>
      </w:r>
      <w:r w:rsidR="004C7BF6" w:rsidRPr="00731644">
        <w:rPr>
          <w:bCs/>
          <w:lang w:val="fr-CH"/>
        </w:rPr>
        <w:t xml:space="preserve"> </w:t>
      </w:r>
      <w:r w:rsidR="00FD3181" w:rsidRPr="00731644">
        <w:rPr>
          <w:bCs/>
          <w:lang w:val="fr-CH"/>
        </w:rPr>
        <w:t xml:space="preserve">le fait </w:t>
      </w:r>
      <w:r w:rsidR="00FA735A" w:rsidRPr="00731644">
        <w:rPr>
          <w:bCs/>
          <w:lang w:val="fr-CH"/>
        </w:rPr>
        <w:t>qu</w:t>
      </w:r>
      <w:r w:rsidR="00425386" w:rsidRPr="00731644">
        <w:rPr>
          <w:bCs/>
          <w:lang w:val="fr-CH"/>
        </w:rPr>
        <w:t>’</w:t>
      </w:r>
      <w:r w:rsidR="00FA735A" w:rsidRPr="00731644">
        <w:rPr>
          <w:bCs/>
          <w:lang w:val="fr-CH"/>
        </w:rPr>
        <w:t xml:space="preserve">une disposition, un critère ou une pratique défavorise ou </w:t>
      </w:r>
      <w:r w:rsidR="00FD3181" w:rsidRPr="00731644">
        <w:rPr>
          <w:bCs/>
          <w:lang w:val="fr-CH"/>
        </w:rPr>
        <w:t xml:space="preserve">risque de </w:t>
      </w:r>
      <w:r w:rsidR="00FA735A" w:rsidRPr="00731644">
        <w:rPr>
          <w:bCs/>
          <w:lang w:val="fr-CH"/>
        </w:rPr>
        <w:t>défavoriser un demandeur d</w:t>
      </w:r>
      <w:r w:rsidR="00425386" w:rsidRPr="00731644">
        <w:rPr>
          <w:bCs/>
          <w:lang w:val="fr-CH"/>
        </w:rPr>
        <w:t>’</w:t>
      </w:r>
      <w:r w:rsidR="00FA735A" w:rsidRPr="00731644">
        <w:rPr>
          <w:bCs/>
          <w:lang w:val="fr-CH"/>
        </w:rPr>
        <w:t>emploi ou un sal</w:t>
      </w:r>
      <w:r w:rsidR="00696007" w:rsidRPr="00731644">
        <w:rPr>
          <w:bCs/>
          <w:lang w:val="fr-CH"/>
        </w:rPr>
        <w:t>a</w:t>
      </w:r>
      <w:r w:rsidR="00FA735A" w:rsidRPr="00731644">
        <w:rPr>
          <w:bCs/>
          <w:lang w:val="fr-CH"/>
        </w:rPr>
        <w:t>rié</w:t>
      </w:r>
      <w:r w:rsidR="00696007" w:rsidRPr="00731644">
        <w:rPr>
          <w:bCs/>
          <w:lang w:val="fr-CH"/>
        </w:rPr>
        <w:t xml:space="preserve"> en raison de certaines caractéristiques, de sa condition, de son affiliation à une organisation</w:t>
      </w:r>
      <w:r w:rsidR="00FD3181" w:rsidRPr="00731644">
        <w:rPr>
          <w:bCs/>
          <w:lang w:val="fr-CH"/>
        </w:rPr>
        <w:t xml:space="preserve"> ou de ses convictions</w:t>
      </w:r>
      <w:r w:rsidR="00696007" w:rsidRPr="00731644">
        <w:rPr>
          <w:bCs/>
          <w:lang w:val="fr-CH"/>
        </w:rPr>
        <w:t xml:space="preserve">. </w:t>
      </w:r>
    </w:p>
    <w:p w:rsidR="004C7BF6" w:rsidRPr="00731644" w:rsidRDefault="000B3ECF" w:rsidP="002061AB">
      <w:pPr>
        <w:pStyle w:val="SingleTxtG"/>
        <w:keepNext/>
        <w:rPr>
          <w:lang w:val="fr-CH"/>
        </w:rPr>
      </w:pPr>
      <w:r w:rsidRPr="00731644">
        <w:rPr>
          <w:lang w:val="fr-CH"/>
        </w:rPr>
        <w:t>206.</w:t>
      </w:r>
      <w:r w:rsidRPr="00731644">
        <w:rPr>
          <w:lang w:val="fr-CH"/>
        </w:rPr>
        <w:tab/>
      </w:r>
      <w:r w:rsidR="00696007" w:rsidRPr="00731644">
        <w:rPr>
          <w:lang w:val="fr-CH"/>
        </w:rPr>
        <w:t xml:space="preserve">La discrimination visée aux </w:t>
      </w:r>
      <w:r w:rsidR="00CB7658" w:rsidRPr="00731644">
        <w:rPr>
          <w:lang w:val="fr-CH"/>
        </w:rPr>
        <w:t>articles </w:t>
      </w:r>
      <w:r w:rsidR="00696007" w:rsidRPr="00731644">
        <w:rPr>
          <w:lang w:val="fr-CH"/>
        </w:rPr>
        <w:t>5 et</w:t>
      </w:r>
      <w:r w:rsidR="004C7BF6" w:rsidRPr="00731644">
        <w:rPr>
          <w:lang w:val="fr-CH"/>
        </w:rPr>
        <w:t xml:space="preserve"> 6 </w:t>
      </w:r>
      <w:r w:rsidR="00696007" w:rsidRPr="00731644">
        <w:rPr>
          <w:lang w:val="fr-CH"/>
        </w:rPr>
        <w:t>de la loi est interdite en ce qui concerne</w:t>
      </w:r>
      <w:r w:rsidR="00F31DD5" w:rsidRPr="00731644">
        <w:rPr>
          <w:lang w:val="fr-CH"/>
        </w:rPr>
        <w:t>:</w:t>
      </w:r>
      <w:r w:rsidR="00696007" w:rsidRPr="00731644">
        <w:rPr>
          <w:lang w:val="fr-CH"/>
        </w:rPr>
        <w:t xml:space="preserve"> </w:t>
      </w:r>
    </w:p>
    <w:p w:rsidR="00696007" w:rsidRPr="00731644" w:rsidRDefault="004C7BF6" w:rsidP="000B3ECF">
      <w:pPr>
        <w:pStyle w:val="SingleTxtG"/>
        <w:ind w:firstLine="567"/>
        <w:rPr>
          <w:lang w:val="fr-CH"/>
        </w:rPr>
      </w:pPr>
      <w:r w:rsidRPr="00731644">
        <w:rPr>
          <w:lang w:val="fr-CH"/>
        </w:rPr>
        <w:t>1)</w:t>
      </w:r>
      <w:r w:rsidR="000B3ECF" w:rsidRPr="00731644">
        <w:rPr>
          <w:lang w:val="fr-CH"/>
        </w:rPr>
        <w:tab/>
      </w:r>
      <w:r w:rsidR="00696007" w:rsidRPr="00731644">
        <w:rPr>
          <w:lang w:val="fr-CH"/>
        </w:rPr>
        <w:t>Les c</w:t>
      </w:r>
      <w:r w:rsidRPr="00731644">
        <w:rPr>
          <w:lang w:val="fr-CH"/>
        </w:rPr>
        <w:t xml:space="preserve">onditions </w:t>
      </w:r>
      <w:r w:rsidR="00696007" w:rsidRPr="00731644">
        <w:rPr>
          <w:lang w:val="fr-CH"/>
        </w:rPr>
        <w:t>d</w:t>
      </w:r>
      <w:r w:rsidR="00425386" w:rsidRPr="00731644">
        <w:rPr>
          <w:lang w:val="fr-CH"/>
        </w:rPr>
        <w:t>’</w:t>
      </w:r>
      <w:r w:rsidR="00696007" w:rsidRPr="00731644">
        <w:rPr>
          <w:lang w:val="fr-CH"/>
        </w:rPr>
        <w:t>emploi et le choix des candidats à tel ou tel emploi</w:t>
      </w:r>
      <w:r w:rsidR="00F31DD5" w:rsidRPr="00731644">
        <w:rPr>
          <w:lang w:val="fr-CH"/>
        </w:rPr>
        <w:t>;</w:t>
      </w:r>
      <w:r w:rsidR="00696007" w:rsidRPr="00731644">
        <w:rPr>
          <w:lang w:val="fr-CH"/>
        </w:rPr>
        <w:t xml:space="preserve"> </w:t>
      </w:r>
    </w:p>
    <w:p w:rsidR="00696007" w:rsidRPr="00731644" w:rsidRDefault="004C7BF6" w:rsidP="000B3ECF">
      <w:pPr>
        <w:pStyle w:val="SingleTxtG"/>
        <w:ind w:firstLine="567"/>
        <w:rPr>
          <w:lang w:val="fr-CH"/>
        </w:rPr>
      </w:pPr>
      <w:r w:rsidRPr="00731644">
        <w:rPr>
          <w:lang w:val="fr-CH"/>
        </w:rPr>
        <w:t>2)</w:t>
      </w:r>
      <w:r w:rsidR="00A85321" w:rsidRPr="00731644">
        <w:rPr>
          <w:lang w:val="fr-CH"/>
        </w:rPr>
        <w:tab/>
      </w:r>
      <w:r w:rsidR="00696007" w:rsidRPr="00731644">
        <w:rPr>
          <w:lang w:val="fr-CH"/>
        </w:rPr>
        <w:t>Les c</w:t>
      </w:r>
      <w:r w:rsidRPr="00731644">
        <w:rPr>
          <w:lang w:val="fr-CH"/>
        </w:rPr>
        <w:t xml:space="preserve">onditions </w:t>
      </w:r>
      <w:r w:rsidR="00696007" w:rsidRPr="00731644">
        <w:rPr>
          <w:lang w:val="fr-CH"/>
        </w:rPr>
        <w:t xml:space="preserve">de travail et tous les droits liés </w:t>
      </w:r>
      <w:r w:rsidR="00CD32F8" w:rsidRPr="00731644">
        <w:rPr>
          <w:lang w:val="fr-CH"/>
        </w:rPr>
        <w:t>à l</w:t>
      </w:r>
      <w:r w:rsidR="00425386" w:rsidRPr="00731644">
        <w:rPr>
          <w:lang w:val="fr-CH"/>
        </w:rPr>
        <w:t>’</w:t>
      </w:r>
      <w:r w:rsidR="00CD32F8" w:rsidRPr="00731644">
        <w:rPr>
          <w:lang w:val="fr-CH"/>
        </w:rPr>
        <w:t>emploi</w:t>
      </w:r>
      <w:r w:rsidR="00F31DD5" w:rsidRPr="00731644">
        <w:rPr>
          <w:lang w:val="fr-CH"/>
        </w:rPr>
        <w:t xml:space="preserve">; </w:t>
      </w:r>
    </w:p>
    <w:p w:rsidR="004C7BF6" w:rsidRPr="00731644" w:rsidRDefault="004C7BF6" w:rsidP="000B3ECF">
      <w:pPr>
        <w:pStyle w:val="SingleTxtG"/>
        <w:ind w:firstLine="567"/>
        <w:rPr>
          <w:lang w:val="fr-CH"/>
        </w:rPr>
      </w:pPr>
      <w:r w:rsidRPr="00731644">
        <w:rPr>
          <w:lang w:val="fr-CH"/>
        </w:rPr>
        <w:t>3)</w:t>
      </w:r>
      <w:r w:rsidR="00A85321" w:rsidRPr="00731644">
        <w:rPr>
          <w:lang w:val="fr-CH"/>
        </w:rPr>
        <w:tab/>
      </w:r>
      <w:r w:rsidR="00CD32F8" w:rsidRPr="00731644">
        <w:rPr>
          <w:lang w:val="fr-CH"/>
        </w:rPr>
        <w:t>La formation</w:t>
      </w:r>
      <w:r w:rsidRPr="00731644">
        <w:rPr>
          <w:lang w:val="fr-CH"/>
        </w:rPr>
        <w:t xml:space="preserve">, </w:t>
      </w:r>
      <w:r w:rsidR="00696007" w:rsidRPr="00731644">
        <w:rPr>
          <w:lang w:val="fr-CH"/>
        </w:rPr>
        <w:t xml:space="preserve">les </w:t>
      </w:r>
      <w:r w:rsidRPr="00731644">
        <w:rPr>
          <w:lang w:val="fr-CH"/>
        </w:rPr>
        <w:t>qualification</w:t>
      </w:r>
      <w:r w:rsidR="00696007" w:rsidRPr="00731644">
        <w:rPr>
          <w:lang w:val="fr-CH"/>
        </w:rPr>
        <w:t>s et la spécialisation</w:t>
      </w:r>
      <w:r w:rsidR="00F31DD5" w:rsidRPr="00731644">
        <w:rPr>
          <w:lang w:val="fr-CH"/>
        </w:rPr>
        <w:t>;</w:t>
      </w:r>
    </w:p>
    <w:p w:rsidR="004C7BF6" w:rsidRPr="00731644" w:rsidRDefault="004C7BF6" w:rsidP="000B3ECF">
      <w:pPr>
        <w:pStyle w:val="SingleTxtG"/>
        <w:ind w:firstLine="567"/>
        <w:rPr>
          <w:lang w:val="fr-CH"/>
        </w:rPr>
      </w:pPr>
      <w:r w:rsidRPr="00731644">
        <w:rPr>
          <w:lang w:val="fr-CH"/>
        </w:rPr>
        <w:t>4)</w:t>
      </w:r>
      <w:r w:rsidR="00A85321" w:rsidRPr="00731644">
        <w:rPr>
          <w:lang w:val="fr-CH"/>
        </w:rPr>
        <w:tab/>
      </w:r>
      <w:r w:rsidR="00696007" w:rsidRPr="00731644">
        <w:rPr>
          <w:lang w:val="fr-CH"/>
        </w:rPr>
        <w:t>Les promotions</w:t>
      </w:r>
      <w:r w:rsidR="00F31DD5" w:rsidRPr="00731644">
        <w:rPr>
          <w:lang w:val="fr-CH"/>
        </w:rPr>
        <w:t>;</w:t>
      </w:r>
    </w:p>
    <w:p w:rsidR="004C7BF6" w:rsidRPr="00731644" w:rsidRDefault="004C7BF6" w:rsidP="000B3ECF">
      <w:pPr>
        <w:pStyle w:val="SingleTxtG"/>
        <w:ind w:firstLine="567"/>
        <w:rPr>
          <w:lang w:val="fr-CH"/>
        </w:rPr>
      </w:pPr>
      <w:r w:rsidRPr="00731644">
        <w:rPr>
          <w:lang w:val="fr-CH"/>
        </w:rPr>
        <w:t>5)</w:t>
      </w:r>
      <w:r w:rsidR="00A85321" w:rsidRPr="00731644">
        <w:rPr>
          <w:lang w:val="fr-CH"/>
        </w:rPr>
        <w:tab/>
      </w:r>
      <w:r w:rsidR="00696007" w:rsidRPr="00731644">
        <w:rPr>
          <w:lang w:val="fr-CH"/>
        </w:rPr>
        <w:t xml:space="preserve">Le </w:t>
      </w:r>
      <w:r w:rsidR="0083174F" w:rsidRPr="00731644">
        <w:rPr>
          <w:lang w:val="fr-CH"/>
        </w:rPr>
        <w:t>licenciement.</w:t>
      </w:r>
    </w:p>
    <w:p w:rsidR="004350B2" w:rsidRPr="00731644" w:rsidRDefault="000B3ECF" w:rsidP="00D53B48">
      <w:pPr>
        <w:pStyle w:val="SingleTxtG"/>
        <w:rPr>
          <w:lang w:val="fr-CH"/>
        </w:rPr>
      </w:pPr>
      <w:r w:rsidRPr="00731644">
        <w:rPr>
          <w:lang w:val="fr-CH"/>
        </w:rPr>
        <w:t>207.</w:t>
      </w:r>
      <w:r w:rsidRPr="00731644">
        <w:rPr>
          <w:lang w:val="fr-CH"/>
        </w:rPr>
        <w:tab/>
      </w:r>
      <w:r w:rsidR="00696007" w:rsidRPr="00731644">
        <w:rPr>
          <w:lang w:val="fr-CH"/>
        </w:rPr>
        <w:t>Toute clause du contrat de travail ét</w:t>
      </w:r>
      <w:r w:rsidR="00CD32F8" w:rsidRPr="00731644">
        <w:rPr>
          <w:lang w:val="fr-CH"/>
        </w:rPr>
        <w:t>a</w:t>
      </w:r>
      <w:r w:rsidR="00696007" w:rsidRPr="00731644">
        <w:rPr>
          <w:lang w:val="fr-CH"/>
        </w:rPr>
        <w:t>blissant une discrimination</w:t>
      </w:r>
      <w:r w:rsidR="00CD32F8" w:rsidRPr="00731644">
        <w:rPr>
          <w:lang w:val="fr-CH"/>
        </w:rPr>
        <w:t xml:space="preserve"> </w:t>
      </w:r>
      <w:r w:rsidR="00696007" w:rsidRPr="00731644">
        <w:rPr>
          <w:lang w:val="fr-CH"/>
        </w:rPr>
        <w:t>pour l</w:t>
      </w:r>
      <w:r w:rsidR="00425386" w:rsidRPr="00731644">
        <w:rPr>
          <w:lang w:val="fr-CH"/>
        </w:rPr>
        <w:t>’</w:t>
      </w:r>
      <w:r w:rsidR="00696007" w:rsidRPr="00731644">
        <w:rPr>
          <w:lang w:val="fr-CH"/>
        </w:rPr>
        <w:t xml:space="preserve">un quelconque des motifs </w:t>
      </w:r>
      <w:r w:rsidR="004350B2" w:rsidRPr="00731644">
        <w:rPr>
          <w:lang w:val="fr-CH"/>
        </w:rPr>
        <w:t xml:space="preserve">mentionnés aux </w:t>
      </w:r>
      <w:r w:rsidR="00CB7658" w:rsidRPr="00731644">
        <w:rPr>
          <w:lang w:val="fr-CH"/>
        </w:rPr>
        <w:t>articles </w:t>
      </w:r>
      <w:r w:rsidR="004350B2" w:rsidRPr="00731644">
        <w:rPr>
          <w:lang w:val="fr-CH"/>
        </w:rPr>
        <w:t>5 et 6 est nulle et non avenue.</w:t>
      </w:r>
      <w:r w:rsidR="00F31DD5" w:rsidRPr="00731644">
        <w:rPr>
          <w:lang w:val="fr-CH"/>
        </w:rPr>
        <w:t xml:space="preserve"> </w:t>
      </w:r>
    </w:p>
    <w:p w:rsidR="004C7BF6" w:rsidRPr="00731644" w:rsidRDefault="000B3ECF" w:rsidP="00D53B48">
      <w:pPr>
        <w:pStyle w:val="SingleTxtG"/>
        <w:rPr>
          <w:lang w:val="fr-CH"/>
        </w:rPr>
      </w:pPr>
      <w:r w:rsidRPr="00731644">
        <w:rPr>
          <w:lang w:val="fr-CH"/>
        </w:rPr>
        <w:t>208.</w:t>
      </w:r>
      <w:r w:rsidRPr="00731644">
        <w:rPr>
          <w:lang w:val="fr-CH"/>
        </w:rPr>
        <w:tab/>
      </w:r>
      <w:r w:rsidR="004350B2" w:rsidRPr="00731644">
        <w:rPr>
          <w:lang w:val="fr-CH"/>
        </w:rPr>
        <w:t>N</w:t>
      </w:r>
      <w:r w:rsidR="00425386" w:rsidRPr="00731644">
        <w:rPr>
          <w:lang w:val="fr-CH"/>
        </w:rPr>
        <w:t>’</w:t>
      </w:r>
      <w:r w:rsidR="004350B2" w:rsidRPr="00731644">
        <w:rPr>
          <w:lang w:val="fr-CH"/>
        </w:rPr>
        <w:t xml:space="preserve">est pas discriminatoire au sens de la loi une distinction, une exclusion ou une préférence </w:t>
      </w:r>
      <w:r w:rsidR="00CD32F8" w:rsidRPr="00731644">
        <w:rPr>
          <w:lang w:val="fr-CH"/>
        </w:rPr>
        <w:t>concernant</w:t>
      </w:r>
      <w:r w:rsidR="005A3C64" w:rsidRPr="00731644">
        <w:rPr>
          <w:lang w:val="fr-CH"/>
        </w:rPr>
        <w:t xml:space="preserve"> un poste </w:t>
      </w:r>
      <w:r w:rsidR="00CD32F8" w:rsidRPr="00731644">
        <w:rPr>
          <w:lang w:val="fr-CH"/>
        </w:rPr>
        <w:t>auquel sont attachées</w:t>
      </w:r>
      <w:r w:rsidR="003B45C2" w:rsidRPr="00731644">
        <w:rPr>
          <w:lang w:val="fr-CH"/>
        </w:rPr>
        <w:t xml:space="preserve"> des fonctions ou des</w:t>
      </w:r>
      <w:r w:rsidR="005A3C64" w:rsidRPr="00731644">
        <w:rPr>
          <w:lang w:val="fr-CH"/>
        </w:rPr>
        <w:t xml:space="preserve"> </w:t>
      </w:r>
      <w:r w:rsidR="003B45C2" w:rsidRPr="00731644">
        <w:rPr>
          <w:lang w:val="fr-CH"/>
        </w:rPr>
        <w:t>modalité</w:t>
      </w:r>
      <w:r w:rsidR="005A3C64" w:rsidRPr="00731644">
        <w:rPr>
          <w:lang w:val="fr-CH"/>
        </w:rPr>
        <w:t>s de travail telles que les caractéristiques associé</w:t>
      </w:r>
      <w:r w:rsidR="00CD32F8" w:rsidRPr="00731644">
        <w:rPr>
          <w:lang w:val="fr-CH"/>
        </w:rPr>
        <w:t>e</w:t>
      </w:r>
      <w:r w:rsidR="005A3C64" w:rsidRPr="00731644">
        <w:rPr>
          <w:lang w:val="fr-CH"/>
        </w:rPr>
        <w:t xml:space="preserve">s à certains des </w:t>
      </w:r>
      <w:r w:rsidR="00CD32F8" w:rsidRPr="00731644">
        <w:rPr>
          <w:lang w:val="fr-CH"/>
        </w:rPr>
        <w:t>critères</w:t>
      </w:r>
      <w:r w:rsidR="005A3C64" w:rsidRPr="00731644">
        <w:rPr>
          <w:lang w:val="fr-CH"/>
        </w:rPr>
        <w:t xml:space="preserve"> énoncés aux </w:t>
      </w:r>
      <w:r w:rsidR="00CB7658" w:rsidRPr="00731644">
        <w:rPr>
          <w:lang w:val="fr-CH"/>
        </w:rPr>
        <w:t>articles </w:t>
      </w:r>
      <w:r w:rsidR="004C7BF6" w:rsidRPr="00731644">
        <w:rPr>
          <w:lang w:val="fr-CH"/>
        </w:rPr>
        <w:t xml:space="preserve">5 </w:t>
      </w:r>
      <w:r w:rsidR="005A3C64" w:rsidRPr="00731644">
        <w:rPr>
          <w:lang w:val="fr-CH"/>
        </w:rPr>
        <w:t xml:space="preserve">et </w:t>
      </w:r>
      <w:r w:rsidR="004C7BF6" w:rsidRPr="00731644">
        <w:rPr>
          <w:lang w:val="fr-CH"/>
        </w:rPr>
        <w:t xml:space="preserve">6 </w:t>
      </w:r>
      <w:r w:rsidR="005A3C64" w:rsidRPr="00731644">
        <w:rPr>
          <w:lang w:val="fr-CH"/>
        </w:rPr>
        <w:t>de la loi sont une</w:t>
      </w:r>
      <w:r w:rsidR="004C7BF6" w:rsidRPr="00731644">
        <w:rPr>
          <w:lang w:val="fr-CH"/>
        </w:rPr>
        <w:t xml:space="preserve"> condition </w:t>
      </w:r>
      <w:r w:rsidR="005A3C64" w:rsidRPr="00731644">
        <w:rPr>
          <w:lang w:val="fr-CH"/>
        </w:rPr>
        <w:t>effective et déterminante de l</w:t>
      </w:r>
      <w:r w:rsidR="00425386" w:rsidRPr="00731644">
        <w:rPr>
          <w:lang w:val="fr-CH"/>
        </w:rPr>
        <w:t>’</w:t>
      </w:r>
      <w:r w:rsidR="005A3C64" w:rsidRPr="00731644">
        <w:rPr>
          <w:lang w:val="fr-CH"/>
        </w:rPr>
        <w:t>efficacité professionnelle</w:t>
      </w:r>
      <w:r w:rsidR="00CD32F8" w:rsidRPr="00731644">
        <w:rPr>
          <w:lang w:val="fr-CH"/>
        </w:rPr>
        <w:t>,</w:t>
      </w:r>
      <w:r w:rsidR="005A3C64" w:rsidRPr="00731644">
        <w:rPr>
          <w:lang w:val="fr-CH"/>
        </w:rPr>
        <w:t xml:space="preserve"> et que le but visé est justifié. </w:t>
      </w:r>
    </w:p>
    <w:p w:rsidR="004C7BF6" w:rsidRPr="00731644" w:rsidRDefault="00D57047" w:rsidP="00D57047">
      <w:pPr>
        <w:pStyle w:val="SingleTxtG"/>
        <w:rPr>
          <w:lang w:val="fr-CH"/>
        </w:rPr>
      </w:pPr>
      <w:r w:rsidRPr="00731644">
        <w:rPr>
          <w:lang w:val="fr-CH"/>
        </w:rPr>
        <w:t>209.</w:t>
      </w:r>
      <w:r w:rsidRPr="00731644">
        <w:rPr>
          <w:lang w:val="fr-CH"/>
        </w:rPr>
        <w:tab/>
      </w:r>
      <w:r w:rsidR="005E6E0B" w:rsidRPr="00731644">
        <w:rPr>
          <w:lang w:val="fr-CH"/>
        </w:rPr>
        <w:t>N</w:t>
      </w:r>
      <w:r w:rsidR="003B45C2" w:rsidRPr="00731644">
        <w:rPr>
          <w:lang w:val="fr-CH"/>
        </w:rPr>
        <w:t xml:space="preserve">e sont pas considérées comme discriminatoires les dispositions de la loi, des accords collectifs et du contrat de travail qui touchent à la protection spéciale et au soutien de certaines catégories de salariés – handicapés, femmes enceintes, </w:t>
      </w:r>
      <w:r w:rsidR="00CD32F8" w:rsidRPr="00731644">
        <w:rPr>
          <w:lang w:val="fr-CH"/>
        </w:rPr>
        <w:t xml:space="preserve">femmes </w:t>
      </w:r>
      <w:r w:rsidR="003B45C2" w:rsidRPr="00731644">
        <w:rPr>
          <w:lang w:val="fr-CH"/>
        </w:rPr>
        <w:t xml:space="preserve">en congé de maternité ou en congé pour enfant </w:t>
      </w:r>
      <w:r w:rsidR="00CD32F8" w:rsidRPr="00731644">
        <w:rPr>
          <w:lang w:val="fr-CH"/>
        </w:rPr>
        <w:t>malade</w:t>
      </w:r>
      <w:r w:rsidR="002061AB">
        <w:rPr>
          <w:lang w:val="fr-CH"/>
        </w:rPr>
        <w:t xml:space="preserve"> </w:t>
      </w:r>
      <w:r w:rsidR="003B45C2" w:rsidRPr="00731644">
        <w:rPr>
          <w:lang w:val="fr-CH"/>
        </w:rPr>
        <w:t xml:space="preserve">– ou aux droits particuliers des parents, des parents adoptifs, </w:t>
      </w:r>
      <w:r w:rsidR="00CD32F8" w:rsidRPr="00731644">
        <w:rPr>
          <w:lang w:val="fr-CH"/>
        </w:rPr>
        <w:t xml:space="preserve">des </w:t>
      </w:r>
      <w:r w:rsidR="003B45C2" w:rsidRPr="00731644">
        <w:rPr>
          <w:lang w:val="fr-CH"/>
        </w:rPr>
        <w:t>tuteurs, et des familles d</w:t>
      </w:r>
      <w:r w:rsidR="00425386" w:rsidRPr="00731644">
        <w:rPr>
          <w:lang w:val="fr-CH"/>
        </w:rPr>
        <w:t>’</w:t>
      </w:r>
      <w:r w:rsidR="003B45C2" w:rsidRPr="00731644">
        <w:rPr>
          <w:lang w:val="fr-CH"/>
        </w:rPr>
        <w:t>accueil</w:t>
      </w:r>
      <w:r w:rsidR="004C7BF6" w:rsidRPr="00731644">
        <w:rPr>
          <w:lang w:val="fr-CH"/>
        </w:rPr>
        <w:t>.</w:t>
      </w:r>
    </w:p>
    <w:p w:rsidR="004C7BF6" w:rsidRPr="00731644" w:rsidRDefault="00D57047" w:rsidP="00D57047">
      <w:pPr>
        <w:pStyle w:val="SingleTxtG"/>
        <w:rPr>
          <w:lang w:val="fr-CH"/>
        </w:rPr>
      </w:pPr>
      <w:r w:rsidRPr="00731644">
        <w:rPr>
          <w:lang w:val="fr-CH"/>
        </w:rPr>
        <w:t>210.</w:t>
      </w:r>
      <w:r w:rsidRPr="00731644">
        <w:rPr>
          <w:lang w:val="fr-CH"/>
        </w:rPr>
        <w:tab/>
      </w:r>
      <w:r w:rsidR="005E6E0B" w:rsidRPr="00731644">
        <w:rPr>
          <w:lang w:val="fr-CH"/>
        </w:rPr>
        <w:t>Dans un</w:t>
      </w:r>
      <w:r w:rsidR="003B45C2" w:rsidRPr="00731644">
        <w:rPr>
          <w:lang w:val="fr-CH"/>
        </w:rPr>
        <w:t xml:space="preserve"> cas de </w:t>
      </w:r>
      <w:r w:rsidR="005E6E0B" w:rsidRPr="00731644">
        <w:rPr>
          <w:lang w:val="fr-CH"/>
        </w:rPr>
        <w:t>discrimination du genre de ceux qui viennent d</w:t>
      </w:r>
      <w:r w:rsidR="00425386" w:rsidRPr="00731644">
        <w:rPr>
          <w:lang w:val="fr-CH"/>
        </w:rPr>
        <w:t>’</w:t>
      </w:r>
      <w:r w:rsidR="005E6E0B" w:rsidRPr="00731644">
        <w:rPr>
          <w:lang w:val="fr-CH"/>
        </w:rPr>
        <w:t xml:space="preserve">être </w:t>
      </w:r>
      <w:r w:rsidR="0088623D" w:rsidRPr="00731644">
        <w:rPr>
          <w:lang w:val="fr-CH"/>
        </w:rPr>
        <w:t>cit</w:t>
      </w:r>
      <w:r w:rsidR="005E6E0B" w:rsidRPr="00731644">
        <w:rPr>
          <w:lang w:val="fr-CH"/>
        </w:rPr>
        <w:t>és, le demandeur d</w:t>
      </w:r>
      <w:r w:rsidR="00425386" w:rsidRPr="00731644">
        <w:rPr>
          <w:lang w:val="fr-CH"/>
        </w:rPr>
        <w:t>’</w:t>
      </w:r>
      <w:r w:rsidR="005E6E0B" w:rsidRPr="00731644">
        <w:rPr>
          <w:lang w:val="fr-CH"/>
        </w:rPr>
        <w:t xml:space="preserve">emploi ou le salarié peut saisir le tribunal compétent et demander réparation du préjudice subi conformément à la loi. </w:t>
      </w:r>
    </w:p>
    <w:p w:rsidR="004C7BF6" w:rsidRPr="00731644" w:rsidRDefault="00D57047" w:rsidP="004C7BF6">
      <w:pPr>
        <w:pStyle w:val="SingleTxtG"/>
        <w:rPr>
          <w:lang w:val="fr-CH"/>
        </w:rPr>
      </w:pPr>
      <w:r w:rsidRPr="00731644">
        <w:rPr>
          <w:lang w:val="fr-CH"/>
        </w:rPr>
        <w:t>211.</w:t>
      </w:r>
      <w:r w:rsidRPr="00731644">
        <w:rPr>
          <w:lang w:val="fr-CH"/>
        </w:rPr>
        <w:tab/>
      </w:r>
      <w:r w:rsidR="005E6E0B" w:rsidRPr="00731644">
        <w:rPr>
          <w:lang w:val="fr-CH"/>
        </w:rPr>
        <w:t>Le droit des salariés de se syndiquer et de mener librement des activités syndicales sans autorisation, mais après enregistrement de l</w:t>
      </w:r>
      <w:r w:rsidR="00425386" w:rsidRPr="00731644">
        <w:rPr>
          <w:lang w:val="fr-CH"/>
        </w:rPr>
        <w:t>’</w:t>
      </w:r>
      <w:r w:rsidR="005E6E0B" w:rsidRPr="00731644">
        <w:rPr>
          <w:lang w:val="fr-CH"/>
        </w:rPr>
        <w:t>organisation auprès de l</w:t>
      </w:r>
      <w:r w:rsidR="00425386" w:rsidRPr="00731644">
        <w:rPr>
          <w:lang w:val="fr-CH"/>
        </w:rPr>
        <w:t>’</w:t>
      </w:r>
      <w:r w:rsidR="005E6E0B" w:rsidRPr="00731644">
        <w:rPr>
          <w:lang w:val="fr-CH"/>
        </w:rPr>
        <w:t>autorité compétente</w:t>
      </w:r>
      <w:r w:rsidR="0088623D" w:rsidRPr="00731644">
        <w:rPr>
          <w:lang w:val="fr-CH"/>
        </w:rPr>
        <w:t>,</w:t>
      </w:r>
      <w:r w:rsidR="005E6E0B" w:rsidRPr="00731644">
        <w:rPr>
          <w:lang w:val="fr-CH"/>
        </w:rPr>
        <w:t xml:space="preserve"> est garanti par la </w:t>
      </w:r>
      <w:r w:rsidR="004C7BF6" w:rsidRPr="00731644">
        <w:rPr>
          <w:lang w:val="fr-CH"/>
        </w:rPr>
        <w:t xml:space="preserve">Constitution. </w:t>
      </w:r>
      <w:r w:rsidR="005E6E0B" w:rsidRPr="00731644">
        <w:rPr>
          <w:lang w:val="fr-CH"/>
        </w:rPr>
        <w:t xml:space="preserve">Dans le droit fil de cette disposition constitutionnelle, la loi </w:t>
      </w:r>
      <w:r w:rsidR="0088623D" w:rsidRPr="00731644">
        <w:rPr>
          <w:lang w:val="fr-CH"/>
        </w:rPr>
        <w:t>sur le</w:t>
      </w:r>
      <w:r w:rsidR="005E6E0B" w:rsidRPr="00731644">
        <w:rPr>
          <w:lang w:val="fr-CH"/>
        </w:rPr>
        <w:t xml:space="preserve"> travail affirme que les salariés sont libres</w:t>
      </w:r>
      <w:r w:rsidR="00C53471" w:rsidRPr="00731644">
        <w:rPr>
          <w:lang w:val="fr-CH"/>
        </w:rPr>
        <w:t xml:space="preserve"> </w:t>
      </w:r>
      <w:r w:rsidR="005E6E0B" w:rsidRPr="00731644">
        <w:rPr>
          <w:lang w:val="fr-CH"/>
        </w:rPr>
        <w:t xml:space="preserve">de fonder </w:t>
      </w:r>
      <w:r w:rsidR="0088623D" w:rsidRPr="00731644">
        <w:rPr>
          <w:lang w:val="fr-CH"/>
        </w:rPr>
        <w:t xml:space="preserve">des </w:t>
      </w:r>
      <w:r w:rsidR="005E6E0B" w:rsidRPr="00731644">
        <w:rPr>
          <w:lang w:val="fr-CH"/>
        </w:rPr>
        <w:t xml:space="preserve">organisations syndicales </w:t>
      </w:r>
      <w:r w:rsidR="0088623D" w:rsidRPr="00731644">
        <w:rPr>
          <w:lang w:val="fr-CH"/>
        </w:rPr>
        <w:t>et d</w:t>
      </w:r>
      <w:r w:rsidR="00425386" w:rsidRPr="00731644">
        <w:rPr>
          <w:lang w:val="fr-CH"/>
        </w:rPr>
        <w:t>’</w:t>
      </w:r>
      <w:r w:rsidR="0088623D" w:rsidRPr="00731644">
        <w:rPr>
          <w:lang w:val="fr-CH"/>
        </w:rPr>
        <w:t xml:space="preserve">adhérer à celles </w:t>
      </w:r>
      <w:r w:rsidR="00C53471" w:rsidRPr="00731644">
        <w:rPr>
          <w:lang w:val="fr-CH"/>
        </w:rPr>
        <w:t xml:space="preserve">de leur choix </w:t>
      </w:r>
      <w:r w:rsidR="005E6E0B" w:rsidRPr="00731644">
        <w:rPr>
          <w:lang w:val="fr-CH"/>
        </w:rPr>
        <w:t>sans autorisation préalable,</w:t>
      </w:r>
      <w:r w:rsidR="00C53471" w:rsidRPr="00731644">
        <w:rPr>
          <w:lang w:val="fr-CH"/>
        </w:rPr>
        <w:t xml:space="preserve"> dans les conditions spécifiées dans les statuts et les règlements de ces organisations. L</w:t>
      </w:r>
      <w:r w:rsidR="00425386" w:rsidRPr="00731644">
        <w:rPr>
          <w:lang w:val="fr-CH"/>
        </w:rPr>
        <w:t>’</w:t>
      </w:r>
      <w:r w:rsidR="00C53471" w:rsidRPr="00731644">
        <w:rPr>
          <w:lang w:val="fr-CH"/>
        </w:rPr>
        <w:t>adhésion d</w:t>
      </w:r>
      <w:r w:rsidR="00425386" w:rsidRPr="00731644">
        <w:rPr>
          <w:lang w:val="fr-CH"/>
        </w:rPr>
        <w:t>’</w:t>
      </w:r>
      <w:r w:rsidR="00C53471" w:rsidRPr="00731644">
        <w:rPr>
          <w:lang w:val="fr-CH"/>
        </w:rPr>
        <w:t xml:space="preserve">un salarié à une organisation syndicale </w:t>
      </w:r>
      <w:r w:rsidR="002A0C9C" w:rsidRPr="00731644">
        <w:rPr>
          <w:lang w:val="fr-CH"/>
        </w:rPr>
        <w:t xml:space="preserve">est un choix personnel. </w:t>
      </w:r>
    </w:p>
    <w:p w:rsidR="004C7BF6" w:rsidRPr="00731644" w:rsidRDefault="00D57047" w:rsidP="00D57047">
      <w:pPr>
        <w:pStyle w:val="SingleTxtG"/>
        <w:rPr>
          <w:lang w:val="fr-CH"/>
        </w:rPr>
      </w:pPr>
      <w:r w:rsidRPr="00731644">
        <w:rPr>
          <w:lang w:val="fr-CH"/>
        </w:rPr>
        <w:t>212.</w:t>
      </w:r>
      <w:r w:rsidRPr="00731644">
        <w:rPr>
          <w:lang w:val="fr-CH"/>
        </w:rPr>
        <w:tab/>
      </w:r>
      <w:r w:rsidR="002A0C9C" w:rsidRPr="00731644">
        <w:rPr>
          <w:lang w:val="fr-CH"/>
        </w:rPr>
        <w:t>L</w:t>
      </w:r>
      <w:r w:rsidR="00425386" w:rsidRPr="00731644">
        <w:rPr>
          <w:lang w:val="fr-CH"/>
        </w:rPr>
        <w:t>’</w:t>
      </w:r>
      <w:r w:rsidR="002A0C9C" w:rsidRPr="00731644">
        <w:rPr>
          <w:lang w:val="fr-CH"/>
        </w:rPr>
        <w:t>expression</w:t>
      </w:r>
      <w:r w:rsidR="004C7BF6" w:rsidRPr="00731644">
        <w:rPr>
          <w:lang w:val="fr-CH"/>
        </w:rPr>
        <w:t xml:space="preserve"> </w:t>
      </w:r>
      <w:r w:rsidR="002061AB">
        <w:rPr>
          <w:lang w:val="fr-CH"/>
        </w:rPr>
        <w:t>«</w:t>
      </w:r>
      <w:r w:rsidR="002A0C9C" w:rsidRPr="00731644">
        <w:rPr>
          <w:lang w:val="fr-CH"/>
        </w:rPr>
        <w:t>personnes relativement difficiles à employer</w:t>
      </w:r>
      <w:r w:rsidR="002061AB">
        <w:rPr>
          <w:lang w:val="fr-CH"/>
        </w:rPr>
        <w:t>»</w:t>
      </w:r>
      <w:r w:rsidR="004C7BF6" w:rsidRPr="00731644">
        <w:rPr>
          <w:lang w:val="fr-CH"/>
        </w:rPr>
        <w:t xml:space="preserve"> </w:t>
      </w:r>
      <w:r w:rsidR="002A0C9C" w:rsidRPr="00731644">
        <w:rPr>
          <w:lang w:val="fr-CH"/>
        </w:rPr>
        <w:t xml:space="preserve">utilisée dans la </w:t>
      </w:r>
      <w:r w:rsidR="002A0C9C" w:rsidRPr="00A828E9">
        <w:rPr>
          <w:i/>
          <w:lang w:val="fr-CH"/>
        </w:rPr>
        <w:t>loi sur l</w:t>
      </w:r>
      <w:r w:rsidR="00425386" w:rsidRPr="00A828E9">
        <w:rPr>
          <w:i/>
          <w:lang w:val="fr-CH"/>
        </w:rPr>
        <w:t>’</w:t>
      </w:r>
      <w:r w:rsidR="002A0C9C" w:rsidRPr="00A828E9">
        <w:rPr>
          <w:i/>
          <w:lang w:val="fr-CH"/>
        </w:rPr>
        <w:t xml:space="preserve">emploi et </w:t>
      </w:r>
      <w:r w:rsidR="00E42688" w:rsidRPr="00A828E9">
        <w:rPr>
          <w:i/>
          <w:lang w:val="fr-CH"/>
        </w:rPr>
        <w:t>aux</w:t>
      </w:r>
      <w:r w:rsidR="002A0C9C" w:rsidRPr="00A828E9">
        <w:rPr>
          <w:i/>
          <w:lang w:val="fr-CH"/>
        </w:rPr>
        <w:t xml:space="preserve"> droits </w:t>
      </w:r>
      <w:r w:rsidR="000439A0" w:rsidRPr="00A828E9">
        <w:rPr>
          <w:i/>
          <w:lang w:val="fr-CH"/>
        </w:rPr>
        <w:t xml:space="preserve">aux </w:t>
      </w:r>
      <w:r w:rsidR="00D853F8" w:rsidRPr="00A828E9">
        <w:rPr>
          <w:i/>
          <w:lang w:val="fr-CH"/>
        </w:rPr>
        <w:t>prestations</w:t>
      </w:r>
      <w:r w:rsidR="000439A0" w:rsidRPr="00A828E9">
        <w:rPr>
          <w:i/>
          <w:lang w:val="fr-CH"/>
        </w:rPr>
        <w:t xml:space="preserve"> de</w:t>
      </w:r>
      <w:r w:rsidR="002A0C9C" w:rsidRPr="00A828E9">
        <w:rPr>
          <w:i/>
          <w:lang w:val="fr-CH"/>
        </w:rPr>
        <w:t xml:space="preserve"> l</w:t>
      </w:r>
      <w:r w:rsidR="00425386" w:rsidRPr="00A828E9">
        <w:rPr>
          <w:i/>
          <w:lang w:val="fr-CH"/>
        </w:rPr>
        <w:t>’</w:t>
      </w:r>
      <w:r w:rsidR="002A0C9C" w:rsidRPr="00A828E9">
        <w:rPr>
          <w:i/>
          <w:lang w:val="fr-CH"/>
        </w:rPr>
        <w:t>assurance chômage</w:t>
      </w:r>
      <w:r w:rsidR="002A0C9C" w:rsidRPr="00731644">
        <w:rPr>
          <w:lang w:val="fr-CH"/>
        </w:rPr>
        <w:t xml:space="preserve"> désigne </w:t>
      </w:r>
      <w:r w:rsidR="00CB7658" w:rsidRPr="00731644">
        <w:rPr>
          <w:lang w:val="fr-CH"/>
        </w:rPr>
        <w:t>les personnes</w:t>
      </w:r>
      <w:r w:rsidR="006D7EA3" w:rsidRPr="00731644">
        <w:rPr>
          <w:lang w:val="fr-CH"/>
        </w:rPr>
        <w:t xml:space="preserve"> au </w:t>
      </w:r>
      <w:r w:rsidR="002A0C9C" w:rsidRPr="00731644">
        <w:rPr>
          <w:lang w:val="fr-CH"/>
        </w:rPr>
        <w:t>chôm</w:t>
      </w:r>
      <w:r w:rsidR="006D7EA3" w:rsidRPr="00731644">
        <w:rPr>
          <w:lang w:val="fr-CH"/>
        </w:rPr>
        <w:t>age</w:t>
      </w:r>
      <w:r w:rsidR="00F31DD5" w:rsidRPr="00731644">
        <w:rPr>
          <w:lang w:val="fr-CH"/>
        </w:rPr>
        <w:t xml:space="preserve"> </w:t>
      </w:r>
      <w:r w:rsidR="002A0C9C" w:rsidRPr="00731644">
        <w:rPr>
          <w:lang w:val="fr-CH"/>
        </w:rPr>
        <w:t xml:space="preserve">qui, en raison de différents désordres </w:t>
      </w:r>
      <w:r w:rsidR="004C7BF6" w:rsidRPr="00731644">
        <w:rPr>
          <w:lang w:val="fr-CH"/>
        </w:rPr>
        <w:t>(</w:t>
      </w:r>
      <w:r w:rsidR="002A0C9C" w:rsidRPr="00731644">
        <w:rPr>
          <w:lang w:val="fr-CH"/>
        </w:rPr>
        <w:t>problèmes de santé, instruction</w:t>
      </w:r>
      <w:r w:rsidR="006D7EA3" w:rsidRPr="00731644">
        <w:rPr>
          <w:lang w:val="fr-CH"/>
        </w:rPr>
        <w:t xml:space="preserve"> insuffisante ou inadaptée</w:t>
      </w:r>
      <w:r w:rsidR="004C7BF6" w:rsidRPr="00731644">
        <w:rPr>
          <w:lang w:val="fr-CH"/>
        </w:rPr>
        <w:t xml:space="preserve">, </w:t>
      </w:r>
      <w:r w:rsidR="002A0C9C" w:rsidRPr="00731644">
        <w:rPr>
          <w:lang w:val="fr-CH"/>
        </w:rPr>
        <w:t xml:space="preserve">caractéristiques </w:t>
      </w:r>
      <w:r w:rsidR="004C7BF6" w:rsidRPr="00731644">
        <w:rPr>
          <w:lang w:val="fr-CH"/>
        </w:rPr>
        <w:t>socio-demographi</w:t>
      </w:r>
      <w:r w:rsidR="002A0C9C" w:rsidRPr="00731644">
        <w:rPr>
          <w:lang w:val="fr-CH"/>
        </w:rPr>
        <w:t>ques</w:t>
      </w:r>
      <w:r w:rsidR="004C7BF6" w:rsidRPr="00731644">
        <w:rPr>
          <w:lang w:val="fr-CH"/>
        </w:rPr>
        <w:t>, etc.)</w:t>
      </w:r>
      <w:r w:rsidR="00FE1874" w:rsidRPr="00731644">
        <w:rPr>
          <w:lang w:val="fr-CH"/>
        </w:rPr>
        <w:t>,</w:t>
      </w:r>
      <w:r w:rsidR="002A0C9C" w:rsidRPr="00731644">
        <w:rPr>
          <w:lang w:val="fr-CH"/>
        </w:rPr>
        <w:t xml:space="preserve"> souffrent d</w:t>
      </w:r>
      <w:r w:rsidR="00425386" w:rsidRPr="00731644">
        <w:rPr>
          <w:lang w:val="fr-CH"/>
        </w:rPr>
        <w:t>’</w:t>
      </w:r>
      <w:r w:rsidR="002A0C9C" w:rsidRPr="00731644">
        <w:rPr>
          <w:lang w:val="fr-CH"/>
        </w:rPr>
        <w:t>un manque de compétitivité sur le marché du travail et ont donc davantage de difficultés que les autres à trouver un emploi. Elles ont besoin, pour s</w:t>
      </w:r>
      <w:r w:rsidR="00425386" w:rsidRPr="00731644">
        <w:rPr>
          <w:lang w:val="fr-CH"/>
        </w:rPr>
        <w:t>’</w:t>
      </w:r>
      <w:r w:rsidR="002A0C9C" w:rsidRPr="00731644">
        <w:rPr>
          <w:lang w:val="fr-CH"/>
        </w:rPr>
        <w:t>insérer sur ce marché, d</w:t>
      </w:r>
      <w:r w:rsidR="00425386" w:rsidRPr="00731644">
        <w:rPr>
          <w:lang w:val="fr-CH"/>
        </w:rPr>
        <w:t>’</w:t>
      </w:r>
      <w:r w:rsidR="002A0C9C" w:rsidRPr="00731644">
        <w:rPr>
          <w:lang w:val="fr-CH"/>
        </w:rPr>
        <w:t xml:space="preserve">un soutien </w:t>
      </w:r>
      <w:r w:rsidR="0083174F" w:rsidRPr="00731644">
        <w:rPr>
          <w:lang w:val="fr-CH"/>
        </w:rPr>
        <w:t>additionnel</w:t>
      </w:r>
      <w:r w:rsidR="002A0C9C" w:rsidRPr="00731644">
        <w:rPr>
          <w:lang w:val="fr-CH"/>
        </w:rPr>
        <w:t xml:space="preserve"> et d</w:t>
      </w:r>
      <w:r w:rsidR="00425386" w:rsidRPr="00731644">
        <w:rPr>
          <w:lang w:val="fr-CH"/>
        </w:rPr>
        <w:t>’</w:t>
      </w:r>
      <w:r w:rsidR="002A0C9C" w:rsidRPr="00731644">
        <w:rPr>
          <w:lang w:val="fr-CH"/>
        </w:rPr>
        <w:t>une préparation professionnelle spéciale.</w:t>
      </w:r>
      <w:r w:rsidR="006443F6" w:rsidRPr="00731644">
        <w:rPr>
          <w:lang w:val="fr-CH"/>
        </w:rPr>
        <w:t xml:space="preserve"> </w:t>
      </w:r>
      <w:r w:rsidR="002A0C9C" w:rsidRPr="00731644">
        <w:rPr>
          <w:lang w:val="fr-CH"/>
        </w:rPr>
        <w:t>L</w:t>
      </w:r>
      <w:r w:rsidR="00425386" w:rsidRPr="00731644">
        <w:rPr>
          <w:lang w:val="fr-CH"/>
        </w:rPr>
        <w:t>’</w:t>
      </w:r>
      <w:r w:rsidR="002A0C9C" w:rsidRPr="00731644">
        <w:rPr>
          <w:lang w:val="fr-CH"/>
        </w:rPr>
        <w:t>Agence pour l</w:t>
      </w:r>
      <w:r w:rsidR="00425386" w:rsidRPr="00731644">
        <w:rPr>
          <w:lang w:val="fr-CH"/>
        </w:rPr>
        <w:t>’</w:t>
      </w:r>
      <w:r w:rsidR="002A0C9C" w:rsidRPr="00731644">
        <w:rPr>
          <w:lang w:val="fr-CH"/>
        </w:rPr>
        <w:t xml:space="preserve">emploi </w:t>
      </w:r>
      <w:r w:rsidR="006D7EA3" w:rsidRPr="00731644">
        <w:rPr>
          <w:lang w:val="fr-CH"/>
        </w:rPr>
        <w:t>class</w:t>
      </w:r>
      <w:r w:rsidR="00841F19" w:rsidRPr="00731644">
        <w:rPr>
          <w:lang w:val="fr-CH"/>
        </w:rPr>
        <w:t>e</w:t>
      </w:r>
      <w:r w:rsidR="002A0C9C" w:rsidRPr="00731644">
        <w:rPr>
          <w:lang w:val="fr-CH"/>
        </w:rPr>
        <w:t xml:space="preserve"> </w:t>
      </w:r>
      <w:r w:rsidR="00CB7658" w:rsidRPr="00731644">
        <w:rPr>
          <w:lang w:val="fr-CH"/>
        </w:rPr>
        <w:t>les personnes</w:t>
      </w:r>
      <w:r w:rsidR="002A0C9C" w:rsidRPr="00731644">
        <w:rPr>
          <w:lang w:val="fr-CH"/>
        </w:rPr>
        <w:t xml:space="preserve"> dans cette catégorie </w:t>
      </w:r>
      <w:r w:rsidR="006D7EA3" w:rsidRPr="00731644">
        <w:rPr>
          <w:lang w:val="fr-CH"/>
        </w:rPr>
        <w:t>à l</w:t>
      </w:r>
      <w:r w:rsidR="00425386" w:rsidRPr="00731644">
        <w:rPr>
          <w:lang w:val="fr-CH"/>
        </w:rPr>
        <w:t>’</w:t>
      </w:r>
      <w:r w:rsidR="006D7EA3" w:rsidRPr="00731644">
        <w:rPr>
          <w:lang w:val="fr-CH"/>
        </w:rPr>
        <w:t>issue d</w:t>
      </w:r>
      <w:r w:rsidR="00425386" w:rsidRPr="00731644">
        <w:rPr>
          <w:lang w:val="fr-CH"/>
        </w:rPr>
        <w:t>’</w:t>
      </w:r>
      <w:r w:rsidR="00841F19" w:rsidRPr="00731644">
        <w:rPr>
          <w:lang w:val="fr-CH"/>
        </w:rPr>
        <w:t xml:space="preserve">un processus au cours duquel elle </w:t>
      </w:r>
      <w:r w:rsidR="006D7EA3" w:rsidRPr="00731644">
        <w:rPr>
          <w:lang w:val="fr-CH"/>
        </w:rPr>
        <w:t>évalue leur</w:t>
      </w:r>
      <w:r w:rsidR="00841F19" w:rsidRPr="00731644">
        <w:rPr>
          <w:lang w:val="fr-CH"/>
        </w:rPr>
        <w:t xml:space="preserve"> degré d</w:t>
      </w:r>
      <w:r w:rsidR="00425386" w:rsidRPr="00731644">
        <w:rPr>
          <w:lang w:val="fr-CH"/>
        </w:rPr>
        <w:t>’</w:t>
      </w:r>
      <w:r w:rsidR="004C7BF6" w:rsidRPr="00731644">
        <w:rPr>
          <w:lang w:val="fr-CH"/>
        </w:rPr>
        <w:t>employabilit</w:t>
      </w:r>
      <w:r w:rsidR="00841F19" w:rsidRPr="00731644">
        <w:rPr>
          <w:lang w:val="fr-CH"/>
        </w:rPr>
        <w:t>é</w:t>
      </w:r>
      <w:r w:rsidR="004C7BF6" w:rsidRPr="00731644">
        <w:rPr>
          <w:lang w:val="fr-CH"/>
        </w:rPr>
        <w:t xml:space="preserve"> </w:t>
      </w:r>
      <w:r w:rsidR="00841F19" w:rsidRPr="00731644">
        <w:rPr>
          <w:lang w:val="fr-CH"/>
        </w:rPr>
        <w:t xml:space="preserve">ou </w:t>
      </w:r>
      <w:r w:rsidR="006D7EA3" w:rsidRPr="00731644">
        <w:rPr>
          <w:lang w:val="fr-CH"/>
        </w:rPr>
        <w:t>le</w:t>
      </w:r>
      <w:r w:rsidR="004C7BF6" w:rsidRPr="00731644">
        <w:rPr>
          <w:lang w:val="fr-CH"/>
        </w:rPr>
        <w:t xml:space="preserve"> type</w:t>
      </w:r>
      <w:r w:rsidR="00841F19" w:rsidRPr="00731644">
        <w:rPr>
          <w:lang w:val="fr-CH"/>
        </w:rPr>
        <w:t xml:space="preserve"> de </w:t>
      </w:r>
      <w:r w:rsidR="006D7EA3" w:rsidRPr="00731644">
        <w:rPr>
          <w:lang w:val="fr-CH"/>
        </w:rPr>
        <w:t>forma</w:t>
      </w:r>
      <w:r w:rsidR="00841F19" w:rsidRPr="00731644">
        <w:rPr>
          <w:lang w:val="fr-CH"/>
        </w:rPr>
        <w:t xml:space="preserve">tion professionnelle </w:t>
      </w:r>
      <w:r w:rsidR="006D7EA3" w:rsidRPr="00731644">
        <w:rPr>
          <w:lang w:val="fr-CH"/>
        </w:rPr>
        <w:t>à leur donner</w:t>
      </w:r>
      <w:r w:rsidR="00841F19" w:rsidRPr="00731644">
        <w:rPr>
          <w:lang w:val="fr-CH"/>
        </w:rPr>
        <w:t xml:space="preserve"> pour lever </w:t>
      </w:r>
      <w:r w:rsidR="006D7EA3" w:rsidRPr="00731644">
        <w:rPr>
          <w:lang w:val="fr-CH"/>
        </w:rPr>
        <w:t>au</w:t>
      </w:r>
      <w:r w:rsidR="00841F19" w:rsidRPr="00731644">
        <w:rPr>
          <w:lang w:val="fr-CH"/>
        </w:rPr>
        <w:t xml:space="preserve"> plus </w:t>
      </w:r>
      <w:r w:rsidR="006D7EA3" w:rsidRPr="00731644">
        <w:rPr>
          <w:lang w:val="fr-CH"/>
        </w:rPr>
        <w:t>vite</w:t>
      </w:r>
      <w:r w:rsidR="00841F19" w:rsidRPr="00731644">
        <w:rPr>
          <w:lang w:val="fr-CH"/>
        </w:rPr>
        <w:t xml:space="preserve"> les obstacles et les difficultés auxquels elles se</w:t>
      </w:r>
      <w:r w:rsidR="00F31DD5" w:rsidRPr="00731644">
        <w:rPr>
          <w:lang w:val="fr-CH"/>
        </w:rPr>
        <w:t xml:space="preserve"> </w:t>
      </w:r>
      <w:r w:rsidR="00841F19" w:rsidRPr="00731644">
        <w:rPr>
          <w:lang w:val="fr-CH"/>
        </w:rPr>
        <w:t>heurtent.</w:t>
      </w:r>
      <w:r w:rsidR="00F31DD5" w:rsidRPr="00731644">
        <w:rPr>
          <w:lang w:val="fr-CH"/>
        </w:rPr>
        <w:t xml:space="preserve"> </w:t>
      </w:r>
    </w:p>
    <w:p w:rsidR="004C7BF6" w:rsidRPr="00731644" w:rsidRDefault="00D57047" w:rsidP="004C7BF6">
      <w:pPr>
        <w:pStyle w:val="SingleTxtG"/>
        <w:rPr>
          <w:lang w:val="fr-CH"/>
        </w:rPr>
      </w:pPr>
      <w:r w:rsidRPr="00731644">
        <w:rPr>
          <w:lang w:val="fr-CH"/>
        </w:rPr>
        <w:t>213.</w:t>
      </w:r>
      <w:r w:rsidRPr="00731644">
        <w:rPr>
          <w:lang w:val="fr-CH"/>
        </w:rPr>
        <w:tab/>
      </w:r>
      <w:r w:rsidR="00841F19" w:rsidRPr="00731644">
        <w:rPr>
          <w:lang w:val="fr-CH"/>
        </w:rPr>
        <w:t xml:space="preserve">Entrent dans la catégorie </w:t>
      </w:r>
      <w:r w:rsidR="00B569C5" w:rsidRPr="00731644">
        <w:rPr>
          <w:lang w:val="fr-CH"/>
        </w:rPr>
        <w:t>des personnes</w:t>
      </w:r>
      <w:r w:rsidR="00841F19" w:rsidRPr="00731644">
        <w:rPr>
          <w:lang w:val="fr-CH"/>
        </w:rPr>
        <w:t xml:space="preserve"> relativement difficiles à employer</w:t>
      </w:r>
      <w:r w:rsidR="00F31DD5" w:rsidRPr="00731644">
        <w:rPr>
          <w:lang w:val="fr-CH"/>
        </w:rPr>
        <w:t>:</w:t>
      </w:r>
      <w:r w:rsidR="00841F19" w:rsidRPr="00731644">
        <w:rPr>
          <w:lang w:val="fr-CH"/>
        </w:rPr>
        <w:t xml:space="preserve"> </w:t>
      </w:r>
      <w:r w:rsidR="00CB7658" w:rsidRPr="00731644">
        <w:rPr>
          <w:lang w:val="fr-CH"/>
        </w:rPr>
        <w:t>les personnes</w:t>
      </w:r>
      <w:r w:rsidR="00841F19" w:rsidRPr="00731644">
        <w:rPr>
          <w:lang w:val="fr-CH"/>
        </w:rPr>
        <w:t xml:space="preserve"> handicapées, l</w:t>
      </w:r>
      <w:r w:rsidR="008B5F71" w:rsidRPr="00731644">
        <w:rPr>
          <w:lang w:val="fr-CH"/>
        </w:rPr>
        <w:t>es</w:t>
      </w:r>
      <w:r w:rsidR="00841F19" w:rsidRPr="00731644">
        <w:rPr>
          <w:lang w:val="fr-CH"/>
        </w:rPr>
        <w:t xml:space="preserve"> membres des populations rom, a</w:t>
      </w:r>
      <w:r w:rsidR="004C7BF6" w:rsidRPr="00731644">
        <w:rPr>
          <w:lang w:val="fr-CH"/>
        </w:rPr>
        <w:t xml:space="preserve">shkali </w:t>
      </w:r>
      <w:r w:rsidR="00841F19" w:rsidRPr="00731644">
        <w:rPr>
          <w:lang w:val="fr-CH"/>
        </w:rPr>
        <w:t xml:space="preserve">et </w:t>
      </w:r>
      <w:r w:rsidR="00FE1874" w:rsidRPr="00731644">
        <w:rPr>
          <w:lang w:val="fr-CH"/>
        </w:rPr>
        <w:t>tziga</w:t>
      </w:r>
      <w:r w:rsidR="00841F19" w:rsidRPr="00731644">
        <w:rPr>
          <w:lang w:val="fr-CH"/>
        </w:rPr>
        <w:t>ne</w:t>
      </w:r>
      <w:r w:rsidR="004C7BF6" w:rsidRPr="00731644">
        <w:rPr>
          <w:lang w:val="fr-CH"/>
        </w:rPr>
        <w:t xml:space="preserve">, </w:t>
      </w:r>
      <w:r w:rsidR="00CB7658" w:rsidRPr="00731644">
        <w:rPr>
          <w:lang w:val="fr-CH"/>
        </w:rPr>
        <w:t>les personnes</w:t>
      </w:r>
      <w:r w:rsidR="004C7BF6" w:rsidRPr="00731644">
        <w:rPr>
          <w:lang w:val="fr-CH"/>
        </w:rPr>
        <w:t xml:space="preserve"> </w:t>
      </w:r>
      <w:r w:rsidR="00841F19" w:rsidRPr="00731644">
        <w:rPr>
          <w:lang w:val="fr-CH"/>
        </w:rPr>
        <w:t>licenciées</w:t>
      </w:r>
      <w:r w:rsidR="004C7BF6" w:rsidRPr="00731644">
        <w:rPr>
          <w:lang w:val="fr-CH"/>
        </w:rPr>
        <w:t xml:space="preserve"> </w:t>
      </w:r>
      <w:r w:rsidR="00841F19" w:rsidRPr="00731644">
        <w:rPr>
          <w:lang w:val="fr-CH"/>
        </w:rPr>
        <w:t xml:space="preserve">pour des motifs </w:t>
      </w:r>
      <w:r w:rsidR="004C7BF6" w:rsidRPr="00731644">
        <w:rPr>
          <w:lang w:val="fr-CH"/>
        </w:rPr>
        <w:t>techn</w:t>
      </w:r>
      <w:r w:rsidR="00841F19" w:rsidRPr="00731644">
        <w:rPr>
          <w:lang w:val="fr-CH"/>
        </w:rPr>
        <w:t>iques ou é</w:t>
      </w:r>
      <w:r w:rsidR="004C7BF6" w:rsidRPr="00731644">
        <w:rPr>
          <w:lang w:val="fr-CH"/>
        </w:rPr>
        <w:t>conomi</w:t>
      </w:r>
      <w:r w:rsidR="00841F19" w:rsidRPr="00731644">
        <w:rPr>
          <w:lang w:val="fr-CH"/>
        </w:rPr>
        <w:t xml:space="preserve">ques </w:t>
      </w:r>
      <w:r w:rsidR="004C7BF6" w:rsidRPr="00731644">
        <w:rPr>
          <w:lang w:val="fr-CH"/>
        </w:rPr>
        <w:t>(</w:t>
      </w:r>
      <w:r w:rsidR="00841F19" w:rsidRPr="00731644">
        <w:rPr>
          <w:lang w:val="fr-CH"/>
        </w:rPr>
        <w:t>main d</w:t>
      </w:r>
      <w:r w:rsidR="00425386" w:rsidRPr="00731644">
        <w:rPr>
          <w:lang w:val="fr-CH"/>
        </w:rPr>
        <w:t>’</w:t>
      </w:r>
      <w:r w:rsidR="0083174F" w:rsidRPr="00731644">
        <w:rPr>
          <w:lang w:val="fr-CH"/>
        </w:rPr>
        <w:t>œuvre</w:t>
      </w:r>
      <w:r w:rsidR="00841F19" w:rsidRPr="00731644">
        <w:rPr>
          <w:lang w:val="fr-CH"/>
        </w:rPr>
        <w:t xml:space="preserve"> </w:t>
      </w:r>
      <w:r w:rsidR="00FE1874" w:rsidRPr="00731644">
        <w:rPr>
          <w:lang w:val="fr-CH"/>
        </w:rPr>
        <w:t xml:space="preserve">devenue </w:t>
      </w:r>
      <w:r w:rsidR="00841F19" w:rsidRPr="00731644">
        <w:rPr>
          <w:lang w:val="fr-CH"/>
        </w:rPr>
        <w:t>excédentaire</w:t>
      </w:r>
      <w:r w:rsidR="004C7BF6" w:rsidRPr="00731644">
        <w:rPr>
          <w:lang w:val="fr-CH"/>
        </w:rPr>
        <w:t xml:space="preserve">), </w:t>
      </w:r>
      <w:r w:rsidR="00CB7658" w:rsidRPr="00731644">
        <w:rPr>
          <w:lang w:val="fr-CH"/>
        </w:rPr>
        <w:t>les personnes</w:t>
      </w:r>
      <w:r w:rsidR="00A14749" w:rsidRPr="00731644">
        <w:rPr>
          <w:lang w:val="fr-CH"/>
        </w:rPr>
        <w:t xml:space="preserve"> de plus de 50</w:t>
      </w:r>
      <w:r w:rsidR="00976D48">
        <w:rPr>
          <w:lang w:val="fr-CH"/>
        </w:rPr>
        <w:t> ans</w:t>
      </w:r>
      <w:r w:rsidR="004C7BF6" w:rsidRPr="00731644">
        <w:rPr>
          <w:lang w:val="fr-CH"/>
        </w:rPr>
        <w:t xml:space="preserve">, </w:t>
      </w:r>
      <w:r w:rsidR="008B5F71" w:rsidRPr="00731644">
        <w:rPr>
          <w:lang w:val="fr-CH"/>
        </w:rPr>
        <w:t>celles</w:t>
      </w:r>
      <w:r w:rsidR="00A14749" w:rsidRPr="00731644">
        <w:rPr>
          <w:lang w:val="fr-CH"/>
        </w:rPr>
        <w:t xml:space="preserve"> qui n</w:t>
      </w:r>
      <w:r w:rsidR="00425386" w:rsidRPr="00731644">
        <w:rPr>
          <w:lang w:val="fr-CH"/>
        </w:rPr>
        <w:t>’</w:t>
      </w:r>
      <w:r w:rsidR="00A14749" w:rsidRPr="00731644">
        <w:rPr>
          <w:lang w:val="fr-CH"/>
        </w:rPr>
        <w:t>ont pas d</w:t>
      </w:r>
      <w:r w:rsidR="00425386" w:rsidRPr="00731644">
        <w:rPr>
          <w:lang w:val="fr-CH"/>
        </w:rPr>
        <w:t>’</w:t>
      </w:r>
      <w:r w:rsidR="00A14749" w:rsidRPr="00731644">
        <w:rPr>
          <w:lang w:val="fr-CH"/>
        </w:rPr>
        <w:t>instruction ou qui ont quitté l</w:t>
      </w:r>
      <w:r w:rsidR="00425386" w:rsidRPr="00731644">
        <w:rPr>
          <w:lang w:val="fr-CH"/>
        </w:rPr>
        <w:t>’</w:t>
      </w:r>
      <w:r w:rsidR="00A14749" w:rsidRPr="00731644">
        <w:rPr>
          <w:lang w:val="fr-CH"/>
        </w:rPr>
        <w:t xml:space="preserve">école prématurément </w:t>
      </w:r>
      <w:r w:rsidR="004C7BF6" w:rsidRPr="00731644">
        <w:rPr>
          <w:lang w:val="fr-CH"/>
        </w:rPr>
        <w:t>(</w:t>
      </w:r>
      <w:r w:rsidR="00A14749" w:rsidRPr="00731644">
        <w:rPr>
          <w:lang w:val="fr-CH"/>
        </w:rPr>
        <w:t>abandons scolaires</w:t>
      </w:r>
      <w:r w:rsidR="004C7BF6" w:rsidRPr="00731644">
        <w:rPr>
          <w:lang w:val="fr-CH"/>
        </w:rPr>
        <w:t xml:space="preserve">), </w:t>
      </w:r>
      <w:r w:rsidR="008B5F71" w:rsidRPr="00731644">
        <w:rPr>
          <w:lang w:val="fr-CH"/>
        </w:rPr>
        <w:t>celles qui sont</w:t>
      </w:r>
      <w:r w:rsidR="00A14749" w:rsidRPr="00731644">
        <w:rPr>
          <w:lang w:val="fr-CH"/>
        </w:rPr>
        <w:t xml:space="preserve"> atteintes de maladies chroniques, de difficultés </w:t>
      </w:r>
      <w:r w:rsidR="004C7BF6" w:rsidRPr="00731644">
        <w:rPr>
          <w:lang w:val="fr-CH"/>
        </w:rPr>
        <w:t>psychi</w:t>
      </w:r>
      <w:r w:rsidR="00A14749" w:rsidRPr="00731644">
        <w:rPr>
          <w:lang w:val="fr-CH"/>
        </w:rPr>
        <w:t xml:space="preserve">ques ou de </w:t>
      </w:r>
      <w:r w:rsidR="00913C84" w:rsidRPr="00731644">
        <w:rPr>
          <w:lang w:val="fr-CH"/>
        </w:rPr>
        <w:t>troubles mentaux</w:t>
      </w:r>
      <w:r w:rsidR="004C7BF6" w:rsidRPr="00731644">
        <w:rPr>
          <w:lang w:val="fr-CH"/>
        </w:rPr>
        <w:t xml:space="preserve">, </w:t>
      </w:r>
      <w:r w:rsidR="00A14749" w:rsidRPr="00731644">
        <w:rPr>
          <w:lang w:val="fr-CH"/>
        </w:rPr>
        <w:t xml:space="preserve">les chômeurs de longue durée, </w:t>
      </w:r>
      <w:r w:rsidR="00CB7658" w:rsidRPr="00731644">
        <w:rPr>
          <w:lang w:val="fr-CH"/>
        </w:rPr>
        <w:t>les personnes</w:t>
      </w:r>
      <w:r w:rsidR="00A14749" w:rsidRPr="00731644">
        <w:rPr>
          <w:lang w:val="fr-CH"/>
        </w:rPr>
        <w:t xml:space="preserve"> dépendantes de </w:t>
      </w:r>
      <w:r w:rsidR="004C7BF6" w:rsidRPr="00731644">
        <w:rPr>
          <w:lang w:val="fr-CH"/>
        </w:rPr>
        <w:t xml:space="preserve">substances </w:t>
      </w:r>
      <w:r w:rsidR="00A14749" w:rsidRPr="00731644">
        <w:rPr>
          <w:lang w:val="fr-CH"/>
        </w:rPr>
        <w:t>psycho</w:t>
      </w:r>
      <w:r w:rsidR="00913C84" w:rsidRPr="00731644">
        <w:rPr>
          <w:lang w:val="fr-CH"/>
        </w:rPr>
        <w:t xml:space="preserve">actives </w:t>
      </w:r>
      <w:r w:rsidR="004C7BF6" w:rsidRPr="00731644">
        <w:rPr>
          <w:lang w:val="fr-CH"/>
        </w:rPr>
        <w:t>(</w:t>
      </w:r>
      <w:r w:rsidR="00A14749" w:rsidRPr="00731644">
        <w:rPr>
          <w:lang w:val="fr-CH"/>
        </w:rPr>
        <w:t>drogues, alcool</w:t>
      </w:r>
      <w:r w:rsidR="004C7BF6" w:rsidRPr="00731644">
        <w:rPr>
          <w:lang w:val="fr-CH"/>
        </w:rPr>
        <w:t xml:space="preserve">), </w:t>
      </w:r>
      <w:r w:rsidR="00CB7658" w:rsidRPr="00731644">
        <w:rPr>
          <w:lang w:val="fr-CH"/>
        </w:rPr>
        <w:t>les personnes</w:t>
      </w:r>
      <w:r w:rsidR="004C7BF6" w:rsidRPr="00731644">
        <w:rPr>
          <w:lang w:val="fr-CH"/>
        </w:rPr>
        <w:t xml:space="preserve"> </w:t>
      </w:r>
      <w:r w:rsidR="00913C84" w:rsidRPr="00731644">
        <w:rPr>
          <w:lang w:val="fr-CH"/>
        </w:rPr>
        <w:t>en suivi</w:t>
      </w:r>
      <w:r w:rsidR="004C7BF6" w:rsidRPr="00731644">
        <w:rPr>
          <w:lang w:val="fr-CH"/>
        </w:rPr>
        <w:t xml:space="preserve"> post-p</w:t>
      </w:r>
      <w:r w:rsidR="00913C84" w:rsidRPr="00731644">
        <w:rPr>
          <w:lang w:val="fr-CH"/>
        </w:rPr>
        <w:t>é</w:t>
      </w:r>
      <w:r w:rsidR="004C7BF6" w:rsidRPr="00731644">
        <w:rPr>
          <w:lang w:val="fr-CH"/>
        </w:rPr>
        <w:t xml:space="preserve">nal, </w:t>
      </w:r>
      <w:r w:rsidR="00913C84" w:rsidRPr="00731644">
        <w:rPr>
          <w:lang w:val="fr-CH"/>
        </w:rPr>
        <w:t xml:space="preserve">les chefs de famille monoparentale et </w:t>
      </w:r>
      <w:r w:rsidR="00CB7658" w:rsidRPr="00731644">
        <w:rPr>
          <w:lang w:val="fr-CH"/>
        </w:rPr>
        <w:t>les personnes</w:t>
      </w:r>
      <w:r w:rsidR="004C7BF6" w:rsidRPr="00731644">
        <w:rPr>
          <w:lang w:val="fr-CH"/>
        </w:rPr>
        <w:t xml:space="preserve"> </w:t>
      </w:r>
      <w:r w:rsidR="00A14749" w:rsidRPr="00731644">
        <w:rPr>
          <w:lang w:val="fr-CH"/>
        </w:rPr>
        <w:t>aux difficultés multiples</w:t>
      </w:r>
      <w:r w:rsidR="004C7BF6" w:rsidRPr="00731644">
        <w:rPr>
          <w:lang w:val="fr-CH"/>
        </w:rPr>
        <w:t>.</w:t>
      </w:r>
    </w:p>
    <w:p w:rsidR="004C7BF6" w:rsidRPr="00731644" w:rsidRDefault="00D57047" w:rsidP="00D57047">
      <w:pPr>
        <w:pStyle w:val="SingleTxtG"/>
        <w:rPr>
          <w:lang w:val="fr-CH"/>
        </w:rPr>
      </w:pPr>
      <w:r w:rsidRPr="00731644">
        <w:rPr>
          <w:lang w:val="fr-CH"/>
        </w:rPr>
        <w:t>214.</w:t>
      </w:r>
      <w:r w:rsidRPr="00731644">
        <w:rPr>
          <w:lang w:val="fr-CH"/>
        </w:rPr>
        <w:tab/>
      </w:r>
      <w:r w:rsidR="000566F2" w:rsidRPr="00731644">
        <w:rPr>
          <w:lang w:val="fr-CH"/>
        </w:rPr>
        <w:t xml:space="preserve">La </w:t>
      </w:r>
      <w:r w:rsidR="000566F2" w:rsidRPr="00937509">
        <w:rPr>
          <w:iCs/>
          <w:lang w:val="fr-CH"/>
        </w:rPr>
        <w:t>loi relative à l</w:t>
      </w:r>
      <w:r w:rsidR="00425386" w:rsidRPr="00937509">
        <w:rPr>
          <w:iCs/>
          <w:lang w:val="fr-CH"/>
        </w:rPr>
        <w:t>’</w:t>
      </w:r>
      <w:r w:rsidR="000566F2" w:rsidRPr="00937509">
        <w:rPr>
          <w:iCs/>
          <w:lang w:val="fr-CH"/>
        </w:rPr>
        <w:t xml:space="preserve">emploi et </w:t>
      </w:r>
      <w:r w:rsidR="00E42688" w:rsidRPr="00937509">
        <w:rPr>
          <w:iCs/>
          <w:lang w:val="fr-CH"/>
        </w:rPr>
        <w:t>aux</w:t>
      </w:r>
      <w:r w:rsidR="000566F2" w:rsidRPr="00937509">
        <w:rPr>
          <w:iCs/>
          <w:lang w:val="fr-CH"/>
        </w:rPr>
        <w:t xml:space="preserve"> droits </w:t>
      </w:r>
      <w:r w:rsidR="000439A0" w:rsidRPr="00937509">
        <w:rPr>
          <w:iCs/>
          <w:lang w:val="fr-CH"/>
        </w:rPr>
        <w:t xml:space="preserve">aux </w:t>
      </w:r>
      <w:r w:rsidR="00D853F8" w:rsidRPr="00937509">
        <w:rPr>
          <w:iCs/>
          <w:lang w:val="fr-CH"/>
        </w:rPr>
        <w:t>prest</w:t>
      </w:r>
      <w:r w:rsidR="000439A0" w:rsidRPr="00937509">
        <w:rPr>
          <w:iCs/>
          <w:lang w:val="fr-CH"/>
        </w:rPr>
        <w:t>ations de</w:t>
      </w:r>
      <w:r w:rsidR="000566F2" w:rsidRPr="00937509">
        <w:rPr>
          <w:iCs/>
          <w:lang w:val="fr-CH"/>
        </w:rPr>
        <w:t xml:space="preserve"> l</w:t>
      </w:r>
      <w:r w:rsidR="00425386" w:rsidRPr="00937509">
        <w:rPr>
          <w:iCs/>
          <w:lang w:val="fr-CH"/>
        </w:rPr>
        <w:t>’</w:t>
      </w:r>
      <w:r w:rsidR="000566F2" w:rsidRPr="00937509">
        <w:rPr>
          <w:iCs/>
          <w:lang w:val="fr-CH"/>
        </w:rPr>
        <w:t xml:space="preserve">assurance chômage </w:t>
      </w:r>
      <w:r w:rsidR="000566F2" w:rsidRPr="00731644">
        <w:rPr>
          <w:lang w:val="fr-CH"/>
        </w:rPr>
        <w:t xml:space="preserve">définit la politique </w:t>
      </w:r>
      <w:r w:rsidR="00913C84" w:rsidRPr="00731644">
        <w:rPr>
          <w:lang w:val="fr-CH"/>
        </w:rPr>
        <w:t>dynamique</w:t>
      </w:r>
      <w:r w:rsidR="000566F2" w:rsidRPr="00731644">
        <w:rPr>
          <w:lang w:val="fr-CH"/>
        </w:rPr>
        <w:t xml:space="preserve"> de l</w:t>
      </w:r>
      <w:r w:rsidR="00425386" w:rsidRPr="00731644">
        <w:rPr>
          <w:lang w:val="fr-CH"/>
        </w:rPr>
        <w:t>’</w:t>
      </w:r>
      <w:r w:rsidR="000566F2" w:rsidRPr="00731644">
        <w:rPr>
          <w:lang w:val="fr-CH"/>
        </w:rPr>
        <w:t>emploi comme un ensemble de plans, de programmes</w:t>
      </w:r>
      <w:r w:rsidR="004C7BF6" w:rsidRPr="00731644">
        <w:rPr>
          <w:lang w:val="fr-CH"/>
        </w:rPr>
        <w:t xml:space="preserve"> </w:t>
      </w:r>
      <w:r w:rsidR="000566F2" w:rsidRPr="00731644">
        <w:rPr>
          <w:lang w:val="fr-CH"/>
        </w:rPr>
        <w:t>et de mesures visant à accroître l</w:t>
      </w:r>
      <w:r w:rsidR="00425386" w:rsidRPr="00731644">
        <w:rPr>
          <w:lang w:val="fr-CH"/>
        </w:rPr>
        <w:t>’</w:t>
      </w:r>
      <w:r w:rsidR="000566F2" w:rsidRPr="00731644">
        <w:rPr>
          <w:lang w:val="fr-CH"/>
        </w:rPr>
        <w:t>emploi, c</w:t>
      </w:r>
      <w:r w:rsidR="00425386" w:rsidRPr="00731644">
        <w:rPr>
          <w:lang w:val="fr-CH"/>
        </w:rPr>
        <w:t>’</w:t>
      </w:r>
      <w:r w:rsidR="000566F2" w:rsidRPr="00731644">
        <w:rPr>
          <w:lang w:val="fr-CH"/>
        </w:rPr>
        <w:t xml:space="preserve">est-à-dire à réduire le chômage. </w:t>
      </w:r>
      <w:r w:rsidR="00FD2F8B" w:rsidRPr="00731644">
        <w:rPr>
          <w:lang w:val="fr-CH"/>
        </w:rPr>
        <w:t>Cette politique</w:t>
      </w:r>
      <w:r w:rsidR="000566F2" w:rsidRPr="00731644">
        <w:rPr>
          <w:lang w:val="fr-CH"/>
        </w:rPr>
        <w:t xml:space="preserve"> fait partie de la </w:t>
      </w:r>
      <w:r w:rsidR="00FD2F8B" w:rsidRPr="00731644">
        <w:rPr>
          <w:lang w:val="fr-CH"/>
        </w:rPr>
        <w:t>S</w:t>
      </w:r>
      <w:r w:rsidR="000566F2" w:rsidRPr="00731644">
        <w:rPr>
          <w:lang w:val="fr-CH"/>
        </w:rPr>
        <w:t xml:space="preserve">tratégie nationale </w:t>
      </w:r>
      <w:r w:rsidR="007F4E38" w:rsidRPr="00731644">
        <w:rPr>
          <w:lang w:val="fr-CH"/>
        </w:rPr>
        <w:t>de</w:t>
      </w:r>
      <w:r w:rsidR="000566F2" w:rsidRPr="00731644">
        <w:rPr>
          <w:lang w:val="fr-CH"/>
        </w:rPr>
        <w:t xml:space="preserve"> l</w:t>
      </w:r>
      <w:r w:rsidR="00425386" w:rsidRPr="00731644">
        <w:rPr>
          <w:lang w:val="fr-CH"/>
        </w:rPr>
        <w:t>’</w:t>
      </w:r>
      <w:r w:rsidR="000566F2" w:rsidRPr="00731644">
        <w:rPr>
          <w:lang w:val="fr-CH"/>
        </w:rPr>
        <w:t xml:space="preserve">emploi et </w:t>
      </w:r>
      <w:r w:rsidR="007F4E38" w:rsidRPr="00731644">
        <w:rPr>
          <w:lang w:val="fr-CH"/>
        </w:rPr>
        <w:t xml:space="preserve">de </w:t>
      </w:r>
      <w:r w:rsidR="000566F2" w:rsidRPr="00731644">
        <w:rPr>
          <w:lang w:val="fr-CH"/>
        </w:rPr>
        <w:t>la mise en valeur des ressources humaines, qui détermine les axes prioritaires et les objectifs</w:t>
      </w:r>
      <w:r w:rsidR="00F31DD5" w:rsidRPr="00731644">
        <w:rPr>
          <w:lang w:val="fr-CH"/>
        </w:rPr>
        <w:t xml:space="preserve"> </w:t>
      </w:r>
      <w:r w:rsidR="000566F2" w:rsidRPr="00731644">
        <w:rPr>
          <w:lang w:val="fr-CH"/>
        </w:rPr>
        <w:t>de la politique de l</w:t>
      </w:r>
      <w:r w:rsidR="00425386" w:rsidRPr="00731644">
        <w:rPr>
          <w:lang w:val="fr-CH"/>
        </w:rPr>
        <w:t>’</w:t>
      </w:r>
      <w:r w:rsidR="000566F2" w:rsidRPr="00731644">
        <w:rPr>
          <w:lang w:val="fr-CH"/>
        </w:rPr>
        <w:t>emploi pour quatre</w:t>
      </w:r>
      <w:r w:rsidR="00976D48">
        <w:rPr>
          <w:lang w:val="fr-CH"/>
        </w:rPr>
        <w:t> ans</w:t>
      </w:r>
      <w:r w:rsidR="000566F2" w:rsidRPr="00731644">
        <w:rPr>
          <w:lang w:val="fr-CH"/>
        </w:rPr>
        <w:t xml:space="preserve"> au moins. La </w:t>
      </w:r>
      <w:r w:rsidR="00FD2F8B" w:rsidRPr="00731644">
        <w:rPr>
          <w:lang w:val="fr-CH"/>
        </w:rPr>
        <w:t>S</w:t>
      </w:r>
      <w:r w:rsidR="000566F2" w:rsidRPr="00731644">
        <w:rPr>
          <w:lang w:val="fr-CH"/>
        </w:rPr>
        <w:t xml:space="preserve">tratégie est adoptée par le Gouvernement du Monténégro. </w:t>
      </w:r>
    </w:p>
    <w:p w:rsidR="001C2811" w:rsidRPr="00731644" w:rsidRDefault="00D57047" w:rsidP="004C7BF6">
      <w:pPr>
        <w:pStyle w:val="SingleTxtG"/>
        <w:rPr>
          <w:lang w:val="fr-CH"/>
        </w:rPr>
      </w:pPr>
      <w:r w:rsidRPr="00731644">
        <w:rPr>
          <w:bCs/>
          <w:lang w:val="fr-CH"/>
        </w:rPr>
        <w:t>215.</w:t>
      </w:r>
      <w:r w:rsidRPr="00731644">
        <w:rPr>
          <w:bCs/>
          <w:lang w:val="fr-CH"/>
        </w:rPr>
        <w:tab/>
      </w:r>
      <w:r w:rsidR="000566F2" w:rsidRPr="00731644">
        <w:rPr>
          <w:bCs/>
          <w:lang w:val="fr-CH"/>
        </w:rPr>
        <w:t>L</w:t>
      </w:r>
      <w:r w:rsidR="000566F2" w:rsidRPr="00731644">
        <w:rPr>
          <w:lang w:val="fr-CH"/>
        </w:rPr>
        <w:t xml:space="preserve">a </w:t>
      </w:r>
      <w:r w:rsidR="00F678C1" w:rsidRPr="00731644">
        <w:rPr>
          <w:lang w:val="fr-CH"/>
        </w:rPr>
        <w:t>S</w:t>
      </w:r>
      <w:r w:rsidR="000566F2" w:rsidRPr="00731644">
        <w:rPr>
          <w:lang w:val="fr-CH"/>
        </w:rPr>
        <w:t xml:space="preserve">tratégie nationale </w:t>
      </w:r>
      <w:r w:rsidR="007F4E38" w:rsidRPr="00731644">
        <w:rPr>
          <w:lang w:val="fr-CH"/>
        </w:rPr>
        <w:t xml:space="preserve">de </w:t>
      </w:r>
      <w:r w:rsidR="000566F2" w:rsidRPr="00731644">
        <w:rPr>
          <w:lang w:val="fr-CH"/>
        </w:rPr>
        <w:t>l</w:t>
      </w:r>
      <w:r w:rsidR="00425386" w:rsidRPr="00731644">
        <w:rPr>
          <w:lang w:val="fr-CH"/>
        </w:rPr>
        <w:t>’</w:t>
      </w:r>
      <w:r w:rsidR="00F678C1" w:rsidRPr="00731644">
        <w:rPr>
          <w:lang w:val="fr-CH"/>
        </w:rPr>
        <w:t xml:space="preserve">emploi et </w:t>
      </w:r>
      <w:r w:rsidR="007F4E38" w:rsidRPr="00731644">
        <w:rPr>
          <w:lang w:val="fr-CH"/>
        </w:rPr>
        <w:t xml:space="preserve">de </w:t>
      </w:r>
      <w:r w:rsidR="000566F2" w:rsidRPr="00731644">
        <w:rPr>
          <w:lang w:val="fr-CH"/>
        </w:rPr>
        <w:t>la mise en valeur des ressources humaines</w:t>
      </w:r>
      <w:r w:rsidR="00F678C1" w:rsidRPr="00731644">
        <w:rPr>
          <w:lang w:val="fr-CH"/>
        </w:rPr>
        <w:t xml:space="preserve"> </w:t>
      </w:r>
      <w:r w:rsidR="004C7BF6" w:rsidRPr="00731644">
        <w:rPr>
          <w:bCs/>
          <w:lang w:val="fr-CH"/>
        </w:rPr>
        <w:t xml:space="preserve">2007-2011 </w:t>
      </w:r>
      <w:r w:rsidR="000566F2" w:rsidRPr="00731644">
        <w:rPr>
          <w:bCs/>
          <w:lang w:val="fr-CH"/>
        </w:rPr>
        <w:t xml:space="preserve">définit les objectifs pour cette période, conformément aux </w:t>
      </w:r>
      <w:r w:rsidR="001C2811" w:rsidRPr="00731644">
        <w:rPr>
          <w:bCs/>
          <w:lang w:val="fr-CH"/>
        </w:rPr>
        <w:t>p</w:t>
      </w:r>
      <w:r w:rsidR="000566F2" w:rsidRPr="00731644">
        <w:rPr>
          <w:bCs/>
          <w:lang w:val="fr-CH"/>
        </w:rPr>
        <w:t>rinci</w:t>
      </w:r>
      <w:r w:rsidR="001C2811" w:rsidRPr="00731644">
        <w:rPr>
          <w:bCs/>
          <w:lang w:val="fr-CH"/>
        </w:rPr>
        <w:t>p</w:t>
      </w:r>
      <w:r w:rsidR="000566F2" w:rsidRPr="00731644">
        <w:rPr>
          <w:bCs/>
          <w:lang w:val="fr-CH"/>
        </w:rPr>
        <w:t>es directeurs de la politique de l</w:t>
      </w:r>
      <w:r w:rsidR="00425386" w:rsidRPr="00731644">
        <w:rPr>
          <w:bCs/>
          <w:lang w:val="fr-CH"/>
        </w:rPr>
        <w:t>’</w:t>
      </w:r>
      <w:r w:rsidR="000566F2" w:rsidRPr="00731644">
        <w:rPr>
          <w:bCs/>
          <w:lang w:val="fr-CH"/>
        </w:rPr>
        <w:t>emploi de l</w:t>
      </w:r>
      <w:r w:rsidR="00425386" w:rsidRPr="00731644">
        <w:rPr>
          <w:bCs/>
          <w:lang w:val="fr-CH"/>
        </w:rPr>
        <w:t>’</w:t>
      </w:r>
      <w:r w:rsidR="000566F2" w:rsidRPr="00731644">
        <w:rPr>
          <w:bCs/>
          <w:lang w:val="fr-CH"/>
        </w:rPr>
        <w:t>Union européenne.</w:t>
      </w:r>
      <w:r w:rsidR="00FD2F8B" w:rsidRPr="00731644">
        <w:rPr>
          <w:bCs/>
          <w:lang w:val="fr-CH"/>
        </w:rPr>
        <w:t xml:space="preserve"> Parmi ces</w:t>
      </w:r>
      <w:r w:rsidR="001C2811" w:rsidRPr="00731644">
        <w:rPr>
          <w:bCs/>
          <w:lang w:val="fr-CH"/>
        </w:rPr>
        <w:t xml:space="preserve"> principes </w:t>
      </w:r>
      <w:r w:rsidR="00FD2F8B" w:rsidRPr="00731644">
        <w:rPr>
          <w:bCs/>
          <w:lang w:val="fr-CH"/>
        </w:rPr>
        <w:t>figurent</w:t>
      </w:r>
      <w:r w:rsidR="001C2811" w:rsidRPr="00731644">
        <w:rPr>
          <w:bCs/>
          <w:lang w:val="fr-CH"/>
        </w:rPr>
        <w:t xml:space="preserve"> l</w:t>
      </w:r>
      <w:r w:rsidR="00425386" w:rsidRPr="00731644">
        <w:rPr>
          <w:bCs/>
          <w:lang w:val="fr-CH"/>
        </w:rPr>
        <w:t>’</w:t>
      </w:r>
      <w:r w:rsidR="001C2811" w:rsidRPr="00731644">
        <w:rPr>
          <w:bCs/>
          <w:lang w:val="fr-CH"/>
        </w:rPr>
        <w:t>élimination de toutes les formes de discrimination sur le marché de l</w:t>
      </w:r>
      <w:r w:rsidR="00425386" w:rsidRPr="00731644">
        <w:rPr>
          <w:bCs/>
          <w:lang w:val="fr-CH"/>
        </w:rPr>
        <w:t>’</w:t>
      </w:r>
      <w:r w:rsidR="001C2811" w:rsidRPr="00731644">
        <w:rPr>
          <w:bCs/>
          <w:lang w:val="fr-CH"/>
        </w:rPr>
        <w:t>emploi et la création de chances égales pour tous,</w:t>
      </w:r>
      <w:r w:rsidR="00F31DD5" w:rsidRPr="00731644">
        <w:rPr>
          <w:bCs/>
          <w:lang w:val="fr-CH"/>
        </w:rPr>
        <w:t xml:space="preserve"> </w:t>
      </w:r>
      <w:r w:rsidR="001C2811" w:rsidRPr="00731644">
        <w:rPr>
          <w:bCs/>
          <w:lang w:val="fr-CH"/>
        </w:rPr>
        <w:t xml:space="preserve">ainsi </w:t>
      </w:r>
      <w:r w:rsidR="00602D81" w:rsidRPr="00731644">
        <w:rPr>
          <w:bCs/>
          <w:lang w:val="fr-CH"/>
        </w:rPr>
        <w:t>qu</w:t>
      </w:r>
      <w:r w:rsidR="00425386" w:rsidRPr="00731644">
        <w:rPr>
          <w:bCs/>
          <w:lang w:val="fr-CH"/>
        </w:rPr>
        <w:t>’</w:t>
      </w:r>
      <w:r w:rsidR="00602D81" w:rsidRPr="00731644">
        <w:rPr>
          <w:bCs/>
          <w:lang w:val="fr-CH"/>
        </w:rPr>
        <w:t xml:space="preserve">une meilleure </w:t>
      </w:r>
      <w:r w:rsidR="001C2811" w:rsidRPr="00731644">
        <w:rPr>
          <w:bCs/>
          <w:lang w:val="fr-CH"/>
        </w:rPr>
        <w:t>in</w:t>
      </w:r>
      <w:r w:rsidR="00602D81" w:rsidRPr="00731644">
        <w:rPr>
          <w:bCs/>
          <w:lang w:val="fr-CH"/>
        </w:rPr>
        <w:t>ser</w:t>
      </w:r>
      <w:r w:rsidR="001C2811" w:rsidRPr="00731644">
        <w:rPr>
          <w:bCs/>
          <w:lang w:val="fr-CH"/>
        </w:rPr>
        <w:t xml:space="preserve">tion </w:t>
      </w:r>
      <w:r w:rsidR="00602D81" w:rsidRPr="00731644">
        <w:rPr>
          <w:bCs/>
          <w:lang w:val="fr-CH"/>
        </w:rPr>
        <w:t>sur</w:t>
      </w:r>
      <w:r w:rsidR="00FD2F8B" w:rsidRPr="00731644">
        <w:rPr>
          <w:bCs/>
          <w:lang w:val="fr-CH"/>
        </w:rPr>
        <w:t xml:space="preserve"> ce marché </w:t>
      </w:r>
      <w:r w:rsidR="001C2811" w:rsidRPr="00731644">
        <w:rPr>
          <w:bCs/>
          <w:lang w:val="fr-CH"/>
        </w:rPr>
        <w:t>des groupes relativement difficiles à employer. L</w:t>
      </w:r>
      <w:r w:rsidR="00425386" w:rsidRPr="00731644">
        <w:rPr>
          <w:bCs/>
          <w:lang w:val="fr-CH"/>
        </w:rPr>
        <w:t>’</w:t>
      </w:r>
      <w:r w:rsidR="001C2811" w:rsidRPr="00731644">
        <w:rPr>
          <w:bCs/>
          <w:lang w:val="fr-CH"/>
        </w:rPr>
        <w:t xml:space="preserve">un des buts de la </w:t>
      </w:r>
      <w:r w:rsidR="00F678C1" w:rsidRPr="00731644">
        <w:rPr>
          <w:bCs/>
          <w:lang w:val="fr-CH"/>
        </w:rPr>
        <w:t>S</w:t>
      </w:r>
      <w:r w:rsidR="001C2811" w:rsidRPr="00731644">
        <w:rPr>
          <w:bCs/>
          <w:lang w:val="fr-CH"/>
        </w:rPr>
        <w:t>tratégie est de mettre au point des programmes s</w:t>
      </w:r>
      <w:r w:rsidR="00FD2F8B" w:rsidRPr="00731644">
        <w:rPr>
          <w:bCs/>
          <w:lang w:val="fr-CH"/>
        </w:rPr>
        <w:t>p</w:t>
      </w:r>
      <w:r w:rsidR="001C2811" w:rsidRPr="00731644">
        <w:rPr>
          <w:bCs/>
          <w:lang w:val="fr-CH"/>
        </w:rPr>
        <w:t xml:space="preserve">éciaux et de préparer </w:t>
      </w:r>
      <w:r w:rsidR="00FD2F8B" w:rsidRPr="00731644">
        <w:rPr>
          <w:bCs/>
          <w:lang w:val="fr-CH"/>
        </w:rPr>
        <w:t>du personnel</w:t>
      </w:r>
      <w:r w:rsidR="001C2811" w:rsidRPr="00731644">
        <w:rPr>
          <w:bCs/>
          <w:lang w:val="fr-CH"/>
        </w:rPr>
        <w:t xml:space="preserve"> spécialisé </w:t>
      </w:r>
      <w:r w:rsidR="00FD2F8B" w:rsidRPr="00731644">
        <w:rPr>
          <w:bCs/>
          <w:lang w:val="fr-CH"/>
        </w:rPr>
        <w:t>à</w:t>
      </w:r>
      <w:r w:rsidR="001C2811" w:rsidRPr="00731644">
        <w:rPr>
          <w:bCs/>
          <w:lang w:val="fr-CH"/>
        </w:rPr>
        <w:t xml:space="preserve"> travailler auprès des groupes relativement difficiles à employer, </w:t>
      </w:r>
      <w:r w:rsidR="00FD2F8B" w:rsidRPr="00731644">
        <w:rPr>
          <w:bCs/>
          <w:lang w:val="fr-CH"/>
        </w:rPr>
        <w:t xml:space="preserve">notamment </w:t>
      </w:r>
      <w:r w:rsidR="002A5033" w:rsidRPr="00731644">
        <w:rPr>
          <w:bCs/>
          <w:lang w:val="fr-CH"/>
        </w:rPr>
        <w:t>l</w:t>
      </w:r>
      <w:r w:rsidR="00FD2F8B" w:rsidRPr="00731644">
        <w:rPr>
          <w:bCs/>
          <w:lang w:val="fr-CH"/>
        </w:rPr>
        <w:t>es</w:t>
      </w:r>
      <w:r w:rsidR="001C2811" w:rsidRPr="00731644">
        <w:rPr>
          <w:bCs/>
          <w:lang w:val="fr-CH"/>
        </w:rPr>
        <w:t xml:space="preserve"> </w:t>
      </w:r>
      <w:r w:rsidR="00FD2F8B" w:rsidRPr="00731644">
        <w:rPr>
          <w:bCs/>
          <w:lang w:val="fr-CH"/>
        </w:rPr>
        <w:t xml:space="preserve">Roms, </w:t>
      </w:r>
      <w:r w:rsidR="002A5033" w:rsidRPr="00731644">
        <w:rPr>
          <w:bCs/>
          <w:lang w:val="fr-CH"/>
        </w:rPr>
        <w:t>l</w:t>
      </w:r>
      <w:r w:rsidR="00FD2F8B" w:rsidRPr="00731644">
        <w:rPr>
          <w:bCs/>
          <w:lang w:val="fr-CH"/>
        </w:rPr>
        <w:t xml:space="preserve">es </w:t>
      </w:r>
      <w:r w:rsidR="002A5033" w:rsidRPr="00731644">
        <w:rPr>
          <w:bCs/>
          <w:lang w:val="fr-CH"/>
        </w:rPr>
        <w:t>Ashkali</w:t>
      </w:r>
      <w:r w:rsidR="001C2811" w:rsidRPr="00731644">
        <w:rPr>
          <w:bCs/>
          <w:lang w:val="fr-CH"/>
        </w:rPr>
        <w:t xml:space="preserve"> et </w:t>
      </w:r>
      <w:r w:rsidR="002A5033" w:rsidRPr="00731644">
        <w:rPr>
          <w:bCs/>
          <w:lang w:val="fr-CH"/>
        </w:rPr>
        <w:t>l</w:t>
      </w:r>
      <w:r w:rsidR="001C2811" w:rsidRPr="00731644">
        <w:rPr>
          <w:bCs/>
          <w:lang w:val="fr-CH"/>
        </w:rPr>
        <w:t xml:space="preserve">es </w:t>
      </w:r>
      <w:r w:rsidR="00A95D03" w:rsidRPr="00731644">
        <w:rPr>
          <w:bCs/>
          <w:lang w:val="fr-CH"/>
        </w:rPr>
        <w:t>tziganes</w:t>
      </w:r>
      <w:r w:rsidR="00FD2F8B" w:rsidRPr="00731644">
        <w:rPr>
          <w:bCs/>
          <w:lang w:val="fr-CH"/>
        </w:rPr>
        <w:t>,</w:t>
      </w:r>
      <w:r w:rsidR="001C2811" w:rsidRPr="00731644">
        <w:rPr>
          <w:bCs/>
          <w:lang w:val="fr-CH"/>
        </w:rPr>
        <w:t xml:space="preserve"> </w:t>
      </w:r>
      <w:r w:rsidR="00FD2F8B" w:rsidRPr="00731644">
        <w:rPr>
          <w:bCs/>
          <w:lang w:val="fr-CH"/>
        </w:rPr>
        <w:t>afin d</w:t>
      </w:r>
      <w:r w:rsidR="00425386" w:rsidRPr="00731644">
        <w:rPr>
          <w:bCs/>
          <w:lang w:val="fr-CH"/>
        </w:rPr>
        <w:t>’</w:t>
      </w:r>
      <w:r w:rsidR="001C2811" w:rsidRPr="00731644">
        <w:rPr>
          <w:bCs/>
          <w:lang w:val="fr-CH"/>
        </w:rPr>
        <w:t>accroître leur taux d</w:t>
      </w:r>
      <w:r w:rsidR="00425386" w:rsidRPr="00731644">
        <w:rPr>
          <w:bCs/>
          <w:lang w:val="fr-CH"/>
        </w:rPr>
        <w:t>’</w:t>
      </w:r>
      <w:r w:rsidR="001C2811" w:rsidRPr="00731644">
        <w:rPr>
          <w:bCs/>
          <w:lang w:val="fr-CH"/>
        </w:rPr>
        <w:t xml:space="preserve">emploi. </w:t>
      </w:r>
      <w:r w:rsidR="001C2811" w:rsidRPr="00731644">
        <w:rPr>
          <w:lang w:val="fr-CH"/>
        </w:rPr>
        <w:t xml:space="preserve">Les activités et les mesures clés prévues dans la </w:t>
      </w:r>
      <w:r w:rsidR="00A95D03" w:rsidRPr="00731644">
        <w:rPr>
          <w:lang w:val="fr-CH"/>
        </w:rPr>
        <w:t>S</w:t>
      </w:r>
      <w:r w:rsidR="001C2811" w:rsidRPr="00731644">
        <w:rPr>
          <w:lang w:val="fr-CH"/>
        </w:rPr>
        <w:t>tratégie à l</w:t>
      </w:r>
      <w:r w:rsidR="00425386" w:rsidRPr="00731644">
        <w:rPr>
          <w:lang w:val="fr-CH"/>
        </w:rPr>
        <w:t>’</w:t>
      </w:r>
      <w:r w:rsidR="001C2811" w:rsidRPr="00731644">
        <w:rPr>
          <w:lang w:val="fr-CH"/>
        </w:rPr>
        <w:t xml:space="preserve">intention des membres des minorités ethniques sont des travaux </w:t>
      </w:r>
      <w:r w:rsidR="00A95D03" w:rsidRPr="00731644">
        <w:rPr>
          <w:lang w:val="fr-CH"/>
        </w:rPr>
        <w:t>d</w:t>
      </w:r>
      <w:r w:rsidR="00425386" w:rsidRPr="00731644">
        <w:rPr>
          <w:lang w:val="fr-CH"/>
        </w:rPr>
        <w:t>’</w:t>
      </w:r>
      <w:r w:rsidR="00A95D03" w:rsidRPr="00731644">
        <w:rPr>
          <w:lang w:val="fr-CH"/>
        </w:rPr>
        <w:t>intérêt public</w:t>
      </w:r>
      <w:r w:rsidR="001C2811" w:rsidRPr="00731644">
        <w:rPr>
          <w:lang w:val="fr-CH"/>
        </w:rPr>
        <w:t xml:space="preserve"> et des programmes d</w:t>
      </w:r>
      <w:r w:rsidR="00425386" w:rsidRPr="00731644">
        <w:rPr>
          <w:lang w:val="fr-CH"/>
        </w:rPr>
        <w:t>’</w:t>
      </w:r>
      <w:r w:rsidR="001C2811" w:rsidRPr="00731644">
        <w:rPr>
          <w:lang w:val="fr-CH"/>
        </w:rPr>
        <w:t xml:space="preserve">enseignement et de spécialisation. </w:t>
      </w:r>
    </w:p>
    <w:p w:rsidR="004C7BF6" w:rsidRPr="00731644" w:rsidRDefault="009E1684" w:rsidP="004C7BF6">
      <w:pPr>
        <w:pStyle w:val="SingleTxtG"/>
        <w:rPr>
          <w:lang w:val="fr-CH"/>
        </w:rPr>
      </w:pPr>
      <w:r w:rsidRPr="00731644">
        <w:rPr>
          <w:lang w:val="fr-CH"/>
        </w:rPr>
        <w:t>216.</w:t>
      </w:r>
      <w:r w:rsidRPr="00731644">
        <w:rPr>
          <w:lang w:val="fr-CH"/>
        </w:rPr>
        <w:tab/>
      </w:r>
      <w:r w:rsidR="001C2811" w:rsidRPr="00731644">
        <w:rPr>
          <w:lang w:val="fr-CH"/>
        </w:rPr>
        <w:t>L</w:t>
      </w:r>
      <w:r w:rsidR="00425386" w:rsidRPr="00731644">
        <w:rPr>
          <w:lang w:val="fr-CH"/>
        </w:rPr>
        <w:t>’</w:t>
      </w:r>
      <w:r w:rsidR="00A95D03" w:rsidRPr="00731644">
        <w:rPr>
          <w:lang w:val="fr-CH"/>
        </w:rPr>
        <w:t>application</w:t>
      </w:r>
      <w:r w:rsidR="001C2811" w:rsidRPr="00731644">
        <w:rPr>
          <w:lang w:val="fr-CH"/>
        </w:rPr>
        <w:t xml:space="preserve"> de la </w:t>
      </w:r>
      <w:r w:rsidR="00F678C1" w:rsidRPr="00731644">
        <w:rPr>
          <w:lang w:val="fr-CH"/>
        </w:rPr>
        <w:t>S</w:t>
      </w:r>
      <w:r w:rsidR="001C2811" w:rsidRPr="00731644">
        <w:rPr>
          <w:lang w:val="fr-CH"/>
        </w:rPr>
        <w:t>tratégie est précisée par des plans nationaux pour l</w:t>
      </w:r>
      <w:r w:rsidR="00425386" w:rsidRPr="00731644">
        <w:rPr>
          <w:lang w:val="fr-CH"/>
        </w:rPr>
        <w:t>’</w:t>
      </w:r>
      <w:r w:rsidR="001C2811" w:rsidRPr="00731644">
        <w:rPr>
          <w:lang w:val="fr-CH"/>
        </w:rPr>
        <w:t>emploi,</w:t>
      </w:r>
      <w:r w:rsidR="00F31DD5" w:rsidRPr="00731644">
        <w:rPr>
          <w:lang w:val="fr-CH"/>
        </w:rPr>
        <w:t xml:space="preserve"> </w:t>
      </w:r>
      <w:r w:rsidR="001C2811" w:rsidRPr="00731644">
        <w:rPr>
          <w:lang w:val="fr-CH"/>
        </w:rPr>
        <w:t>et les mesures clés pour l</w:t>
      </w:r>
      <w:r w:rsidR="00425386" w:rsidRPr="00731644">
        <w:rPr>
          <w:lang w:val="fr-CH"/>
        </w:rPr>
        <w:t>’</w:t>
      </w:r>
      <w:r w:rsidR="001C2811" w:rsidRPr="00731644">
        <w:rPr>
          <w:lang w:val="fr-CH"/>
        </w:rPr>
        <w:t xml:space="preserve">inclusion des Roms, </w:t>
      </w:r>
      <w:r w:rsidR="002D3450" w:rsidRPr="00731644">
        <w:rPr>
          <w:lang w:val="fr-CH"/>
        </w:rPr>
        <w:t xml:space="preserve">des </w:t>
      </w:r>
      <w:r w:rsidR="002A5033" w:rsidRPr="00731644">
        <w:rPr>
          <w:lang w:val="fr-CH"/>
        </w:rPr>
        <w:t>Ashkali</w:t>
      </w:r>
      <w:r w:rsidR="002D3450" w:rsidRPr="00731644">
        <w:rPr>
          <w:lang w:val="fr-CH"/>
        </w:rPr>
        <w:t xml:space="preserve"> et des </w:t>
      </w:r>
      <w:r w:rsidR="00A95D03" w:rsidRPr="00731644">
        <w:rPr>
          <w:bCs/>
          <w:lang w:val="fr-CH"/>
        </w:rPr>
        <w:t>tziganes</w:t>
      </w:r>
      <w:r w:rsidR="002D3450" w:rsidRPr="00731644">
        <w:rPr>
          <w:lang w:val="fr-CH"/>
        </w:rPr>
        <w:t xml:space="preserve"> dans la société </w:t>
      </w:r>
      <w:r w:rsidR="005F0F7A" w:rsidRPr="00731644">
        <w:rPr>
          <w:lang w:val="fr-CH"/>
        </w:rPr>
        <w:t>consistent à</w:t>
      </w:r>
      <w:r w:rsidR="00F31DD5" w:rsidRPr="00731644">
        <w:rPr>
          <w:lang w:val="fr-CH"/>
        </w:rPr>
        <w:t>:</w:t>
      </w:r>
      <w:r w:rsidR="004C7BF6" w:rsidRPr="00731644">
        <w:rPr>
          <w:lang w:val="fr-CH"/>
        </w:rPr>
        <w:t xml:space="preserve"> </w:t>
      </w:r>
      <w:r w:rsidR="005F0F7A" w:rsidRPr="00731644">
        <w:rPr>
          <w:lang w:val="fr-CH"/>
        </w:rPr>
        <w:t>mettre</w:t>
      </w:r>
      <w:r w:rsidR="002D3450" w:rsidRPr="00731644">
        <w:rPr>
          <w:lang w:val="fr-CH"/>
        </w:rPr>
        <w:t xml:space="preserve"> au point de</w:t>
      </w:r>
      <w:r w:rsidR="005F0F7A" w:rsidRPr="00731644">
        <w:rPr>
          <w:lang w:val="fr-CH"/>
        </w:rPr>
        <w:t>s</w:t>
      </w:r>
      <w:r w:rsidR="002D3450" w:rsidRPr="00731644">
        <w:rPr>
          <w:lang w:val="fr-CH"/>
        </w:rPr>
        <w:t xml:space="preserve"> mesures p</w:t>
      </w:r>
      <w:r w:rsidR="00602D81" w:rsidRPr="00731644">
        <w:rPr>
          <w:lang w:val="fr-CH"/>
        </w:rPr>
        <w:t>ermettant de</w:t>
      </w:r>
      <w:r w:rsidR="002D3450" w:rsidRPr="00731644">
        <w:rPr>
          <w:lang w:val="fr-CH"/>
        </w:rPr>
        <w:t xml:space="preserve"> dé</w:t>
      </w:r>
      <w:r w:rsidR="00F678C1" w:rsidRPr="00731644">
        <w:rPr>
          <w:lang w:val="fr-CH"/>
        </w:rPr>
        <w:t>tecte</w:t>
      </w:r>
      <w:r w:rsidR="002D3450" w:rsidRPr="00731644">
        <w:rPr>
          <w:lang w:val="fr-CH"/>
        </w:rPr>
        <w:t xml:space="preserve">r et </w:t>
      </w:r>
      <w:r w:rsidR="00602D81" w:rsidRPr="00731644">
        <w:rPr>
          <w:lang w:val="fr-CH"/>
        </w:rPr>
        <w:t>d</w:t>
      </w:r>
      <w:r w:rsidR="00425386" w:rsidRPr="00731644">
        <w:rPr>
          <w:lang w:val="fr-CH"/>
        </w:rPr>
        <w:t>’</w:t>
      </w:r>
      <w:r w:rsidR="002D3450" w:rsidRPr="00731644">
        <w:rPr>
          <w:lang w:val="fr-CH"/>
        </w:rPr>
        <w:t xml:space="preserve">éliminer la </w:t>
      </w:r>
      <w:r w:rsidR="0083174F" w:rsidRPr="00731644">
        <w:rPr>
          <w:lang w:val="fr-CH"/>
        </w:rPr>
        <w:t>discrimination</w:t>
      </w:r>
      <w:r w:rsidR="002D3450" w:rsidRPr="00731644">
        <w:rPr>
          <w:lang w:val="fr-CH"/>
        </w:rPr>
        <w:t xml:space="preserve"> dans l</w:t>
      </w:r>
      <w:r w:rsidR="00425386" w:rsidRPr="00731644">
        <w:rPr>
          <w:lang w:val="fr-CH"/>
        </w:rPr>
        <w:t>’</w:t>
      </w:r>
      <w:r w:rsidR="002D3450" w:rsidRPr="00731644">
        <w:rPr>
          <w:lang w:val="fr-CH"/>
        </w:rPr>
        <w:t>emploi, sensibilis</w:t>
      </w:r>
      <w:r w:rsidR="005F0F7A" w:rsidRPr="00731644">
        <w:rPr>
          <w:lang w:val="fr-CH"/>
        </w:rPr>
        <w:t xml:space="preserve">er </w:t>
      </w:r>
      <w:r w:rsidR="00CB7658" w:rsidRPr="00731644">
        <w:rPr>
          <w:lang w:val="fr-CH"/>
        </w:rPr>
        <w:t>les personnes</w:t>
      </w:r>
      <w:r w:rsidR="002D3450" w:rsidRPr="00731644">
        <w:rPr>
          <w:lang w:val="fr-CH"/>
        </w:rPr>
        <w:t xml:space="preserve"> relativement difficiles à employer à </w:t>
      </w:r>
      <w:r w:rsidR="005F0F7A" w:rsidRPr="00731644">
        <w:rPr>
          <w:lang w:val="fr-CH"/>
        </w:rPr>
        <w:t>l</w:t>
      </w:r>
      <w:r w:rsidR="00425386" w:rsidRPr="00731644">
        <w:rPr>
          <w:lang w:val="fr-CH"/>
        </w:rPr>
        <w:t>’</w:t>
      </w:r>
      <w:r w:rsidR="005F0F7A" w:rsidRPr="00731644">
        <w:rPr>
          <w:lang w:val="fr-CH"/>
        </w:rPr>
        <w:t>idée qu</w:t>
      </w:r>
      <w:r w:rsidR="00425386" w:rsidRPr="00731644">
        <w:rPr>
          <w:lang w:val="fr-CH"/>
        </w:rPr>
        <w:t>’</w:t>
      </w:r>
      <w:r w:rsidR="005F0F7A" w:rsidRPr="00731644">
        <w:rPr>
          <w:lang w:val="fr-CH"/>
        </w:rPr>
        <w:t>il convient qu</w:t>
      </w:r>
      <w:r w:rsidR="00425386" w:rsidRPr="00731644">
        <w:rPr>
          <w:lang w:val="fr-CH"/>
        </w:rPr>
        <w:t>’</w:t>
      </w:r>
      <w:r w:rsidR="005F0F7A" w:rsidRPr="00731644">
        <w:rPr>
          <w:lang w:val="fr-CH"/>
        </w:rPr>
        <w:t xml:space="preserve">elles aient une </w:t>
      </w:r>
      <w:r w:rsidR="002D3450" w:rsidRPr="00731644">
        <w:rPr>
          <w:lang w:val="fr-CH"/>
        </w:rPr>
        <w:t xml:space="preserve">activité économique et sociale, </w:t>
      </w:r>
      <w:r w:rsidR="00A95D03" w:rsidRPr="00731644">
        <w:rPr>
          <w:lang w:val="fr-CH"/>
        </w:rPr>
        <w:t>et</w:t>
      </w:r>
      <w:r w:rsidR="00602D81" w:rsidRPr="00731644">
        <w:rPr>
          <w:lang w:val="fr-CH"/>
        </w:rPr>
        <w:t xml:space="preserve"> </w:t>
      </w:r>
      <w:r w:rsidR="002D3450" w:rsidRPr="00731644">
        <w:rPr>
          <w:lang w:val="fr-CH"/>
        </w:rPr>
        <w:t>poursui</w:t>
      </w:r>
      <w:r w:rsidR="005F0F7A" w:rsidRPr="00731644">
        <w:rPr>
          <w:lang w:val="fr-CH"/>
        </w:rPr>
        <w:t>vre</w:t>
      </w:r>
      <w:r w:rsidR="002D3450" w:rsidRPr="00731644">
        <w:rPr>
          <w:lang w:val="fr-CH"/>
        </w:rPr>
        <w:t xml:space="preserve"> </w:t>
      </w:r>
      <w:r w:rsidR="005F0F7A" w:rsidRPr="00731644">
        <w:rPr>
          <w:lang w:val="fr-CH"/>
        </w:rPr>
        <w:t>l</w:t>
      </w:r>
      <w:r w:rsidR="002D3450" w:rsidRPr="00731644">
        <w:rPr>
          <w:lang w:val="fr-CH"/>
        </w:rPr>
        <w:t>es projets déjà entrepris au bénéfice de cette catégorie de chômeurs.</w:t>
      </w:r>
      <w:r w:rsidR="00F31DD5" w:rsidRPr="00731644">
        <w:rPr>
          <w:lang w:val="fr-CH"/>
        </w:rPr>
        <w:t xml:space="preserve"> </w:t>
      </w:r>
    </w:p>
    <w:p w:rsidR="004C7BF6" w:rsidRPr="00731644" w:rsidRDefault="009E1684" w:rsidP="00B14D2B">
      <w:pPr>
        <w:pStyle w:val="SingleTxtG"/>
        <w:rPr>
          <w:lang w:val="fr-CH"/>
        </w:rPr>
      </w:pPr>
      <w:r w:rsidRPr="00731644">
        <w:rPr>
          <w:lang w:val="fr-CH"/>
        </w:rPr>
        <w:t>217.</w:t>
      </w:r>
      <w:r w:rsidRPr="00731644">
        <w:rPr>
          <w:lang w:val="fr-CH"/>
        </w:rPr>
        <w:tab/>
      </w:r>
      <w:r w:rsidR="00F678C1" w:rsidRPr="00731644">
        <w:rPr>
          <w:lang w:val="fr-CH"/>
        </w:rPr>
        <w:t>Afin d</w:t>
      </w:r>
      <w:r w:rsidR="00425386" w:rsidRPr="00731644">
        <w:rPr>
          <w:lang w:val="fr-CH"/>
        </w:rPr>
        <w:t>’</w:t>
      </w:r>
      <w:r w:rsidR="00F678C1" w:rsidRPr="00731644">
        <w:rPr>
          <w:lang w:val="fr-CH"/>
        </w:rPr>
        <w:t>accroître l</w:t>
      </w:r>
      <w:r w:rsidR="00425386" w:rsidRPr="00731644">
        <w:rPr>
          <w:lang w:val="fr-CH"/>
        </w:rPr>
        <w:t>’</w:t>
      </w:r>
      <w:r w:rsidR="00F678C1" w:rsidRPr="00731644">
        <w:rPr>
          <w:lang w:val="fr-CH"/>
        </w:rPr>
        <w:t xml:space="preserve">emploi de toutes </w:t>
      </w:r>
      <w:r w:rsidR="00CB7658" w:rsidRPr="00731644">
        <w:rPr>
          <w:lang w:val="fr-CH"/>
        </w:rPr>
        <w:t>les personnes</w:t>
      </w:r>
      <w:r w:rsidR="00F678C1" w:rsidRPr="00731644">
        <w:rPr>
          <w:lang w:val="fr-CH"/>
        </w:rPr>
        <w:t xml:space="preserve"> sans travail, y compris celles qui sont relativement difficiles à employer, tout en respectant les dispositions de la Stratégie nationale </w:t>
      </w:r>
      <w:r w:rsidR="007F4E38" w:rsidRPr="00731644">
        <w:rPr>
          <w:lang w:val="fr-CH"/>
        </w:rPr>
        <w:t>de</w:t>
      </w:r>
      <w:r w:rsidR="00F678C1" w:rsidRPr="00731644">
        <w:rPr>
          <w:lang w:val="fr-CH"/>
        </w:rPr>
        <w:t xml:space="preserve"> l</w:t>
      </w:r>
      <w:r w:rsidR="00425386" w:rsidRPr="00731644">
        <w:rPr>
          <w:lang w:val="fr-CH"/>
        </w:rPr>
        <w:t>’</w:t>
      </w:r>
      <w:r w:rsidR="00F678C1" w:rsidRPr="00731644">
        <w:rPr>
          <w:lang w:val="fr-CH"/>
        </w:rPr>
        <w:t xml:space="preserve">emploi et </w:t>
      </w:r>
      <w:r w:rsidR="007F4E38" w:rsidRPr="00731644">
        <w:rPr>
          <w:lang w:val="fr-CH"/>
        </w:rPr>
        <w:t xml:space="preserve">de </w:t>
      </w:r>
      <w:r w:rsidR="00A64C9F" w:rsidRPr="00731644">
        <w:rPr>
          <w:lang w:val="fr-CH"/>
        </w:rPr>
        <w:t>la mise en valeur des</w:t>
      </w:r>
      <w:r w:rsidR="00F678C1" w:rsidRPr="00731644">
        <w:rPr>
          <w:lang w:val="fr-CH"/>
        </w:rPr>
        <w:t xml:space="preserve"> ressources humaines</w:t>
      </w:r>
      <w:r w:rsidR="00F31DD5" w:rsidRPr="00731644">
        <w:rPr>
          <w:lang w:val="fr-CH"/>
        </w:rPr>
        <w:t xml:space="preserve"> </w:t>
      </w:r>
      <w:r w:rsidR="004C7BF6" w:rsidRPr="00731644">
        <w:rPr>
          <w:lang w:val="fr-CH"/>
        </w:rPr>
        <w:t xml:space="preserve">2007-2011, </w:t>
      </w:r>
      <w:r w:rsidR="006933CC" w:rsidRPr="00731644">
        <w:rPr>
          <w:lang w:val="fr-CH"/>
        </w:rPr>
        <w:t>l</w:t>
      </w:r>
      <w:r w:rsidR="00F678C1" w:rsidRPr="00731644">
        <w:rPr>
          <w:lang w:val="fr-CH"/>
        </w:rPr>
        <w:t>es plans nationaux pour l</w:t>
      </w:r>
      <w:r w:rsidR="00425386" w:rsidRPr="00731644">
        <w:rPr>
          <w:lang w:val="fr-CH"/>
        </w:rPr>
        <w:t>’</w:t>
      </w:r>
      <w:r w:rsidR="00F678C1" w:rsidRPr="00731644">
        <w:rPr>
          <w:lang w:val="fr-CH"/>
        </w:rPr>
        <w:t xml:space="preserve">emploi ainsi que </w:t>
      </w:r>
      <w:r w:rsidR="006933CC" w:rsidRPr="00731644">
        <w:rPr>
          <w:lang w:val="fr-CH"/>
        </w:rPr>
        <w:t>l</w:t>
      </w:r>
      <w:r w:rsidR="00F678C1" w:rsidRPr="00731644">
        <w:rPr>
          <w:lang w:val="fr-CH"/>
        </w:rPr>
        <w:t xml:space="preserve">es lois </w:t>
      </w:r>
      <w:r w:rsidR="006933CC" w:rsidRPr="00731644">
        <w:rPr>
          <w:lang w:val="fr-CH"/>
        </w:rPr>
        <w:t xml:space="preserve">et </w:t>
      </w:r>
      <w:r w:rsidR="00F678C1" w:rsidRPr="00731644">
        <w:rPr>
          <w:lang w:val="fr-CH"/>
        </w:rPr>
        <w:t>autres textes allant dans le sens de la recommandation con</w:t>
      </w:r>
      <w:r w:rsidR="006933CC" w:rsidRPr="00731644">
        <w:rPr>
          <w:lang w:val="fr-CH"/>
        </w:rPr>
        <w:t>t</w:t>
      </w:r>
      <w:r w:rsidR="00F678C1" w:rsidRPr="00731644">
        <w:rPr>
          <w:lang w:val="fr-CH"/>
        </w:rPr>
        <w:t xml:space="preserve">enue au </w:t>
      </w:r>
      <w:r w:rsidR="00CB7658" w:rsidRPr="00731644">
        <w:rPr>
          <w:lang w:val="fr-CH"/>
        </w:rPr>
        <w:t>paragraphe </w:t>
      </w:r>
      <w:r w:rsidR="00B14D2B" w:rsidRPr="00731644">
        <w:rPr>
          <w:lang w:val="fr-CH"/>
        </w:rPr>
        <w:t xml:space="preserve">17 </w:t>
      </w:r>
      <w:r w:rsidR="00F678C1" w:rsidRPr="00731644">
        <w:rPr>
          <w:lang w:val="fr-CH"/>
        </w:rPr>
        <w:t>des observations finales du Comité</w:t>
      </w:r>
      <w:r w:rsidR="00A64C9F" w:rsidRPr="00731644">
        <w:rPr>
          <w:lang w:val="fr-CH"/>
        </w:rPr>
        <w:t xml:space="preserve"> et tendant</w:t>
      </w:r>
      <w:r w:rsidR="006933CC" w:rsidRPr="00731644">
        <w:rPr>
          <w:lang w:val="fr-CH"/>
        </w:rPr>
        <w:t xml:space="preserve"> </w:t>
      </w:r>
      <w:r w:rsidR="00F678C1" w:rsidRPr="00731644">
        <w:rPr>
          <w:lang w:val="fr-CH"/>
        </w:rPr>
        <w:t>à faciliter l</w:t>
      </w:r>
      <w:r w:rsidR="00425386" w:rsidRPr="00731644">
        <w:rPr>
          <w:lang w:val="fr-CH"/>
        </w:rPr>
        <w:t>’</w:t>
      </w:r>
      <w:r w:rsidR="00F678C1" w:rsidRPr="00731644">
        <w:rPr>
          <w:lang w:val="fr-CH"/>
        </w:rPr>
        <w:t xml:space="preserve">accès </w:t>
      </w:r>
      <w:r w:rsidR="006933CC" w:rsidRPr="00731644">
        <w:rPr>
          <w:lang w:val="fr-CH"/>
        </w:rPr>
        <w:t xml:space="preserve">des Roms, des </w:t>
      </w:r>
      <w:r w:rsidR="002A5033" w:rsidRPr="00731644">
        <w:rPr>
          <w:lang w:val="fr-CH"/>
        </w:rPr>
        <w:t>Ashkali</w:t>
      </w:r>
      <w:r w:rsidR="006933CC" w:rsidRPr="00731644">
        <w:rPr>
          <w:lang w:val="fr-CH"/>
        </w:rPr>
        <w:t xml:space="preserve"> et des </w:t>
      </w:r>
      <w:r w:rsidR="00A64C9F" w:rsidRPr="00731644">
        <w:rPr>
          <w:lang w:val="fr-CH"/>
        </w:rPr>
        <w:t>t</w:t>
      </w:r>
      <w:r w:rsidR="00A95D03" w:rsidRPr="00731644">
        <w:rPr>
          <w:lang w:val="fr-CH"/>
        </w:rPr>
        <w:t>ziganes</w:t>
      </w:r>
      <w:r w:rsidR="006933CC" w:rsidRPr="00731644">
        <w:rPr>
          <w:lang w:val="fr-CH"/>
        </w:rPr>
        <w:t xml:space="preserve"> au marché du travail, l</w:t>
      </w:r>
      <w:r w:rsidR="00425386" w:rsidRPr="00731644">
        <w:rPr>
          <w:lang w:val="fr-CH"/>
        </w:rPr>
        <w:t>’</w:t>
      </w:r>
      <w:r w:rsidR="006933CC" w:rsidRPr="00731644">
        <w:rPr>
          <w:lang w:val="fr-CH"/>
        </w:rPr>
        <w:t>Agence pour l</w:t>
      </w:r>
      <w:r w:rsidR="00425386" w:rsidRPr="00731644">
        <w:rPr>
          <w:lang w:val="fr-CH"/>
        </w:rPr>
        <w:t>’</w:t>
      </w:r>
      <w:r w:rsidR="006933CC" w:rsidRPr="00731644">
        <w:rPr>
          <w:lang w:val="fr-CH"/>
        </w:rPr>
        <w:t xml:space="preserve">emploi applique une série de mesures </w:t>
      </w:r>
      <w:r w:rsidR="007C5728" w:rsidRPr="00731644">
        <w:rPr>
          <w:lang w:val="fr-CH"/>
        </w:rPr>
        <w:t xml:space="preserve">de politique </w:t>
      </w:r>
      <w:r w:rsidR="00A64C9F" w:rsidRPr="00731644">
        <w:rPr>
          <w:lang w:val="fr-CH"/>
        </w:rPr>
        <w:t>dynamique</w:t>
      </w:r>
      <w:r w:rsidR="007C5728" w:rsidRPr="00731644">
        <w:rPr>
          <w:lang w:val="fr-CH"/>
        </w:rPr>
        <w:t xml:space="preserve"> en faveur de l</w:t>
      </w:r>
      <w:r w:rsidR="00425386" w:rsidRPr="00731644">
        <w:rPr>
          <w:lang w:val="fr-CH"/>
        </w:rPr>
        <w:t>’</w:t>
      </w:r>
      <w:r w:rsidR="007C5728" w:rsidRPr="00731644">
        <w:rPr>
          <w:lang w:val="fr-CH"/>
        </w:rPr>
        <w:t>embauche</w:t>
      </w:r>
      <w:r w:rsidR="006933CC" w:rsidRPr="00731644">
        <w:rPr>
          <w:lang w:val="fr-CH"/>
        </w:rPr>
        <w:t xml:space="preserve">. Ces mesures, mises en œuvre de manière </w:t>
      </w:r>
      <w:r w:rsidR="007C5728" w:rsidRPr="00731644">
        <w:rPr>
          <w:lang w:val="fr-CH"/>
        </w:rPr>
        <w:t>suivi</w:t>
      </w:r>
      <w:r w:rsidR="006933CC" w:rsidRPr="00731644">
        <w:rPr>
          <w:lang w:val="fr-CH"/>
        </w:rPr>
        <w:t xml:space="preserve">e, sont les </w:t>
      </w:r>
      <w:r w:rsidR="0083174F" w:rsidRPr="00731644">
        <w:rPr>
          <w:lang w:val="fr-CH"/>
        </w:rPr>
        <w:t>suivantes</w:t>
      </w:r>
      <w:r w:rsidR="00F31DD5" w:rsidRPr="00731644">
        <w:rPr>
          <w:lang w:val="fr-CH"/>
        </w:rPr>
        <w:t>:</w:t>
      </w:r>
    </w:p>
    <w:p w:rsidR="004C7BF6" w:rsidRPr="00731644" w:rsidRDefault="004C7BF6" w:rsidP="009E1684">
      <w:pPr>
        <w:pStyle w:val="SingleTxtG"/>
        <w:ind w:firstLine="567"/>
        <w:rPr>
          <w:lang w:val="fr-CH"/>
        </w:rPr>
      </w:pPr>
      <w:r w:rsidRPr="00731644">
        <w:rPr>
          <w:bCs/>
          <w:lang w:val="fr-CH"/>
        </w:rPr>
        <w:t>1</w:t>
      </w:r>
      <w:r w:rsidR="009E1684" w:rsidRPr="00731644">
        <w:rPr>
          <w:bCs/>
          <w:lang w:val="fr-CH"/>
        </w:rPr>
        <w:t>)</w:t>
      </w:r>
      <w:r w:rsidR="009E1684" w:rsidRPr="00731644">
        <w:rPr>
          <w:b/>
          <w:bCs/>
          <w:lang w:val="fr-CH"/>
        </w:rPr>
        <w:tab/>
      </w:r>
      <w:r w:rsidR="007C5728" w:rsidRPr="00731644">
        <w:rPr>
          <w:bCs/>
          <w:lang w:val="fr-CH"/>
        </w:rPr>
        <w:t>I</w:t>
      </w:r>
      <w:r w:rsidRPr="00731644">
        <w:rPr>
          <w:bCs/>
          <w:lang w:val="fr-CH"/>
        </w:rPr>
        <w:t xml:space="preserve">nformation </w:t>
      </w:r>
      <w:r w:rsidR="007C5728" w:rsidRPr="00731644">
        <w:rPr>
          <w:bCs/>
          <w:lang w:val="fr-CH"/>
        </w:rPr>
        <w:t xml:space="preserve">sur les possibilités et </w:t>
      </w:r>
      <w:r w:rsidR="005F0F7A" w:rsidRPr="00731644">
        <w:rPr>
          <w:bCs/>
          <w:lang w:val="fr-CH"/>
        </w:rPr>
        <w:t xml:space="preserve">les </w:t>
      </w:r>
      <w:r w:rsidR="007C5728" w:rsidRPr="00731644">
        <w:rPr>
          <w:bCs/>
          <w:lang w:val="fr-CH"/>
        </w:rPr>
        <w:t>conditions d</w:t>
      </w:r>
      <w:r w:rsidR="00425386" w:rsidRPr="00731644">
        <w:rPr>
          <w:bCs/>
          <w:lang w:val="fr-CH"/>
        </w:rPr>
        <w:t>’</w:t>
      </w:r>
      <w:r w:rsidR="007C5728" w:rsidRPr="00731644">
        <w:rPr>
          <w:bCs/>
          <w:lang w:val="fr-CH"/>
        </w:rPr>
        <w:t>emploi, diffusée par l</w:t>
      </w:r>
      <w:r w:rsidR="00425386" w:rsidRPr="00731644">
        <w:rPr>
          <w:bCs/>
          <w:lang w:val="fr-CH"/>
        </w:rPr>
        <w:t>’</w:t>
      </w:r>
      <w:r w:rsidR="007C5728" w:rsidRPr="00731644">
        <w:rPr>
          <w:bCs/>
          <w:lang w:val="fr-CH"/>
        </w:rPr>
        <w:t>Agence pour l</w:t>
      </w:r>
      <w:r w:rsidR="00425386" w:rsidRPr="00731644">
        <w:rPr>
          <w:bCs/>
          <w:lang w:val="fr-CH"/>
        </w:rPr>
        <w:t>’</w:t>
      </w:r>
      <w:r w:rsidR="007C5728" w:rsidRPr="00731644">
        <w:rPr>
          <w:bCs/>
          <w:lang w:val="fr-CH"/>
        </w:rPr>
        <w:t>emploi à la faveur de dialogues, d</w:t>
      </w:r>
      <w:r w:rsidR="00425386" w:rsidRPr="00731644">
        <w:rPr>
          <w:bCs/>
          <w:lang w:val="fr-CH"/>
        </w:rPr>
        <w:t>’</w:t>
      </w:r>
      <w:r w:rsidR="0083174F" w:rsidRPr="00731644">
        <w:rPr>
          <w:bCs/>
          <w:lang w:val="fr-CH"/>
        </w:rPr>
        <w:t>entretiens</w:t>
      </w:r>
      <w:r w:rsidR="007C5728" w:rsidRPr="00731644">
        <w:rPr>
          <w:bCs/>
          <w:lang w:val="fr-CH"/>
        </w:rPr>
        <w:t xml:space="preserve"> et de séminaires (ateliers) d</w:t>
      </w:r>
      <w:r w:rsidR="00425386" w:rsidRPr="00731644">
        <w:rPr>
          <w:bCs/>
          <w:lang w:val="fr-CH"/>
        </w:rPr>
        <w:t>’</w:t>
      </w:r>
      <w:r w:rsidR="007C5728" w:rsidRPr="00731644">
        <w:rPr>
          <w:bCs/>
          <w:lang w:val="fr-CH"/>
        </w:rPr>
        <w:t>information et de motivation, qu</w:t>
      </w:r>
      <w:r w:rsidR="00425386" w:rsidRPr="00731644">
        <w:rPr>
          <w:bCs/>
          <w:lang w:val="fr-CH"/>
        </w:rPr>
        <w:t>’</w:t>
      </w:r>
      <w:r w:rsidR="007C5728" w:rsidRPr="00731644">
        <w:rPr>
          <w:bCs/>
          <w:lang w:val="fr-CH"/>
        </w:rPr>
        <w:t>elle est habilitée à organiser car ils sont de courte durée, n</w:t>
      </w:r>
      <w:r w:rsidR="00425386" w:rsidRPr="00731644">
        <w:rPr>
          <w:bCs/>
          <w:lang w:val="fr-CH"/>
        </w:rPr>
        <w:t>’</w:t>
      </w:r>
      <w:r w:rsidR="007C5728" w:rsidRPr="00731644">
        <w:rPr>
          <w:bCs/>
          <w:lang w:val="fr-CH"/>
        </w:rPr>
        <w:t>occupant chacun que deux ou trois</w:t>
      </w:r>
      <w:r w:rsidR="00731644" w:rsidRPr="00731644">
        <w:rPr>
          <w:bCs/>
          <w:lang w:val="fr-CH"/>
        </w:rPr>
        <w:t> jours</w:t>
      </w:r>
      <w:r w:rsidR="007C5728" w:rsidRPr="00731644">
        <w:rPr>
          <w:lang w:val="fr-CH"/>
        </w:rPr>
        <w:t>. Les dialogues visent à donner aux chôm</w:t>
      </w:r>
      <w:r w:rsidR="00A64C9F" w:rsidRPr="00731644">
        <w:rPr>
          <w:lang w:val="fr-CH"/>
        </w:rPr>
        <w:t>eurs</w:t>
      </w:r>
      <w:r w:rsidR="007C5728" w:rsidRPr="00731644">
        <w:rPr>
          <w:lang w:val="fr-CH"/>
        </w:rPr>
        <w:t xml:space="preserve"> des </w:t>
      </w:r>
      <w:r w:rsidR="00A64C9F" w:rsidRPr="00731644">
        <w:rPr>
          <w:lang w:val="fr-CH"/>
        </w:rPr>
        <w:t>renseignements</w:t>
      </w:r>
      <w:r w:rsidR="007C5728" w:rsidRPr="00731644">
        <w:rPr>
          <w:lang w:val="fr-CH"/>
        </w:rPr>
        <w:t xml:space="preserve"> de qualité sur les droits et obligations consacrés par la loi et d</w:t>
      </w:r>
      <w:r w:rsidR="00425386" w:rsidRPr="00731644">
        <w:rPr>
          <w:lang w:val="fr-CH"/>
        </w:rPr>
        <w:t>’</w:t>
      </w:r>
      <w:r w:rsidR="007C5728" w:rsidRPr="00731644">
        <w:rPr>
          <w:lang w:val="fr-CH"/>
        </w:rPr>
        <w:t>autres textes.</w:t>
      </w:r>
      <w:r w:rsidR="00F31DD5" w:rsidRPr="00731644">
        <w:rPr>
          <w:lang w:val="fr-CH"/>
        </w:rPr>
        <w:t xml:space="preserve"> </w:t>
      </w:r>
      <w:r w:rsidR="007C5728" w:rsidRPr="00731644">
        <w:rPr>
          <w:lang w:val="fr-CH"/>
        </w:rPr>
        <w:t>L</w:t>
      </w:r>
      <w:r w:rsidR="00425386" w:rsidRPr="00731644">
        <w:rPr>
          <w:lang w:val="fr-CH"/>
        </w:rPr>
        <w:t>’</w:t>
      </w:r>
      <w:r w:rsidR="007C5728" w:rsidRPr="00731644">
        <w:rPr>
          <w:lang w:val="fr-CH"/>
        </w:rPr>
        <w:t>objectif de l</w:t>
      </w:r>
      <w:r w:rsidR="00425386" w:rsidRPr="00731644">
        <w:rPr>
          <w:lang w:val="fr-CH"/>
        </w:rPr>
        <w:t>’</w:t>
      </w:r>
      <w:r w:rsidR="007C5728" w:rsidRPr="00731644">
        <w:rPr>
          <w:lang w:val="fr-CH"/>
        </w:rPr>
        <w:t>entretien est de déterminer les besoins et les contraintes de la personne au chômage, et d</w:t>
      </w:r>
      <w:r w:rsidR="00425386" w:rsidRPr="00731644">
        <w:rPr>
          <w:lang w:val="fr-CH"/>
        </w:rPr>
        <w:t>’</w:t>
      </w:r>
      <w:r w:rsidR="007C5728" w:rsidRPr="00731644">
        <w:rPr>
          <w:lang w:val="fr-CH"/>
        </w:rPr>
        <w:t>établir un plan individuel, dans le cadre duquel sont sélectionnés les axes de la recherche d</w:t>
      </w:r>
      <w:r w:rsidR="00425386" w:rsidRPr="00731644">
        <w:rPr>
          <w:lang w:val="fr-CH"/>
        </w:rPr>
        <w:t>’</w:t>
      </w:r>
      <w:r w:rsidR="007C5728" w:rsidRPr="00731644">
        <w:rPr>
          <w:lang w:val="fr-CH"/>
        </w:rPr>
        <w:t xml:space="preserve">un emploi pour cette personne et les programmes </w:t>
      </w:r>
      <w:r w:rsidR="00AB0BCC" w:rsidRPr="00731644">
        <w:rPr>
          <w:lang w:val="fr-CH"/>
        </w:rPr>
        <w:t xml:space="preserve">de la politique </w:t>
      </w:r>
      <w:r w:rsidR="00A64C9F" w:rsidRPr="00731644">
        <w:rPr>
          <w:lang w:val="fr-CH"/>
        </w:rPr>
        <w:t xml:space="preserve">dynamique </w:t>
      </w:r>
      <w:r w:rsidR="00AB0BCC" w:rsidRPr="00731644">
        <w:rPr>
          <w:lang w:val="fr-CH"/>
        </w:rPr>
        <w:t>auxquels il est souhaitable qu</w:t>
      </w:r>
      <w:r w:rsidR="00425386" w:rsidRPr="00731644">
        <w:rPr>
          <w:lang w:val="fr-CH"/>
        </w:rPr>
        <w:t>’</w:t>
      </w:r>
      <w:r w:rsidR="00AB0BCC" w:rsidRPr="00731644">
        <w:rPr>
          <w:lang w:val="fr-CH"/>
        </w:rPr>
        <w:t>elle participe. Les séminaires (ateliers) d</w:t>
      </w:r>
      <w:r w:rsidR="00425386" w:rsidRPr="00731644">
        <w:rPr>
          <w:lang w:val="fr-CH"/>
        </w:rPr>
        <w:t>’</w:t>
      </w:r>
      <w:r w:rsidR="00AB0BCC" w:rsidRPr="00731644">
        <w:rPr>
          <w:lang w:val="fr-CH"/>
        </w:rPr>
        <w:t>information et de motivation</w:t>
      </w:r>
      <w:r w:rsidR="007C5728" w:rsidRPr="00731644">
        <w:rPr>
          <w:lang w:val="fr-CH"/>
        </w:rPr>
        <w:t xml:space="preserve"> </w:t>
      </w:r>
      <w:r w:rsidR="00AB0BCC" w:rsidRPr="00731644">
        <w:rPr>
          <w:lang w:val="fr-CH"/>
        </w:rPr>
        <w:t>sont l</w:t>
      </w:r>
      <w:r w:rsidR="00425386" w:rsidRPr="00731644">
        <w:rPr>
          <w:lang w:val="fr-CH"/>
        </w:rPr>
        <w:t>’</w:t>
      </w:r>
      <w:r w:rsidR="00AB0BCC" w:rsidRPr="00731644">
        <w:rPr>
          <w:lang w:val="fr-CH"/>
        </w:rPr>
        <w:t>occasion d</w:t>
      </w:r>
      <w:r w:rsidR="00425386" w:rsidRPr="00731644">
        <w:rPr>
          <w:lang w:val="fr-CH"/>
        </w:rPr>
        <w:t>’</w:t>
      </w:r>
      <w:r w:rsidR="00AB0BCC" w:rsidRPr="00731644">
        <w:rPr>
          <w:lang w:val="fr-CH"/>
        </w:rPr>
        <w:t>inciter les chôm</w:t>
      </w:r>
      <w:r w:rsidR="00A64C9F" w:rsidRPr="00731644">
        <w:rPr>
          <w:lang w:val="fr-CH"/>
        </w:rPr>
        <w:t>eurs</w:t>
      </w:r>
      <w:r w:rsidR="00AB0BCC" w:rsidRPr="00731644">
        <w:rPr>
          <w:lang w:val="fr-CH"/>
        </w:rPr>
        <w:t xml:space="preserve"> à adopter une démarche plus active et à apprendre comment chercher un emploi, de fixer des objectifs et d</w:t>
      </w:r>
      <w:r w:rsidR="00425386" w:rsidRPr="00731644">
        <w:rPr>
          <w:lang w:val="fr-CH"/>
        </w:rPr>
        <w:t>’</w:t>
      </w:r>
      <w:r w:rsidR="00AB0BCC" w:rsidRPr="00731644">
        <w:rPr>
          <w:lang w:val="fr-CH"/>
        </w:rPr>
        <w:t>établir des plans d</w:t>
      </w:r>
      <w:r w:rsidR="00425386" w:rsidRPr="00731644">
        <w:rPr>
          <w:lang w:val="fr-CH"/>
        </w:rPr>
        <w:t>’</w:t>
      </w:r>
      <w:r w:rsidR="00AB0BCC" w:rsidRPr="00731644">
        <w:rPr>
          <w:lang w:val="fr-CH"/>
        </w:rPr>
        <w:t>accès à l</w:t>
      </w:r>
      <w:r w:rsidR="00425386" w:rsidRPr="00731644">
        <w:rPr>
          <w:lang w:val="fr-CH"/>
        </w:rPr>
        <w:t>’</w:t>
      </w:r>
      <w:r w:rsidR="00AB0BCC" w:rsidRPr="00731644">
        <w:rPr>
          <w:lang w:val="fr-CH"/>
        </w:rPr>
        <w:t>emploi qui soient réalistes et compatibles avec le</w:t>
      </w:r>
      <w:r w:rsidR="00A64C9F" w:rsidRPr="00731644">
        <w:rPr>
          <w:lang w:val="fr-CH"/>
        </w:rPr>
        <w:t>ur</w:t>
      </w:r>
      <w:r w:rsidR="00AB0BCC" w:rsidRPr="00731644">
        <w:rPr>
          <w:lang w:val="fr-CH"/>
        </w:rPr>
        <w:t>s aptitudes et le</w:t>
      </w:r>
      <w:r w:rsidR="00A64C9F" w:rsidRPr="00731644">
        <w:rPr>
          <w:lang w:val="fr-CH"/>
        </w:rPr>
        <w:t>ur</w:t>
      </w:r>
      <w:r w:rsidR="00AB0BCC" w:rsidRPr="00731644">
        <w:rPr>
          <w:lang w:val="fr-CH"/>
        </w:rPr>
        <w:t xml:space="preserve">s savoir-faire. Les analyses révèlent que ces séminaires </w:t>
      </w:r>
      <w:r w:rsidR="00A64C9F" w:rsidRPr="00731644">
        <w:rPr>
          <w:lang w:val="fr-CH"/>
        </w:rPr>
        <w:t>o</w:t>
      </w:r>
      <w:r w:rsidR="00AB0BCC" w:rsidRPr="00731644">
        <w:rPr>
          <w:lang w:val="fr-CH"/>
        </w:rPr>
        <w:t>nt un effet très stimula</w:t>
      </w:r>
      <w:r w:rsidR="00A64C9F" w:rsidRPr="00731644">
        <w:rPr>
          <w:lang w:val="fr-CH"/>
        </w:rPr>
        <w:t>nt sur les demandeurs d</w:t>
      </w:r>
      <w:r w:rsidR="00425386" w:rsidRPr="00731644">
        <w:rPr>
          <w:lang w:val="fr-CH"/>
        </w:rPr>
        <w:t>’</w:t>
      </w:r>
      <w:r w:rsidR="00A64C9F" w:rsidRPr="00731644">
        <w:rPr>
          <w:lang w:val="fr-CH"/>
        </w:rPr>
        <w:t>emploi, les</w:t>
      </w:r>
      <w:r w:rsidR="00AB0BCC" w:rsidRPr="00731644">
        <w:rPr>
          <w:lang w:val="fr-CH"/>
        </w:rPr>
        <w:t xml:space="preserve"> encourage</w:t>
      </w:r>
      <w:r w:rsidR="00A64C9F" w:rsidRPr="00731644">
        <w:rPr>
          <w:lang w:val="fr-CH"/>
        </w:rPr>
        <w:t>a</w:t>
      </w:r>
      <w:r w:rsidR="00AB0BCC" w:rsidRPr="00731644">
        <w:rPr>
          <w:lang w:val="fr-CH"/>
        </w:rPr>
        <w:t xml:space="preserve">nt à mener </w:t>
      </w:r>
      <w:r w:rsidR="00A64C9F" w:rsidRPr="00731644">
        <w:rPr>
          <w:lang w:val="fr-CH"/>
        </w:rPr>
        <w:t xml:space="preserve">activement </w:t>
      </w:r>
      <w:r w:rsidR="00AB0BCC" w:rsidRPr="00731644">
        <w:rPr>
          <w:lang w:val="fr-CH"/>
        </w:rPr>
        <w:t xml:space="preserve">leurs recherches et à participer </w:t>
      </w:r>
      <w:r w:rsidR="00A64C9F" w:rsidRPr="00731644">
        <w:rPr>
          <w:lang w:val="fr-CH"/>
        </w:rPr>
        <w:t xml:space="preserve">pleinement </w:t>
      </w:r>
      <w:r w:rsidR="00AB0BCC" w:rsidRPr="00731644">
        <w:rPr>
          <w:lang w:val="fr-CH"/>
        </w:rPr>
        <w:t xml:space="preserve">aux programmes </w:t>
      </w:r>
      <w:r w:rsidR="002B6A5F" w:rsidRPr="00731644">
        <w:rPr>
          <w:lang w:val="fr-CH"/>
        </w:rPr>
        <w:t>pour</w:t>
      </w:r>
      <w:r w:rsidR="00AB0BCC" w:rsidRPr="00731644">
        <w:rPr>
          <w:lang w:val="fr-CH"/>
        </w:rPr>
        <w:t xml:space="preserve"> l</w:t>
      </w:r>
      <w:r w:rsidR="00425386" w:rsidRPr="00731644">
        <w:rPr>
          <w:lang w:val="fr-CH"/>
        </w:rPr>
        <w:t>’</w:t>
      </w:r>
      <w:r w:rsidR="00AB0BCC" w:rsidRPr="00731644">
        <w:rPr>
          <w:lang w:val="fr-CH"/>
        </w:rPr>
        <w:t>emploi</w:t>
      </w:r>
      <w:r w:rsidR="00F31DD5" w:rsidRPr="00731644">
        <w:rPr>
          <w:lang w:val="fr-CH"/>
        </w:rPr>
        <w:t>;</w:t>
      </w:r>
      <w:r w:rsidR="006443F6" w:rsidRPr="00731644">
        <w:rPr>
          <w:lang w:val="fr-CH"/>
        </w:rPr>
        <w:t xml:space="preserve"> </w:t>
      </w:r>
    </w:p>
    <w:p w:rsidR="004C7BF6" w:rsidRPr="00731644" w:rsidRDefault="004C7BF6" w:rsidP="009E1684">
      <w:pPr>
        <w:pStyle w:val="SingleTxtG"/>
        <w:ind w:firstLine="567"/>
        <w:rPr>
          <w:b/>
          <w:bCs/>
          <w:lang w:val="fr-CH"/>
        </w:rPr>
      </w:pPr>
      <w:r w:rsidRPr="00731644">
        <w:rPr>
          <w:bCs/>
          <w:lang w:val="fr-CH"/>
        </w:rPr>
        <w:t>2</w:t>
      </w:r>
      <w:r w:rsidR="009E1684" w:rsidRPr="00731644">
        <w:rPr>
          <w:bCs/>
          <w:lang w:val="fr-CH"/>
        </w:rPr>
        <w:t>)</w:t>
      </w:r>
      <w:r w:rsidR="009E1684" w:rsidRPr="00731644">
        <w:rPr>
          <w:b/>
          <w:bCs/>
          <w:lang w:val="fr-CH"/>
        </w:rPr>
        <w:tab/>
      </w:r>
      <w:r w:rsidR="00D67FDA" w:rsidRPr="00731644">
        <w:rPr>
          <w:bCs/>
          <w:lang w:val="fr-CH"/>
        </w:rPr>
        <w:t>L</w:t>
      </w:r>
      <w:r w:rsidR="00425386" w:rsidRPr="00731644">
        <w:rPr>
          <w:bCs/>
          <w:lang w:val="fr-CH"/>
        </w:rPr>
        <w:t>’</w:t>
      </w:r>
      <w:r w:rsidR="00D67FDA" w:rsidRPr="00731644">
        <w:rPr>
          <w:bCs/>
          <w:lang w:val="fr-CH"/>
        </w:rPr>
        <w:t>orientation professionnelle</w:t>
      </w:r>
      <w:r w:rsidR="00574A43" w:rsidRPr="00731644">
        <w:rPr>
          <w:bCs/>
          <w:lang w:val="fr-CH"/>
        </w:rPr>
        <w:t>, qui</w:t>
      </w:r>
      <w:r w:rsidR="00D67FDA" w:rsidRPr="00731644">
        <w:rPr>
          <w:bCs/>
          <w:lang w:val="fr-CH"/>
        </w:rPr>
        <w:t xml:space="preserve"> aide le demandeur d</w:t>
      </w:r>
      <w:r w:rsidR="00425386" w:rsidRPr="00731644">
        <w:rPr>
          <w:bCs/>
          <w:lang w:val="fr-CH"/>
        </w:rPr>
        <w:t>’</w:t>
      </w:r>
      <w:r w:rsidR="00D67FDA" w:rsidRPr="00731644">
        <w:rPr>
          <w:bCs/>
          <w:lang w:val="fr-CH"/>
        </w:rPr>
        <w:t>emploi à analyser et planifier plus objectivemen</w:t>
      </w:r>
      <w:r w:rsidR="00C929E5" w:rsidRPr="00731644">
        <w:rPr>
          <w:bCs/>
          <w:lang w:val="fr-CH"/>
        </w:rPr>
        <w:t>t</w:t>
      </w:r>
      <w:r w:rsidR="00D67FDA" w:rsidRPr="00731644">
        <w:rPr>
          <w:bCs/>
          <w:lang w:val="fr-CH"/>
        </w:rPr>
        <w:t xml:space="preserve"> son parcours professionnel et à mieux le réaliser</w:t>
      </w:r>
      <w:r w:rsidR="00F31DD5" w:rsidRPr="00731644">
        <w:rPr>
          <w:bCs/>
          <w:lang w:val="fr-CH"/>
        </w:rPr>
        <w:t>;</w:t>
      </w:r>
      <w:r w:rsidR="00D67FDA" w:rsidRPr="00731644">
        <w:rPr>
          <w:bCs/>
          <w:lang w:val="fr-CH"/>
        </w:rPr>
        <w:t xml:space="preserve"> </w:t>
      </w:r>
    </w:p>
    <w:p w:rsidR="004C7BF6" w:rsidRPr="00731644" w:rsidRDefault="004C7BF6" w:rsidP="009E1684">
      <w:pPr>
        <w:pStyle w:val="SingleTxtG"/>
        <w:ind w:firstLine="567"/>
        <w:rPr>
          <w:lang w:val="fr-CH"/>
        </w:rPr>
      </w:pPr>
      <w:r w:rsidRPr="00731644">
        <w:rPr>
          <w:bCs/>
          <w:lang w:val="fr-CH"/>
        </w:rPr>
        <w:t>3</w:t>
      </w:r>
      <w:r w:rsidR="009E1684" w:rsidRPr="00731644">
        <w:rPr>
          <w:bCs/>
          <w:lang w:val="fr-CH"/>
        </w:rPr>
        <w:t>)</w:t>
      </w:r>
      <w:r w:rsidR="009E1684" w:rsidRPr="00731644">
        <w:rPr>
          <w:b/>
          <w:bCs/>
          <w:lang w:val="fr-CH"/>
        </w:rPr>
        <w:tab/>
      </w:r>
      <w:r w:rsidR="002B6A5F" w:rsidRPr="00731644">
        <w:rPr>
          <w:bCs/>
          <w:lang w:val="fr-CH"/>
        </w:rPr>
        <w:t xml:space="preserve">Le financement des salaires </w:t>
      </w:r>
      <w:r w:rsidR="00C929E5" w:rsidRPr="00731644">
        <w:rPr>
          <w:bCs/>
          <w:lang w:val="fr-CH"/>
        </w:rPr>
        <w:t>des</w:t>
      </w:r>
      <w:r w:rsidR="002B6A5F" w:rsidRPr="00731644">
        <w:rPr>
          <w:bCs/>
          <w:lang w:val="fr-CH"/>
        </w:rPr>
        <w:t xml:space="preserve"> stagiaires (dont c</w:t>
      </w:r>
      <w:r w:rsidR="00425386" w:rsidRPr="00731644">
        <w:rPr>
          <w:bCs/>
          <w:lang w:val="fr-CH"/>
        </w:rPr>
        <w:t>’</w:t>
      </w:r>
      <w:r w:rsidR="002B6A5F" w:rsidRPr="00731644">
        <w:rPr>
          <w:bCs/>
          <w:lang w:val="fr-CH"/>
        </w:rPr>
        <w:t>est le premier em</w:t>
      </w:r>
      <w:r w:rsidR="00574A43" w:rsidRPr="00731644">
        <w:rPr>
          <w:bCs/>
          <w:lang w:val="fr-CH"/>
        </w:rPr>
        <w:t>p</w:t>
      </w:r>
      <w:r w:rsidR="002B6A5F" w:rsidRPr="00731644">
        <w:rPr>
          <w:bCs/>
          <w:lang w:val="fr-CH"/>
        </w:rPr>
        <w:t>loi)</w:t>
      </w:r>
      <w:r w:rsidR="00070648" w:rsidRPr="00731644">
        <w:rPr>
          <w:lang w:val="fr-CH"/>
        </w:rPr>
        <w:t>;</w:t>
      </w:r>
    </w:p>
    <w:p w:rsidR="002B6A5F" w:rsidRPr="00731644" w:rsidRDefault="004C7BF6" w:rsidP="009E1684">
      <w:pPr>
        <w:pStyle w:val="SingleTxtG"/>
        <w:ind w:firstLine="567"/>
        <w:rPr>
          <w:bCs/>
          <w:lang w:val="fr-CH"/>
        </w:rPr>
      </w:pPr>
      <w:r w:rsidRPr="00731644">
        <w:rPr>
          <w:bCs/>
          <w:lang w:val="fr-CH"/>
        </w:rPr>
        <w:t>4</w:t>
      </w:r>
      <w:r w:rsidR="009E1684" w:rsidRPr="00731644">
        <w:rPr>
          <w:bCs/>
          <w:lang w:val="fr-CH"/>
        </w:rPr>
        <w:t>)</w:t>
      </w:r>
      <w:r w:rsidR="009E1684" w:rsidRPr="00731644">
        <w:rPr>
          <w:b/>
          <w:bCs/>
          <w:lang w:val="fr-CH"/>
        </w:rPr>
        <w:tab/>
      </w:r>
      <w:r w:rsidR="002B6A5F" w:rsidRPr="00731644">
        <w:rPr>
          <w:bCs/>
          <w:lang w:val="fr-CH"/>
        </w:rPr>
        <w:t>Un soutien au travail indépendant, sous la forme d</w:t>
      </w:r>
      <w:r w:rsidR="00425386" w:rsidRPr="00731644">
        <w:rPr>
          <w:bCs/>
          <w:lang w:val="fr-CH"/>
        </w:rPr>
        <w:t>’</w:t>
      </w:r>
      <w:r w:rsidR="002B6A5F" w:rsidRPr="00731644">
        <w:rPr>
          <w:bCs/>
          <w:lang w:val="fr-CH"/>
        </w:rPr>
        <w:t>une assistance financière et professionnelle au demandeur d</w:t>
      </w:r>
      <w:r w:rsidR="00425386" w:rsidRPr="00731644">
        <w:rPr>
          <w:bCs/>
          <w:lang w:val="fr-CH"/>
        </w:rPr>
        <w:t>’</w:t>
      </w:r>
      <w:r w:rsidR="002B6A5F" w:rsidRPr="00731644">
        <w:rPr>
          <w:bCs/>
          <w:lang w:val="fr-CH"/>
        </w:rPr>
        <w:t>emploi qui crée une entreprise</w:t>
      </w:r>
      <w:r w:rsidR="00F31DD5" w:rsidRPr="00731644">
        <w:rPr>
          <w:bCs/>
          <w:lang w:val="fr-CH"/>
        </w:rPr>
        <w:t>;</w:t>
      </w:r>
      <w:r w:rsidR="006443F6" w:rsidRPr="00731644">
        <w:rPr>
          <w:bCs/>
          <w:lang w:val="fr-CH"/>
        </w:rPr>
        <w:t xml:space="preserve"> </w:t>
      </w:r>
    </w:p>
    <w:p w:rsidR="004C7BF6" w:rsidRPr="00731644" w:rsidRDefault="009E1684" w:rsidP="009E1684">
      <w:pPr>
        <w:pStyle w:val="SingleTxtG"/>
        <w:ind w:firstLine="567"/>
        <w:rPr>
          <w:lang w:val="fr-CH"/>
        </w:rPr>
      </w:pPr>
      <w:r w:rsidRPr="00731644">
        <w:rPr>
          <w:bCs/>
          <w:lang w:val="fr-CH"/>
        </w:rPr>
        <w:t>5)</w:t>
      </w:r>
      <w:r w:rsidRPr="00731644">
        <w:rPr>
          <w:b/>
          <w:bCs/>
          <w:lang w:val="fr-CH"/>
        </w:rPr>
        <w:tab/>
      </w:r>
      <w:r w:rsidR="002B6A5F" w:rsidRPr="00731644">
        <w:rPr>
          <w:bCs/>
          <w:lang w:val="fr-CH"/>
        </w:rPr>
        <w:t>L</w:t>
      </w:r>
      <w:r w:rsidR="00425386" w:rsidRPr="00731644">
        <w:rPr>
          <w:bCs/>
          <w:lang w:val="fr-CH"/>
        </w:rPr>
        <w:t>’</w:t>
      </w:r>
      <w:r w:rsidR="002B6A5F" w:rsidRPr="00731644">
        <w:rPr>
          <w:bCs/>
          <w:lang w:val="fr-CH"/>
        </w:rPr>
        <w:t>é</w:t>
      </w:r>
      <w:r w:rsidR="004C7BF6" w:rsidRPr="00731644">
        <w:rPr>
          <w:bCs/>
          <w:lang w:val="fr-CH"/>
        </w:rPr>
        <w:t xml:space="preserve">ducation </w:t>
      </w:r>
      <w:r w:rsidR="002B6A5F" w:rsidRPr="00731644">
        <w:rPr>
          <w:bCs/>
          <w:lang w:val="fr-CH"/>
        </w:rPr>
        <w:t>et la q</w:t>
      </w:r>
      <w:r w:rsidR="004C7BF6" w:rsidRPr="00731644">
        <w:rPr>
          <w:bCs/>
          <w:lang w:val="fr-CH"/>
        </w:rPr>
        <w:t xml:space="preserve">ualification </w:t>
      </w:r>
      <w:r w:rsidR="002B6A5F" w:rsidRPr="00731644">
        <w:rPr>
          <w:bCs/>
          <w:lang w:val="fr-CH"/>
        </w:rPr>
        <w:t>des adultes</w:t>
      </w:r>
      <w:r w:rsidR="00F31DD5" w:rsidRPr="00731644">
        <w:rPr>
          <w:bCs/>
          <w:lang w:val="fr-CH"/>
        </w:rPr>
        <w:t xml:space="preserve"> – </w:t>
      </w:r>
      <w:r w:rsidR="002B6A5F" w:rsidRPr="00731644">
        <w:rPr>
          <w:bCs/>
          <w:lang w:val="fr-CH"/>
        </w:rPr>
        <w:t>ensemble de programmes qui permettent au demandeur d</w:t>
      </w:r>
      <w:r w:rsidR="00425386" w:rsidRPr="00731644">
        <w:rPr>
          <w:bCs/>
          <w:lang w:val="fr-CH"/>
        </w:rPr>
        <w:t>’</w:t>
      </w:r>
      <w:r w:rsidR="002B6A5F" w:rsidRPr="00731644">
        <w:rPr>
          <w:bCs/>
          <w:lang w:val="fr-CH"/>
        </w:rPr>
        <w:t>emploi</w:t>
      </w:r>
      <w:r w:rsidR="004C7BF6" w:rsidRPr="00731644">
        <w:rPr>
          <w:b/>
          <w:bCs/>
          <w:i/>
          <w:lang w:val="fr-CH"/>
        </w:rPr>
        <w:t xml:space="preserve"> </w:t>
      </w:r>
      <w:r w:rsidR="002B6A5F" w:rsidRPr="00731644">
        <w:rPr>
          <w:bCs/>
          <w:lang w:val="fr-CH"/>
        </w:rPr>
        <w:t>d</w:t>
      </w:r>
      <w:r w:rsidR="00425386" w:rsidRPr="00731644">
        <w:rPr>
          <w:bCs/>
          <w:lang w:val="fr-CH"/>
        </w:rPr>
        <w:t>’</w:t>
      </w:r>
      <w:r w:rsidR="002B6A5F" w:rsidRPr="00731644">
        <w:rPr>
          <w:bCs/>
          <w:lang w:val="fr-CH"/>
        </w:rPr>
        <w:t>acquérir une</w:t>
      </w:r>
      <w:r w:rsidR="00F31DD5" w:rsidRPr="00731644">
        <w:rPr>
          <w:bCs/>
          <w:lang w:val="fr-CH"/>
        </w:rPr>
        <w:t xml:space="preserve"> </w:t>
      </w:r>
      <w:r w:rsidR="004C7BF6" w:rsidRPr="00731644">
        <w:rPr>
          <w:bCs/>
          <w:lang w:val="fr-CH"/>
        </w:rPr>
        <w:t xml:space="preserve">qualification </w:t>
      </w:r>
      <w:r w:rsidR="002B6A5F" w:rsidRPr="00731644">
        <w:rPr>
          <w:bCs/>
          <w:lang w:val="fr-CH"/>
        </w:rPr>
        <w:t xml:space="preserve">pour le premier emploi </w:t>
      </w:r>
      <w:r w:rsidR="004C7BF6" w:rsidRPr="00731644">
        <w:rPr>
          <w:bCs/>
          <w:lang w:val="fr-CH"/>
        </w:rPr>
        <w:t>(</w:t>
      </w:r>
      <w:r w:rsidR="002B6A5F" w:rsidRPr="00731644">
        <w:rPr>
          <w:bCs/>
          <w:lang w:val="fr-CH"/>
        </w:rPr>
        <w:t xml:space="preserve">niveaux </w:t>
      </w:r>
      <w:r w:rsidR="004C7BF6" w:rsidRPr="00731644">
        <w:rPr>
          <w:bCs/>
          <w:lang w:val="fr-CH"/>
        </w:rPr>
        <w:t xml:space="preserve">I </w:t>
      </w:r>
      <w:r w:rsidR="002B6A5F" w:rsidRPr="00731644">
        <w:rPr>
          <w:bCs/>
          <w:lang w:val="fr-CH"/>
        </w:rPr>
        <w:t>et</w:t>
      </w:r>
      <w:r w:rsidR="004C7BF6" w:rsidRPr="00731644">
        <w:rPr>
          <w:bCs/>
          <w:lang w:val="fr-CH"/>
        </w:rPr>
        <w:t xml:space="preserve"> II </w:t>
      </w:r>
      <w:r w:rsidR="002B6A5F" w:rsidRPr="00731644">
        <w:rPr>
          <w:bCs/>
          <w:lang w:val="fr-CH"/>
        </w:rPr>
        <w:t>de la formation professionnelle</w:t>
      </w:r>
      <w:r w:rsidR="004C7BF6" w:rsidRPr="00731644">
        <w:rPr>
          <w:bCs/>
          <w:lang w:val="fr-CH"/>
        </w:rPr>
        <w:t>)</w:t>
      </w:r>
      <w:r w:rsidR="005C7FFA" w:rsidRPr="00731644">
        <w:rPr>
          <w:bCs/>
          <w:lang w:val="fr-CH"/>
        </w:rPr>
        <w:t xml:space="preserve"> ou</w:t>
      </w:r>
      <w:r w:rsidR="004C7BF6" w:rsidRPr="00731644">
        <w:rPr>
          <w:bCs/>
          <w:lang w:val="fr-CH"/>
        </w:rPr>
        <w:t xml:space="preserve"> </w:t>
      </w:r>
      <w:r w:rsidR="002B6A5F" w:rsidRPr="00731644">
        <w:rPr>
          <w:bCs/>
          <w:lang w:val="fr-CH"/>
        </w:rPr>
        <w:t>de nouvelles connaissances dans la même</w:t>
      </w:r>
      <w:r w:rsidR="00F31DD5" w:rsidRPr="00731644">
        <w:rPr>
          <w:bCs/>
          <w:lang w:val="fr-CH"/>
        </w:rPr>
        <w:t xml:space="preserve"> </w:t>
      </w:r>
      <w:r w:rsidR="002B6A5F" w:rsidRPr="00731644">
        <w:rPr>
          <w:bCs/>
          <w:lang w:val="fr-CH"/>
        </w:rPr>
        <w:t>profession et au même niveau</w:t>
      </w:r>
      <w:r w:rsidR="00F31DD5" w:rsidRPr="00731644">
        <w:rPr>
          <w:bCs/>
          <w:lang w:val="fr-CH"/>
        </w:rPr>
        <w:t xml:space="preserve"> </w:t>
      </w:r>
      <w:r w:rsidR="004C7BF6" w:rsidRPr="00731644">
        <w:rPr>
          <w:bCs/>
          <w:lang w:val="fr-CH"/>
        </w:rPr>
        <w:t>(qualification</w:t>
      </w:r>
      <w:r w:rsidR="002B6A5F" w:rsidRPr="00731644">
        <w:rPr>
          <w:bCs/>
          <w:lang w:val="fr-CH"/>
        </w:rPr>
        <w:t xml:space="preserve"> </w:t>
      </w:r>
      <w:r w:rsidR="005C7FFA" w:rsidRPr="00731644">
        <w:rPr>
          <w:bCs/>
          <w:lang w:val="fr-CH"/>
        </w:rPr>
        <w:t>additionnell</w:t>
      </w:r>
      <w:r w:rsidR="002B6A5F" w:rsidRPr="00731644">
        <w:rPr>
          <w:bCs/>
          <w:lang w:val="fr-CH"/>
        </w:rPr>
        <w:t>e</w:t>
      </w:r>
      <w:r w:rsidR="004C7BF6" w:rsidRPr="00731644">
        <w:rPr>
          <w:bCs/>
          <w:lang w:val="fr-CH"/>
        </w:rPr>
        <w:t xml:space="preserve">), </w:t>
      </w:r>
      <w:r w:rsidR="002B6A5F" w:rsidRPr="00731644">
        <w:rPr>
          <w:bCs/>
          <w:lang w:val="fr-CH"/>
        </w:rPr>
        <w:t>d</w:t>
      </w:r>
      <w:r w:rsidR="00425386" w:rsidRPr="00731644">
        <w:rPr>
          <w:bCs/>
          <w:lang w:val="fr-CH"/>
        </w:rPr>
        <w:t>’</w:t>
      </w:r>
      <w:r w:rsidR="002B6A5F" w:rsidRPr="00731644">
        <w:rPr>
          <w:bCs/>
          <w:lang w:val="fr-CH"/>
        </w:rPr>
        <w:t xml:space="preserve">apprendre un autre métier </w:t>
      </w:r>
      <w:r w:rsidR="005C7FFA" w:rsidRPr="00731644">
        <w:rPr>
          <w:bCs/>
          <w:lang w:val="fr-CH"/>
        </w:rPr>
        <w:t>exigeant</w:t>
      </w:r>
      <w:r w:rsidR="002B6A5F" w:rsidRPr="00731644">
        <w:rPr>
          <w:bCs/>
          <w:lang w:val="fr-CH"/>
        </w:rPr>
        <w:t xml:space="preserve"> un niveau d</w:t>
      </w:r>
      <w:r w:rsidR="00425386" w:rsidRPr="00731644">
        <w:rPr>
          <w:bCs/>
          <w:lang w:val="fr-CH"/>
        </w:rPr>
        <w:t>’</w:t>
      </w:r>
      <w:r w:rsidR="002B6A5F" w:rsidRPr="00731644">
        <w:rPr>
          <w:bCs/>
          <w:lang w:val="fr-CH"/>
        </w:rPr>
        <w:t xml:space="preserve">instruction égal ou inférieur </w:t>
      </w:r>
      <w:r w:rsidR="004C7BF6" w:rsidRPr="00731644">
        <w:rPr>
          <w:bCs/>
          <w:lang w:val="fr-CH"/>
        </w:rPr>
        <w:t>(re</w:t>
      </w:r>
      <w:r w:rsidR="002B6A5F" w:rsidRPr="00731644">
        <w:rPr>
          <w:bCs/>
          <w:lang w:val="fr-CH"/>
        </w:rPr>
        <w:t>cyclage</w:t>
      </w:r>
      <w:r w:rsidR="004C7BF6" w:rsidRPr="00731644">
        <w:rPr>
          <w:bCs/>
          <w:lang w:val="fr-CH"/>
        </w:rPr>
        <w:t xml:space="preserve">) </w:t>
      </w:r>
      <w:r w:rsidR="002B6A5F" w:rsidRPr="00731644">
        <w:rPr>
          <w:bCs/>
          <w:lang w:val="fr-CH"/>
        </w:rPr>
        <w:t xml:space="preserve">ou </w:t>
      </w:r>
      <w:r w:rsidR="005C7FFA" w:rsidRPr="00731644">
        <w:rPr>
          <w:bCs/>
          <w:lang w:val="fr-CH"/>
        </w:rPr>
        <w:t xml:space="preserve">encore </w:t>
      </w:r>
      <w:r w:rsidR="002B6A5F" w:rsidRPr="00731644">
        <w:rPr>
          <w:bCs/>
          <w:lang w:val="fr-CH"/>
        </w:rPr>
        <w:t>d</w:t>
      </w:r>
      <w:r w:rsidR="00425386" w:rsidRPr="00731644">
        <w:rPr>
          <w:bCs/>
          <w:lang w:val="fr-CH"/>
        </w:rPr>
        <w:t>’</w:t>
      </w:r>
      <w:r w:rsidR="002B6A5F" w:rsidRPr="00731644">
        <w:rPr>
          <w:bCs/>
          <w:lang w:val="fr-CH"/>
        </w:rPr>
        <w:t xml:space="preserve">acquérir des compétences clés </w:t>
      </w:r>
      <w:r w:rsidR="004C7BF6" w:rsidRPr="00731644">
        <w:rPr>
          <w:bCs/>
          <w:lang w:val="fr-CH"/>
        </w:rPr>
        <w:t>(</w:t>
      </w:r>
      <w:r w:rsidR="002B6A5F" w:rsidRPr="00731644">
        <w:rPr>
          <w:bCs/>
          <w:lang w:val="fr-CH"/>
        </w:rPr>
        <w:t xml:space="preserve">informatique, langues étrangères, </w:t>
      </w:r>
      <w:r w:rsidR="0083174F" w:rsidRPr="00731644">
        <w:rPr>
          <w:bCs/>
          <w:lang w:val="fr-CH"/>
        </w:rPr>
        <w:t>etc.</w:t>
      </w:r>
      <w:r w:rsidR="004C7BF6" w:rsidRPr="00731644">
        <w:rPr>
          <w:lang w:val="fr-CH"/>
        </w:rPr>
        <w:t>)</w:t>
      </w:r>
      <w:r w:rsidR="00070648" w:rsidRPr="00731644">
        <w:rPr>
          <w:lang w:val="fr-CH"/>
        </w:rPr>
        <w:t>;</w:t>
      </w:r>
    </w:p>
    <w:p w:rsidR="00FE654F" w:rsidRPr="00731644" w:rsidRDefault="004C7BF6" w:rsidP="009E1684">
      <w:pPr>
        <w:pStyle w:val="SingleTxtG"/>
        <w:ind w:firstLine="567"/>
        <w:rPr>
          <w:bCs/>
          <w:lang w:val="fr-CH"/>
        </w:rPr>
      </w:pPr>
      <w:r w:rsidRPr="00731644">
        <w:rPr>
          <w:bCs/>
          <w:lang w:val="fr-CH"/>
        </w:rPr>
        <w:t>6</w:t>
      </w:r>
      <w:r w:rsidR="009E1684" w:rsidRPr="00731644">
        <w:rPr>
          <w:bCs/>
          <w:lang w:val="fr-CH"/>
        </w:rPr>
        <w:t>)</w:t>
      </w:r>
      <w:r w:rsidR="009E1684" w:rsidRPr="00731644">
        <w:rPr>
          <w:b/>
          <w:bCs/>
          <w:lang w:val="fr-CH"/>
        </w:rPr>
        <w:tab/>
      </w:r>
      <w:r w:rsidR="00574A43" w:rsidRPr="00731644">
        <w:rPr>
          <w:bCs/>
          <w:lang w:val="fr-CH"/>
        </w:rPr>
        <w:t>Le travail d</w:t>
      </w:r>
      <w:r w:rsidR="00425386" w:rsidRPr="00731644">
        <w:rPr>
          <w:bCs/>
          <w:lang w:val="fr-CH"/>
        </w:rPr>
        <w:t>’</w:t>
      </w:r>
      <w:r w:rsidR="00574A43" w:rsidRPr="00731644">
        <w:rPr>
          <w:bCs/>
          <w:lang w:val="fr-CH"/>
        </w:rPr>
        <w:t xml:space="preserve">intérêt </w:t>
      </w:r>
      <w:r w:rsidR="005C7FFA" w:rsidRPr="00731644">
        <w:rPr>
          <w:bCs/>
          <w:lang w:val="fr-CH"/>
        </w:rPr>
        <w:t>public</w:t>
      </w:r>
      <w:r w:rsidR="00574A43" w:rsidRPr="00731644">
        <w:rPr>
          <w:bCs/>
          <w:lang w:val="fr-CH"/>
        </w:rPr>
        <w:t>, travail de courte durée qui permet aux demandeurs d</w:t>
      </w:r>
      <w:r w:rsidR="00425386" w:rsidRPr="00731644">
        <w:rPr>
          <w:bCs/>
          <w:lang w:val="fr-CH"/>
        </w:rPr>
        <w:t>’</w:t>
      </w:r>
      <w:r w:rsidR="00574A43" w:rsidRPr="00731644">
        <w:rPr>
          <w:bCs/>
          <w:lang w:val="fr-CH"/>
        </w:rPr>
        <w:t xml:space="preserve">emploi, et en particulier </w:t>
      </w:r>
      <w:r w:rsidR="00516407">
        <w:rPr>
          <w:bCs/>
          <w:lang w:val="fr-CH"/>
        </w:rPr>
        <w:t>aux personnes</w:t>
      </w:r>
      <w:r w:rsidR="00574A43" w:rsidRPr="00731644">
        <w:rPr>
          <w:bCs/>
          <w:lang w:val="fr-CH"/>
        </w:rPr>
        <w:t xml:space="preserve"> relativement difficiles à employer,</w:t>
      </w:r>
      <w:r w:rsidR="00F31DD5" w:rsidRPr="00731644">
        <w:rPr>
          <w:bCs/>
          <w:lang w:val="fr-CH"/>
        </w:rPr>
        <w:t xml:space="preserve"> </w:t>
      </w:r>
      <w:r w:rsidR="00574A43" w:rsidRPr="00731644">
        <w:rPr>
          <w:bCs/>
          <w:lang w:val="fr-CH"/>
        </w:rPr>
        <w:t>de conserver et d</w:t>
      </w:r>
      <w:r w:rsidR="00425386" w:rsidRPr="00731644">
        <w:rPr>
          <w:bCs/>
          <w:lang w:val="fr-CH"/>
        </w:rPr>
        <w:t>’</w:t>
      </w:r>
      <w:r w:rsidR="00574A43" w:rsidRPr="00731644">
        <w:rPr>
          <w:bCs/>
          <w:lang w:val="fr-CH"/>
        </w:rPr>
        <w:t>améliorer leurs</w:t>
      </w:r>
      <w:r w:rsidR="00F31DD5" w:rsidRPr="00731644">
        <w:rPr>
          <w:bCs/>
          <w:lang w:val="fr-CH"/>
        </w:rPr>
        <w:t xml:space="preserve"> </w:t>
      </w:r>
      <w:r w:rsidR="00574A43" w:rsidRPr="00731644">
        <w:rPr>
          <w:bCs/>
          <w:lang w:val="fr-CH"/>
        </w:rPr>
        <w:t xml:space="preserve">compétences professionnelles </w:t>
      </w:r>
      <w:r w:rsidR="005C7FFA" w:rsidRPr="00731644">
        <w:rPr>
          <w:bCs/>
          <w:lang w:val="fr-CH"/>
        </w:rPr>
        <w:t>tout en répondant à</w:t>
      </w:r>
      <w:r w:rsidR="00FE654F" w:rsidRPr="00731644">
        <w:rPr>
          <w:bCs/>
          <w:lang w:val="fr-CH"/>
        </w:rPr>
        <w:t xml:space="preserve"> un besoin de la société (protection sociale, éducation, protection de l</w:t>
      </w:r>
      <w:r w:rsidR="00425386" w:rsidRPr="00731644">
        <w:rPr>
          <w:bCs/>
          <w:lang w:val="fr-CH"/>
        </w:rPr>
        <w:t>’</w:t>
      </w:r>
      <w:r w:rsidR="00FE654F" w:rsidRPr="00731644">
        <w:rPr>
          <w:bCs/>
          <w:lang w:val="fr-CH"/>
        </w:rPr>
        <w:t>environnement, services collectifs et autres</w:t>
      </w:r>
      <w:r w:rsidR="005F0F7A" w:rsidRPr="00731644">
        <w:rPr>
          <w:bCs/>
          <w:lang w:val="fr-CH"/>
        </w:rPr>
        <w:t>)</w:t>
      </w:r>
      <w:r w:rsidR="00FE654F" w:rsidRPr="00731644">
        <w:rPr>
          <w:bCs/>
          <w:lang w:val="fr-CH"/>
        </w:rPr>
        <w:t>. Le travail d</w:t>
      </w:r>
      <w:r w:rsidR="00425386" w:rsidRPr="00731644">
        <w:rPr>
          <w:bCs/>
          <w:lang w:val="fr-CH"/>
        </w:rPr>
        <w:t>’</w:t>
      </w:r>
      <w:r w:rsidR="00FE654F" w:rsidRPr="00731644">
        <w:rPr>
          <w:bCs/>
          <w:lang w:val="fr-CH"/>
        </w:rPr>
        <w:t xml:space="preserve">intérêt </w:t>
      </w:r>
      <w:r w:rsidR="005C7FFA" w:rsidRPr="00731644">
        <w:rPr>
          <w:bCs/>
          <w:lang w:val="fr-CH"/>
        </w:rPr>
        <w:t>public</w:t>
      </w:r>
      <w:r w:rsidR="00FE654F" w:rsidRPr="00731644">
        <w:rPr>
          <w:bCs/>
          <w:lang w:val="fr-CH"/>
        </w:rPr>
        <w:t xml:space="preserve"> est organisé au niveau central et à l</w:t>
      </w:r>
      <w:r w:rsidR="00425386" w:rsidRPr="00731644">
        <w:rPr>
          <w:bCs/>
          <w:lang w:val="fr-CH"/>
        </w:rPr>
        <w:t>’</w:t>
      </w:r>
      <w:r w:rsidR="0083174F" w:rsidRPr="00731644">
        <w:rPr>
          <w:bCs/>
          <w:lang w:val="fr-CH"/>
        </w:rPr>
        <w:t>échelon</w:t>
      </w:r>
      <w:r w:rsidR="00FE654F" w:rsidRPr="00731644">
        <w:rPr>
          <w:bCs/>
          <w:lang w:val="fr-CH"/>
        </w:rPr>
        <w:t xml:space="preserve"> local</w:t>
      </w:r>
      <w:r w:rsidR="00F31DD5" w:rsidRPr="00731644">
        <w:rPr>
          <w:bCs/>
          <w:lang w:val="fr-CH"/>
        </w:rPr>
        <w:t>;</w:t>
      </w:r>
      <w:r w:rsidR="00FE654F" w:rsidRPr="00731644">
        <w:rPr>
          <w:bCs/>
          <w:lang w:val="fr-CH"/>
        </w:rPr>
        <w:t xml:space="preserve"> </w:t>
      </w:r>
    </w:p>
    <w:p w:rsidR="00FE654F" w:rsidRPr="00731644" w:rsidRDefault="004C7BF6" w:rsidP="009E1684">
      <w:pPr>
        <w:pStyle w:val="SingleTxtG"/>
        <w:ind w:firstLine="567"/>
        <w:rPr>
          <w:b/>
          <w:bCs/>
          <w:lang w:val="fr-CH"/>
        </w:rPr>
      </w:pPr>
      <w:r w:rsidRPr="00731644">
        <w:rPr>
          <w:bCs/>
          <w:lang w:val="fr-CH"/>
        </w:rPr>
        <w:t>7</w:t>
      </w:r>
      <w:r w:rsidR="009E1684" w:rsidRPr="00731644">
        <w:rPr>
          <w:bCs/>
          <w:lang w:val="fr-CH"/>
        </w:rPr>
        <w:t>)</w:t>
      </w:r>
      <w:r w:rsidR="009E1684" w:rsidRPr="00731644">
        <w:rPr>
          <w:bCs/>
          <w:lang w:val="fr-CH"/>
        </w:rPr>
        <w:tab/>
      </w:r>
      <w:r w:rsidR="00FE654F" w:rsidRPr="00731644">
        <w:rPr>
          <w:bCs/>
          <w:lang w:val="fr-CH"/>
        </w:rPr>
        <w:t>L</w:t>
      </w:r>
      <w:r w:rsidR="00425386" w:rsidRPr="00731644">
        <w:rPr>
          <w:bCs/>
          <w:lang w:val="fr-CH"/>
        </w:rPr>
        <w:t>’</w:t>
      </w:r>
      <w:r w:rsidR="005C7FFA" w:rsidRPr="00731644">
        <w:rPr>
          <w:bCs/>
          <w:lang w:val="fr-CH"/>
        </w:rPr>
        <w:t>aide financière</w:t>
      </w:r>
      <w:r w:rsidR="00FE654F" w:rsidRPr="00731644">
        <w:rPr>
          <w:bCs/>
          <w:lang w:val="fr-CH"/>
        </w:rPr>
        <w:t xml:space="preserve"> à l</w:t>
      </w:r>
      <w:r w:rsidR="00425386" w:rsidRPr="00731644">
        <w:rPr>
          <w:bCs/>
          <w:lang w:val="fr-CH"/>
        </w:rPr>
        <w:t>’</w:t>
      </w:r>
      <w:r w:rsidR="00FE654F" w:rsidRPr="00731644">
        <w:rPr>
          <w:bCs/>
          <w:lang w:val="fr-CH"/>
        </w:rPr>
        <w:t xml:space="preserve">emploi </w:t>
      </w:r>
      <w:r w:rsidR="00B569C5" w:rsidRPr="00731644">
        <w:rPr>
          <w:bCs/>
          <w:lang w:val="fr-CH"/>
        </w:rPr>
        <w:t>des personnes</w:t>
      </w:r>
      <w:r w:rsidR="00FE654F" w:rsidRPr="00731644">
        <w:rPr>
          <w:bCs/>
          <w:lang w:val="fr-CH"/>
        </w:rPr>
        <w:t xml:space="preserve"> relativement difficiles à employer à qui un contrat de durée indéterminée </w:t>
      </w:r>
      <w:r w:rsidR="005C7FFA" w:rsidRPr="00731644">
        <w:rPr>
          <w:bCs/>
          <w:lang w:val="fr-CH"/>
        </w:rPr>
        <w:t>est offert</w:t>
      </w:r>
      <w:r w:rsidR="00F31DD5" w:rsidRPr="00731644">
        <w:rPr>
          <w:bCs/>
          <w:lang w:val="fr-CH"/>
        </w:rPr>
        <w:t>;</w:t>
      </w:r>
      <w:r w:rsidR="00F31DD5" w:rsidRPr="00731644">
        <w:rPr>
          <w:b/>
          <w:bCs/>
          <w:lang w:val="fr-CH"/>
        </w:rPr>
        <w:t xml:space="preserve"> </w:t>
      </w:r>
    </w:p>
    <w:p w:rsidR="004C7BF6" w:rsidRPr="00731644" w:rsidRDefault="004C7BF6" w:rsidP="009E1684">
      <w:pPr>
        <w:pStyle w:val="SingleTxtG"/>
        <w:ind w:firstLine="567"/>
        <w:rPr>
          <w:lang w:val="fr-CH"/>
        </w:rPr>
      </w:pPr>
      <w:r w:rsidRPr="00731644">
        <w:rPr>
          <w:bCs/>
          <w:lang w:val="fr-CH"/>
        </w:rPr>
        <w:t>8</w:t>
      </w:r>
      <w:r w:rsidR="009E1684" w:rsidRPr="00731644">
        <w:rPr>
          <w:bCs/>
          <w:lang w:val="fr-CH"/>
        </w:rPr>
        <w:t>)</w:t>
      </w:r>
      <w:r w:rsidR="009E1684" w:rsidRPr="00731644">
        <w:rPr>
          <w:b/>
          <w:bCs/>
          <w:lang w:val="fr-CH"/>
        </w:rPr>
        <w:tab/>
      </w:r>
      <w:r w:rsidR="00FE654F" w:rsidRPr="00731644">
        <w:rPr>
          <w:bCs/>
          <w:lang w:val="fr-CH"/>
        </w:rPr>
        <w:t xml:space="preserve">La réinsertion professionnelle </w:t>
      </w:r>
      <w:r w:rsidR="00B569C5" w:rsidRPr="00731644">
        <w:rPr>
          <w:bCs/>
          <w:lang w:val="fr-CH"/>
        </w:rPr>
        <w:t>des personnes</w:t>
      </w:r>
      <w:r w:rsidR="00FE654F" w:rsidRPr="00731644">
        <w:rPr>
          <w:bCs/>
          <w:lang w:val="fr-CH"/>
        </w:rPr>
        <w:t xml:space="preserve"> relativement difficiles à employer, dont le but est d</w:t>
      </w:r>
      <w:r w:rsidR="00425386" w:rsidRPr="00731644">
        <w:rPr>
          <w:bCs/>
          <w:lang w:val="fr-CH"/>
        </w:rPr>
        <w:t>’</w:t>
      </w:r>
      <w:r w:rsidR="00FE654F" w:rsidRPr="00731644">
        <w:rPr>
          <w:bCs/>
          <w:lang w:val="fr-CH"/>
        </w:rPr>
        <w:t xml:space="preserve">aider </w:t>
      </w:r>
      <w:r w:rsidR="00B569C5" w:rsidRPr="00731644">
        <w:rPr>
          <w:bCs/>
          <w:lang w:val="fr-CH"/>
        </w:rPr>
        <w:t>ces personnes</w:t>
      </w:r>
      <w:r w:rsidR="00FE654F" w:rsidRPr="00731644">
        <w:rPr>
          <w:bCs/>
          <w:lang w:val="fr-CH"/>
        </w:rPr>
        <w:t xml:space="preserve"> à </w:t>
      </w:r>
      <w:r w:rsidR="006C42E9" w:rsidRPr="00731644">
        <w:rPr>
          <w:bCs/>
          <w:lang w:val="fr-CH"/>
        </w:rPr>
        <w:t>parvenir à</w:t>
      </w:r>
      <w:r w:rsidR="00FE654F" w:rsidRPr="00731644">
        <w:rPr>
          <w:bCs/>
          <w:lang w:val="fr-CH"/>
        </w:rPr>
        <w:t xml:space="preserve"> </w:t>
      </w:r>
      <w:r w:rsidR="006C42E9" w:rsidRPr="00731644">
        <w:rPr>
          <w:bCs/>
          <w:lang w:val="fr-CH"/>
        </w:rPr>
        <w:t xml:space="preserve">occuper un emploi, </w:t>
      </w:r>
      <w:r w:rsidR="00880A9A" w:rsidRPr="00731644">
        <w:rPr>
          <w:bCs/>
          <w:lang w:val="fr-CH"/>
        </w:rPr>
        <w:t xml:space="preserve">à </w:t>
      </w:r>
      <w:r w:rsidR="006C42E9" w:rsidRPr="00731644">
        <w:rPr>
          <w:bCs/>
          <w:lang w:val="fr-CH"/>
        </w:rPr>
        <w:t xml:space="preserve">le </w:t>
      </w:r>
      <w:r w:rsidR="00FE654F" w:rsidRPr="00731644">
        <w:rPr>
          <w:bCs/>
          <w:lang w:val="fr-CH"/>
        </w:rPr>
        <w:t xml:space="preserve">conserver et </w:t>
      </w:r>
      <w:r w:rsidR="00880A9A" w:rsidRPr="00731644">
        <w:rPr>
          <w:bCs/>
          <w:lang w:val="fr-CH"/>
        </w:rPr>
        <w:t xml:space="preserve">à </w:t>
      </w:r>
      <w:r w:rsidR="00FE654F" w:rsidRPr="00731644">
        <w:rPr>
          <w:bCs/>
          <w:lang w:val="fr-CH"/>
        </w:rPr>
        <w:t>y progresser</w:t>
      </w:r>
      <w:r w:rsidR="00F31DD5" w:rsidRPr="00731644">
        <w:rPr>
          <w:bCs/>
          <w:lang w:val="fr-CH"/>
        </w:rPr>
        <w:t>;</w:t>
      </w:r>
    </w:p>
    <w:p w:rsidR="004C7BF6" w:rsidRPr="00731644" w:rsidRDefault="004C7BF6" w:rsidP="009E1684">
      <w:pPr>
        <w:pStyle w:val="SingleTxtG"/>
        <w:ind w:firstLine="567"/>
        <w:rPr>
          <w:lang w:val="fr-CH"/>
        </w:rPr>
      </w:pPr>
      <w:r w:rsidRPr="00731644">
        <w:rPr>
          <w:bCs/>
          <w:lang w:val="fr-CH"/>
        </w:rPr>
        <w:t>9</w:t>
      </w:r>
      <w:r w:rsidR="009E1684" w:rsidRPr="00731644">
        <w:rPr>
          <w:bCs/>
          <w:lang w:val="fr-CH"/>
        </w:rPr>
        <w:t>)</w:t>
      </w:r>
      <w:r w:rsidR="009E1684" w:rsidRPr="00731644">
        <w:rPr>
          <w:b/>
          <w:bCs/>
          <w:lang w:val="fr-CH"/>
        </w:rPr>
        <w:tab/>
      </w:r>
      <w:r w:rsidR="006C42E9" w:rsidRPr="00731644">
        <w:rPr>
          <w:bCs/>
          <w:lang w:val="fr-CH"/>
        </w:rPr>
        <w:t>L</w:t>
      </w:r>
      <w:r w:rsidR="00425386" w:rsidRPr="00731644">
        <w:rPr>
          <w:bCs/>
          <w:lang w:val="fr-CH"/>
        </w:rPr>
        <w:t>’</w:t>
      </w:r>
      <w:r w:rsidR="006C42E9" w:rsidRPr="00731644">
        <w:rPr>
          <w:bCs/>
          <w:lang w:val="fr-CH"/>
        </w:rPr>
        <w:t xml:space="preserve">attribution </w:t>
      </w:r>
      <w:r w:rsidR="005C7FFA" w:rsidRPr="00731644">
        <w:rPr>
          <w:bCs/>
          <w:lang w:val="fr-CH"/>
        </w:rPr>
        <w:t xml:space="preserve">aux chômeurs </w:t>
      </w:r>
      <w:r w:rsidR="006C42E9" w:rsidRPr="00731644">
        <w:rPr>
          <w:bCs/>
          <w:lang w:val="fr-CH"/>
        </w:rPr>
        <w:t xml:space="preserve">de bourses </w:t>
      </w:r>
      <w:r w:rsidR="004A445E" w:rsidRPr="00731644">
        <w:rPr>
          <w:bCs/>
          <w:lang w:val="fr-CH"/>
        </w:rPr>
        <w:t>qui tiennent compte</w:t>
      </w:r>
      <w:r w:rsidR="006C42E9" w:rsidRPr="00731644">
        <w:rPr>
          <w:bCs/>
          <w:lang w:val="fr-CH"/>
        </w:rPr>
        <w:t xml:space="preserve"> des besoins du marché du travail</w:t>
      </w:r>
      <w:r w:rsidR="006C42E9" w:rsidRPr="00731644">
        <w:rPr>
          <w:b/>
          <w:bCs/>
          <w:lang w:val="fr-CH"/>
        </w:rPr>
        <w:t xml:space="preserve"> </w:t>
      </w:r>
      <w:r w:rsidRPr="00731644">
        <w:rPr>
          <w:bCs/>
          <w:lang w:val="fr-CH"/>
        </w:rPr>
        <w:t>(</w:t>
      </w:r>
      <w:r w:rsidR="006C42E9" w:rsidRPr="00731644">
        <w:rPr>
          <w:bCs/>
          <w:lang w:val="fr-CH"/>
        </w:rPr>
        <w:t>professions recherchées</w:t>
      </w:r>
      <w:r w:rsidRPr="00731644">
        <w:rPr>
          <w:lang w:val="fr-CH"/>
        </w:rPr>
        <w:t>)</w:t>
      </w:r>
      <w:r w:rsidR="00F31DD5" w:rsidRPr="00731644">
        <w:rPr>
          <w:lang w:val="fr-CH"/>
        </w:rPr>
        <w:t>;</w:t>
      </w:r>
    </w:p>
    <w:p w:rsidR="004C7BF6" w:rsidRPr="00731644" w:rsidRDefault="006C42E9" w:rsidP="006C42E9">
      <w:pPr>
        <w:pStyle w:val="SingleTxtG"/>
        <w:ind w:firstLine="567"/>
        <w:rPr>
          <w:bCs/>
          <w:lang w:val="fr-CH"/>
        </w:rPr>
      </w:pPr>
      <w:r w:rsidRPr="00731644">
        <w:rPr>
          <w:bCs/>
          <w:lang w:val="fr-CH"/>
        </w:rPr>
        <w:t>1</w:t>
      </w:r>
      <w:r w:rsidR="004C7BF6" w:rsidRPr="00731644">
        <w:rPr>
          <w:bCs/>
          <w:lang w:val="fr-CH"/>
        </w:rPr>
        <w:t>0</w:t>
      </w:r>
      <w:r w:rsidR="009E1684" w:rsidRPr="00731644">
        <w:rPr>
          <w:bCs/>
          <w:lang w:val="fr-CH"/>
        </w:rPr>
        <w:t>)</w:t>
      </w:r>
      <w:r w:rsidR="009E1684" w:rsidRPr="00731644">
        <w:rPr>
          <w:b/>
          <w:bCs/>
          <w:lang w:val="fr-CH"/>
        </w:rPr>
        <w:tab/>
      </w:r>
      <w:r w:rsidRPr="00731644">
        <w:rPr>
          <w:bCs/>
          <w:lang w:val="fr-CH"/>
        </w:rPr>
        <w:t>La p</w:t>
      </w:r>
      <w:r w:rsidR="004C7BF6" w:rsidRPr="00731644">
        <w:rPr>
          <w:bCs/>
          <w:lang w:val="fr-CH"/>
        </w:rPr>
        <w:t>r</w:t>
      </w:r>
      <w:r w:rsidRPr="00731644">
        <w:rPr>
          <w:bCs/>
          <w:lang w:val="fr-CH"/>
        </w:rPr>
        <w:t>é</w:t>
      </w:r>
      <w:r w:rsidR="004C7BF6" w:rsidRPr="00731644">
        <w:rPr>
          <w:bCs/>
          <w:lang w:val="fr-CH"/>
        </w:rPr>
        <w:t xml:space="preserve">paration </w:t>
      </w:r>
      <w:r w:rsidR="004A445E" w:rsidRPr="00731644">
        <w:rPr>
          <w:bCs/>
          <w:lang w:val="fr-CH"/>
        </w:rPr>
        <w:t xml:space="preserve">des chômeurs </w:t>
      </w:r>
      <w:r w:rsidRPr="00731644">
        <w:rPr>
          <w:bCs/>
          <w:lang w:val="fr-CH"/>
        </w:rPr>
        <w:t xml:space="preserve">au travail saisonnier </w:t>
      </w:r>
      <w:r w:rsidR="004A445E" w:rsidRPr="00731644">
        <w:rPr>
          <w:bCs/>
          <w:lang w:val="fr-CH"/>
        </w:rPr>
        <w:t>–</w:t>
      </w:r>
      <w:r w:rsidRPr="00731644">
        <w:rPr>
          <w:bCs/>
          <w:lang w:val="fr-CH"/>
        </w:rPr>
        <w:t xml:space="preserve"> </w:t>
      </w:r>
      <w:r w:rsidR="004A445E" w:rsidRPr="00731644">
        <w:rPr>
          <w:bCs/>
          <w:lang w:val="fr-CH"/>
        </w:rPr>
        <w:t xml:space="preserve">dans le </w:t>
      </w:r>
      <w:r w:rsidR="004C7BF6" w:rsidRPr="00731644">
        <w:rPr>
          <w:bCs/>
          <w:lang w:val="fr-CH"/>
        </w:rPr>
        <w:t>tourism</w:t>
      </w:r>
      <w:r w:rsidRPr="00731644">
        <w:rPr>
          <w:bCs/>
          <w:lang w:val="fr-CH"/>
        </w:rPr>
        <w:t>e</w:t>
      </w:r>
      <w:r w:rsidR="004C7BF6" w:rsidRPr="00731644">
        <w:rPr>
          <w:bCs/>
          <w:lang w:val="fr-CH"/>
        </w:rPr>
        <w:t xml:space="preserve">, </w:t>
      </w:r>
      <w:r w:rsidR="004A445E" w:rsidRPr="00731644">
        <w:rPr>
          <w:bCs/>
          <w:lang w:val="fr-CH"/>
        </w:rPr>
        <w:t xml:space="preserve">la </w:t>
      </w:r>
      <w:r w:rsidRPr="00731644">
        <w:rPr>
          <w:bCs/>
          <w:lang w:val="fr-CH"/>
        </w:rPr>
        <w:t>restauration</w:t>
      </w:r>
      <w:r w:rsidR="004C7BF6" w:rsidRPr="00731644">
        <w:rPr>
          <w:bCs/>
          <w:lang w:val="fr-CH"/>
        </w:rPr>
        <w:t xml:space="preserve">, </w:t>
      </w:r>
      <w:r w:rsidR="004A445E" w:rsidRPr="00731644">
        <w:rPr>
          <w:bCs/>
          <w:lang w:val="fr-CH"/>
        </w:rPr>
        <w:t>l</w:t>
      </w:r>
      <w:r w:rsidR="00425386" w:rsidRPr="00731644">
        <w:rPr>
          <w:bCs/>
          <w:lang w:val="fr-CH"/>
        </w:rPr>
        <w:t>’</w:t>
      </w:r>
      <w:r w:rsidR="004C7BF6" w:rsidRPr="00731644">
        <w:rPr>
          <w:bCs/>
          <w:lang w:val="fr-CH"/>
        </w:rPr>
        <w:t xml:space="preserve">agriculture, </w:t>
      </w:r>
      <w:r w:rsidR="004A445E" w:rsidRPr="00731644">
        <w:rPr>
          <w:bCs/>
          <w:lang w:val="fr-CH"/>
        </w:rPr>
        <w:t xml:space="preserve">la </w:t>
      </w:r>
      <w:r w:rsidRPr="00731644">
        <w:rPr>
          <w:bCs/>
          <w:lang w:val="fr-CH"/>
        </w:rPr>
        <w:t>sylviculture</w:t>
      </w:r>
      <w:r w:rsidR="004C7BF6" w:rsidRPr="00731644">
        <w:rPr>
          <w:bCs/>
          <w:lang w:val="fr-CH"/>
        </w:rPr>
        <w:t xml:space="preserve">, </w:t>
      </w:r>
      <w:r w:rsidR="004A445E" w:rsidRPr="00731644">
        <w:rPr>
          <w:bCs/>
          <w:lang w:val="fr-CH"/>
        </w:rPr>
        <w:t xml:space="preserve">la </w:t>
      </w:r>
      <w:r w:rsidR="004C7BF6" w:rsidRPr="00731644">
        <w:rPr>
          <w:bCs/>
          <w:lang w:val="fr-CH"/>
        </w:rPr>
        <w:t xml:space="preserve">construction </w:t>
      </w:r>
      <w:r w:rsidRPr="00731644">
        <w:rPr>
          <w:bCs/>
          <w:lang w:val="fr-CH"/>
        </w:rPr>
        <w:t xml:space="preserve">et </w:t>
      </w:r>
      <w:r w:rsidR="004A445E" w:rsidRPr="00731644">
        <w:rPr>
          <w:bCs/>
          <w:lang w:val="fr-CH"/>
        </w:rPr>
        <w:t>d</w:t>
      </w:r>
      <w:r w:rsidR="00425386" w:rsidRPr="00731644">
        <w:rPr>
          <w:bCs/>
          <w:lang w:val="fr-CH"/>
        </w:rPr>
        <w:t>’</w:t>
      </w:r>
      <w:r w:rsidRPr="00731644">
        <w:rPr>
          <w:bCs/>
          <w:lang w:val="fr-CH"/>
        </w:rPr>
        <w:t>autres activités saisonnières</w:t>
      </w:r>
      <w:r w:rsidR="004C7BF6" w:rsidRPr="00731644">
        <w:rPr>
          <w:bCs/>
          <w:lang w:val="fr-CH"/>
        </w:rPr>
        <w:t>.</w:t>
      </w:r>
    </w:p>
    <w:p w:rsidR="004C7BF6" w:rsidRPr="00731644" w:rsidRDefault="009E1684" w:rsidP="004C7BF6">
      <w:pPr>
        <w:pStyle w:val="SingleTxtG"/>
        <w:rPr>
          <w:bCs/>
          <w:lang w:val="fr-CH"/>
        </w:rPr>
      </w:pPr>
      <w:r w:rsidRPr="00731644">
        <w:rPr>
          <w:bCs/>
          <w:lang w:val="fr-CH"/>
        </w:rPr>
        <w:t>218.</w:t>
      </w:r>
      <w:r w:rsidRPr="00731644">
        <w:rPr>
          <w:bCs/>
          <w:lang w:val="fr-CH"/>
        </w:rPr>
        <w:tab/>
      </w:r>
      <w:r w:rsidR="006C42E9" w:rsidRPr="00731644">
        <w:rPr>
          <w:bCs/>
          <w:lang w:val="fr-CH"/>
        </w:rPr>
        <w:t>En appliquant les techn</w:t>
      </w:r>
      <w:r w:rsidR="00661147" w:rsidRPr="00731644">
        <w:rPr>
          <w:bCs/>
          <w:lang w:val="fr-CH"/>
        </w:rPr>
        <w:t>iques</w:t>
      </w:r>
      <w:r w:rsidR="006C42E9" w:rsidRPr="00731644">
        <w:rPr>
          <w:bCs/>
          <w:lang w:val="fr-CH"/>
        </w:rPr>
        <w:t xml:space="preserve"> modernes </w:t>
      </w:r>
      <w:r w:rsidR="00DD501B" w:rsidRPr="00731644">
        <w:rPr>
          <w:bCs/>
          <w:lang w:val="fr-CH"/>
        </w:rPr>
        <w:t>d</w:t>
      </w:r>
      <w:r w:rsidR="00425386" w:rsidRPr="00731644">
        <w:rPr>
          <w:bCs/>
          <w:lang w:val="fr-CH"/>
        </w:rPr>
        <w:t>’</w:t>
      </w:r>
      <w:r w:rsidR="00DD501B" w:rsidRPr="00731644">
        <w:rPr>
          <w:bCs/>
          <w:lang w:val="fr-CH"/>
        </w:rPr>
        <w:t xml:space="preserve">étude du travail </w:t>
      </w:r>
      <w:r w:rsidR="00661147" w:rsidRPr="00731644">
        <w:rPr>
          <w:bCs/>
          <w:lang w:val="fr-CH"/>
        </w:rPr>
        <w:t>à la population</w:t>
      </w:r>
      <w:r w:rsidR="00DD501B" w:rsidRPr="00731644">
        <w:rPr>
          <w:bCs/>
          <w:lang w:val="fr-CH"/>
        </w:rPr>
        <w:t xml:space="preserve"> au chômage, l</w:t>
      </w:r>
      <w:r w:rsidR="00425386" w:rsidRPr="00731644">
        <w:rPr>
          <w:bCs/>
          <w:lang w:val="fr-CH"/>
        </w:rPr>
        <w:t>’</w:t>
      </w:r>
      <w:r w:rsidR="00DD501B" w:rsidRPr="00731644">
        <w:rPr>
          <w:bCs/>
          <w:lang w:val="fr-CH"/>
        </w:rPr>
        <w:t>Agenc</w:t>
      </w:r>
      <w:r w:rsidR="00661147" w:rsidRPr="00731644">
        <w:rPr>
          <w:bCs/>
          <w:lang w:val="fr-CH"/>
        </w:rPr>
        <w:t>e pour l</w:t>
      </w:r>
      <w:r w:rsidR="00425386" w:rsidRPr="00731644">
        <w:rPr>
          <w:bCs/>
          <w:lang w:val="fr-CH"/>
        </w:rPr>
        <w:t>’</w:t>
      </w:r>
      <w:r w:rsidR="00661147" w:rsidRPr="00731644">
        <w:rPr>
          <w:bCs/>
          <w:lang w:val="fr-CH"/>
        </w:rPr>
        <w:t>emploi a pu constater</w:t>
      </w:r>
      <w:r w:rsidR="00DD501B" w:rsidRPr="00731644">
        <w:rPr>
          <w:bCs/>
          <w:lang w:val="fr-CH"/>
        </w:rPr>
        <w:t xml:space="preserve"> que les deux catégories </w:t>
      </w:r>
      <w:r w:rsidR="00B569C5" w:rsidRPr="00731644">
        <w:rPr>
          <w:bCs/>
          <w:lang w:val="fr-CH"/>
        </w:rPr>
        <w:t>de personnes</w:t>
      </w:r>
      <w:r w:rsidR="00DD501B" w:rsidRPr="00731644">
        <w:rPr>
          <w:bCs/>
          <w:lang w:val="fr-CH"/>
        </w:rPr>
        <w:t xml:space="preserve"> relativement difficiles à employer les plus vulnérables, du point de vue de l</w:t>
      </w:r>
      <w:r w:rsidR="00425386" w:rsidRPr="00731644">
        <w:rPr>
          <w:bCs/>
          <w:lang w:val="fr-CH"/>
        </w:rPr>
        <w:t>’</w:t>
      </w:r>
      <w:r w:rsidR="00DD501B" w:rsidRPr="00731644">
        <w:rPr>
          <w:bCs/>
          <w:lang w:val="fr-CH"/>
        </w:rPr>
        <w:t>employabilité et de l</w:t>
      </w:r>
      <w:r w:rsidR="00425386" w:rsidRPr="00731644">
        <w:rPr>
          <w:bCs/>
          <w:lang w:val="fr-CH"/>
        </w:rPr>
        <w:t>’</w:t>
      </w:r>
      <w:r w:rsidR="00DD501B" w:rsidRPr="00731644">
        <w:rPr>
          <w:bCs/>
          <w:lang w:val="fr-CH"/>
        </w:rPr>
        <w:t xml:space="preserve">emploi, sont </w:t>
      </w:r>
      <w:r w:rsidR="00CB7658" w:rsidRPr="00731644">
        <w:rPr>
          <w:bCs/>
          <w:lang w:val="fr-CH"/>
        </w:rPr>
        <w:t>les personnes</w:t>
      </w:r>
      <w:r w:rsidR="00DD501B" w:rsidRPr="00731644">
        <w:rPr>
          <w:bCs/>
          <w:lang w:val="fr-CH"/>
        </w:rPr>
        <w:t xml:space="preserve"> handicapées et les Roms, les </w:t>
      </w:r>
      <w:r w:rsidR="002A5033" w:rsidRPr="00731644">
        <w:rPr>
          <w:bCs/>
          <w:lang w:val="fr-CH"/>
        </w:rPr>
        <w:t>Ashkali</w:t>
      </w:r>
      <w:r w:rsidR="00DD501B" w:rsidRPr="00731644">
        <w:rPr>
          <w:bCs/>
          <w:lang w:val="fr-CH"/>
        </w:rPr>
        <w:t xml:space="preserve"> et les </w:t>
      </w:r>
      <w:r w:rsidR="00661147" w:rsidRPr="00731644">
        <w:rPr>
          <w:bCs/>
          <w:lang w:val="fr-CH"/>
        </w:rPr>
        <w:t>t</w:t>
      </w:r>
      <w:r w:rsidR="00A95D03" w:rsidRPr="00731644">
        <w:rPr>
          <w:bCs/>
          <w:lang w:val="fr-CH"/>
        </w:rPr>
        <w:t>ziganes</w:t>
      </w:r>
      <w:r w:rsidR="00DD501B" w:rsidRPr="00731644">
        <w:rPr>
          <w:bCs/>
          <w:lang w:val="fr-CH"/>
        </w:rPr>
        <w:t>.</w:t>
      </w:r>
      <w:r w:rsidR="00F31DD5" w:rsidRPr="00731644">
        <w:rPr>
          <w:bCs/>
          <w:lang w:val="fr-CH"/>
        </w:rPr>
        <w:t xml:space="preserve"> </w:t>
      </w:r>
      <w:r w:rsidR="00DD501B" w:rsidRPr="00731644">
        <w:rPr>
          <w:bCs/>
          <w:lang w:val="fr-CH"/>
        </w:rPr>
        <w:t xml:space="preserve">En ce qui </w:t>
      </w:r>
      <w:r w:rsidR="0083174F" w:rsidRPr="00731644">
        <w:rPr>
          <w:bCs/>
          <w:lang w:val="fr-CH"/>
        </w:rPr>
        <w:t>concerne</w:t>
      </w:r>
      <w:r w:rsidR="00DD501B" w:rsidRPr="00731644">
        <w:rPr>
          <w:bCs/>
          <w:lang w:val="fr-CH"/>
        </w:rPr>
        <w:t xml:space="preserve"> le second groupe, les </w:t>
      </w:r>
      <w:r w:rsidR="00661147" w:rsidRPr="00731644">
        <w:rPr>
          <w:bCs/>
          <w:lang w:val="fr-CH"/>
        </w:rPr>
        <w:t>obstacl</w:t>
      </w:r>
      <w:r w:rsidR="00DD501B" w:rsidRPr="00731644">
        <w:rPr>
          <w:bCs/>
          <w:lang w:val="fr-CH"/>
        </w:rPr>
        <w:t>es les plus importants sont</w:t>
      </w:r>
      <w:r w:rsidR="00F31DD5" w:rsidRPr="00731644">
        <w:rPr>
          <w:bCs/>
          <w:lang w:val="fr-CH"/>
        </w:rPr>
        <w:t>:</w:t>
      </w:r>
      <w:r w:rsidR="00DD501B" w:rsidRPr="00731644">
        <w:rPr>
          <w:bCs/>
          <w:lang w:val="fr-CH"/>
        </w:rPr>
        <w:t xml:space="preserve"> le manque d</w:t>
      </w:r>
      <w:r w:rsidR="00425386" w:rsidRPr="00731644">
        <w:rPr>
          <w:bCs/>
          <w:lang w:val="fr-CH"/>
        </w:rPr>
        <w:t>’</w:t>
      </w:r>
      <w:r w:rsidR="00DD501B" w:rsidRPr="00731644">
        <w:rPr>
          <w:bCs/>
          <w:lang w:val="fr-CH"/>
        </w:rPr>
        <w:t>instruction et de possibilités d</w:t>
      </w:r>
      <w:r w:rsidR="00425386" w:rsidRPr="00731644">
        <w:rPr>
          <w:bCs/>
          <w:lang w:val="fr-CH"/>
        </w:rPr>
        <w:t>’</w:t>
      </w:r>
      <w:r w:rsidR="00DD501B" w:rsidRPr="00731644">
        <w:rPr>
          <w:bCs/>
          <w:lang w:val="fr-CH"/>
        </w:rPr>
        <w:t>éducation, l</w:t>
      </w:r>
      <w:r w:rsidR="00661147" w:rsidRPr="00731644">
        <w:rPr>
          <w:bCs/>
          <w:lang w:val="fr-CH"/>
        </w:rPr>
        <w:t>e</w:t>
      </w:r>
      <w:r w:rsidR="00DD501B" w:rsidRPr="00731644">
        <w:rPr>
          <w:bCs/>
          <w:lang w:val="fr-CH"/>
        </w:rPr>
        <w:t xml:space="preserve"> manque de papiers, les difficultés économiques et sociales qui mettent </w:t>
      </w:r>
      <w:r w:rsidR="00B569C5" w:rsidRPr="00731644">
        <w:rPr>
          <w:bCs/>
          <w:lang w:val="fr-CH"/>
        </w:rPr>
        <w:t>ces personnes</w:t>
      </w:r>
      <w:r w:rsidR="00661147" w:rsidRPr="00731644">
        <w:rPr>
          <w:bCs/>
          <w:lang w:val="fr-CH"/>
        </w:rPr>
        <w:t xml:space="preserve"> dans l</w:t>
      </w:r>
      <w:r w:rsidR="00425386" w:rsidRPr="00731644">
        <w:rPr>
          <w:bCs/>
          <w:lang w:val="fr-CH"/>
        </w:rPr>
        <w:t>’</w:t>
      </w:r>
      <w:r w:rsidR="0083174F" w:rsidRPr="00731644">
        <w:rPr>
          <w:bCs/>
          <w:lang w:val="fr-CH"/>
        </w:rPr>
        <w:t>impossibilité</w:t>
      </w:r>
      <w:r w:rsidR="00661147" w:rsidRPr="00731644">
        <w:rPr>
          <w:bCs/>
          <w:lang w:val="fr-CH"/>
        </w:rPr>
        <w:t xml:space="preserve"> d</w:t>
      </w:r>
      <w:r w:rsidR="00425386" w:rsidRPr="00731644">
        <w:rPr>
          <w:bCs/>
          <w:lang w:val="fr-CH"/>
        </w:rPr>
        <w:t>’</w:t>
      </w:r>
      <w:r w:rsidR="00661147" w:rsidRPr="00731644">
        <w:rPr>
          <w:bCs/>
          <w:lang w:val="fr-CH"/>
        </w:rPr>
        <w:t>accep</w:t>
      </w:r>
      <w:r w:rsidR="00DD501B" w:rsidRPr="00731644">
        <w:rPr>
          <w:bCs/>
          <w:lang w:val="fr-CH"/>
        </w:rPr>
        <w:t xml:space="preserve">ter des formations </w:t>
      </w:r>
      <w:r w:rsidR="00661147" w:rsidRPr="00731644">
        <w:rPr>
          <w:bCs/>
          <w:lang w:val="fr-CH"/>
        </w:rPr>
        <w:t>relativement</w:t>
      </w:r>
      <w:r w:rsidR="00DD501B" w:rsidRPr="00731644">
        <w:rPr>
          <w:bCs/>
          <w:lang w:val="fr-CH"/>
        </w:rPr>
        <w:t xml:space="preserve"> longues, la </w:t>
      </w:r>
      <w:r w:rsidR="00DE3F29" w:rsidRPr="00731644">
        <w:rPr>
          <w:bCs/>
          <w:lang w:val="fr-CH"/>
        </w:rPr>
        <w:t>discrimination et le rejet de la part de la population et des employeurs qui ne sont pas roms, l</w:t>
      </w:r>
      <w:r w:rsidR="00425386" w:rsidRPr="00731644">
        <w:rPr>
          <w:bCs/>
          <w:lang w:val="fr-CH"/>
        </w:rPr>
        <w:t>’</w:t>
      </w:r>
      <w:r w:rsidR="00DE3F29" w:rsidRPr="00731644">
        <w:rPr>
          <w:bCs/>
          <w:lang w:val="fr-CH"/>
        </w:rPr>
        <w:t>occupation de logements insalubres qui ne sont pas aux normes, l</w:t>
      </w:r>
      <w:r w:rsidR="00425386" w:rsidRPr="00731644">
        <w:rPr>
          <w:bCs/>
          <w:lang w:val="fr-CH"/>
        </w:rPr>
        <w:t>’</w:t>
      </w:r>
      <w:r w:rsidR="00DE3F29" w:rsidRPr="00731644">
        <w:rPr>
          <w:bCs/>
          <w:lang w:val="fr-CH"/>
        </w:rPr>
        <w:t>impossibilité d</w:t>
      </w:r>
      <w:r w:rsidR="00425386" w:rsidRPr="00731644">
        <w:rPr>
          <w:bCs/>
          <w:lang w:val="fr-CH"/>
        </w:rPr>
        <w:t>’</w:t>
      </w:r>
      <w:r w:rsidR="00DE3F29" w:rsidRPr="00731644">
        <w:rPr>
          <w:bCs/>
          <w:lang w:val="fr-CH"/>
        </w:rPr>
        <w:t>emprunter faute de biens à offrir</w:t>
      </w:r>
      <w:r w:rsidR="00DD501B" w:rsidRPr="00731644">
        <w:rPr>
          <w:bCs/>
          <w:lang w:val="fr-CH"/>
        </w:rPr>
        <w:t xml:space="preserve"> </w:t>
      </w:r>
      <w:r w:rsidR="00DE3F29" w:rsidRPr="00731644">
        <w:rPr>
          <w:bCs/>
          <w:lang w:val="fr-CH"/>
        </w:rPr>
        <w:t>en ga</w:t>
      </w:r>
      <w:r w:rsidR="00880A9A" w:rsidRPr="00731644">
        <w:rPr>
          <w:bCs/>
          <w:lang w:val="fr-CH"/>
        </w:rPr>
        <w:t>ga</w:t>
      </w:r>
      <w:r w:rsidR="00DE3F29" w:rsidRPr="00731644">
        <w:rPr>
          <w:bCs/>
          <w:lang w:val="fr-CH"/>
        </w:rPr>
        <w:t xml:space="preserve"> et de relations pouvant se porter garantes,</w:t>
      </w:r>
      <w:r w:rsidR="00F31DD5" w:rsidRPr="00731644">
        <w:rPr>
          <w:bCs/>
          <w:lang w:val="fr-CH"/>
        </w:rPr>
        <w:t xml:space="preserve"> </w:t>
      </w:r>
      <w:r w:rsidR="004C7BF6" w:rsidRPr="00731644">
        <w:rPr>
          <w:bCs/>
          <w:lang w:val="fr-CH"/>
        </w:rPr>
        <w:t>etc.</w:t>
      </w:r>
    </w:p>
    <w:p w:rsidR="004C7BF6" w:rsidRPr="00731644" w:rsidRDefault="00304BA7" w:rsidP="004C7BF6">
      <w:pPr>
        <w:pStyle w:val="SingleTxtG"/>
        <w:rPr>
          <w:lang w:val="fr-CH"/>
        </w:rPr>
      </w:pPr>
      <w:r w:rsidRPr="00731644">
        <w:rPr>
          <w:lang w:val="fr-CH"/>
        </w:rPr>
        <w:t>219.</w:t>
      </w:r>
      <w:r w:rsidRPr="00731644">
        <w:rPr>
          <w:lang w:val="fr-CH"/>
        </w:rPr>
        <w:tab/>
      </w:r>
      <w:r w:rsidR="00DE3F29" w:rsidRPr="00731644">
        <w:rPr>
          <w:lang w:val="fr-CH"/>
        </w:rPr>
        <w:t>L</w:t>
      </w:r>
      <w:r w:rsidR="00425386" w:rsidRPr="00731644">
        <w:rPr>
          <w:lang w:val="fr-CH"/>
        </w:rPr>
        <w:t>’</w:t>
      </w:r>
      <w:r w:rsidR="00DE3F29" w:rsidRPr="00731644">
        <w:rPr>
          <w:lang w:val="fr-CH"/>
        </w:rPr>
        <w:t>Agence pour l</w:t>
      </w:r>
      <w:r w:rsidR="00425386" w:rsidRPr="00731644">
        <w:rPr>
          <w:lang w:val="fr-CH"/>
        </w:rPr>
        <w:t>’</w:t>
      </w:r>
      <w:r w:rsidR="00DE3F29" w:rsidRPr="00731644">
        <w:rPr>
          <w:lang w:val="fr-CH"/>
        </w:rPr>
        <w:t xml:space="preserve">emploi ne classe pas les dossiers des </w:t>
      </w:r>
      <w:r w:rsidR="00661147" w:rsidRPr="00731644">
        <w:rPr>
          <w:lang w:val="fr-CH"/>
        </w:rPr>
        <w:t>chômeurs</w:t>
      </w:r>
      <w:r w:rsidR="00DE3F29" w:rsidRPr="00731644">
        <w:rPr>
          <w:lang w:val="fr-CH"/>
        </w:rPr>
        <w:t xml:space="preserve"> en fonction de leur appartenance ethnique. Toutefois, </w:t>
      </w:r>
      <w:r w:rsidR="00671B35" w:rsidRPr="00731644">
        <w:rPr>
          <w:lang w:val="fr-CH"/>
        </w:rPr>
        <w:t xml:space="preserve">le système a été modifié </w:t>
      </w:r>
      <w:r w:rsidR="00DE3F29" w:rsidRPr="00731644">
        <w:rPr>
          <w:lang w:val="fr-CH"/>
        </w:rPr>
        <w:t xml:space="preserve">pour les besoins de la </w:t>
      </w:r>
      <w:r w:rsidR="002061AB">
        <w:rPr>
          <w:lang w:val="fr-CH"/>
        </w:rPr>
        <w:t>«</w:t>
      </w:r>
      <w:r w:rsidR="00DE3F29" w:rsidRPr="00731644">
        <w:rPr>
          <w:lang w:val="fr-CH"/>
        </w:rPr>
        <w:t>Décennie de l</w:t>
      </w:r>
      <w:r w:rsidR="00425386" w:rsidRPr="00731644">
        <w:rPr>
          <w:lang w:val="fr-CH"/>
        </w:rPr>
        <w:t>’</w:t>
      </w:r>
      <w:r w:rsidR="00DE3F29" w:rsidRPr="00731644">
        <w:rPr>
          <w:lang w:val="fr-CH"/>
        </w:rPr>
        <w:t>inclusion des Roms</w:t>
      </w:r>
      <w:r w:rsidR="002061AB">
        <w:rPr>
          <w:lang w:val="fr-CH"/>
        </w:rPr>
        <w:t>»</w:t>
      </w:r>
      <w:r w:rsidR="00DE3F29" w:rsidRPr="00731644">
        <w:rPr>
          <w:lang w:val="fr-CH"/>
        </w:rPr>
        <w:t>,</w:t>
      </w:r>
      <w:r w:rsidR="00F31DD5" w:rsidRPr="00731644">
        <w:rPr>
          <w:lang w:val="fr-CH"/>
        </w:rPr>
        <w:t xml:space="preserve"> </w:t>
      </w:r>
      <w:r w:rsidR="00DE3F29" w:rsidRPr="00731644">
        <w:rPr>
          <w:lang w:val="fr-CH"/>
        </w:rPr>
        <w:t xml:space="preserve">et il est </w:t>
      </w:r>
      <w:r w:rsidR="00671B35" w:rsidRPr="00731644">
        <w:rPr>
          <w:lang w:val="fr-CH"/>
        </w:rPr>
        <w:t>maintenant</w:t>
      </w:r>
      <w:r w:rsidR="00DE3F29" w:rsidRPr="00731644">
        <w:rPr>
          <w:lang w:val="fr-CH"/>
        </w:rPr>
        <w:t xml:space="preserve"> possible de faire une</w:t>
      </w:r>
      <w:r w:rsidR="00F31DD5" w:rsidRPr="00731644">
        <w:rPr>
          <w:lang w:val="fr-CH"/>
        </w:rPr>
        <w:t xml:space="preserve"> </w:t>
      </w:r>
      <w:r w:rsidR="00DE3F29" w:rsidRPr="00731644">
        <w:rPr>
          <w:lang w:val="fr-CH"/>
        </w:rPr>
        <w:t>analyse sur cette base, étant entendu que la déclaration de l</w:t>
      </w:r>
      <w:r w:rsidR="00425386" w:rsidRPr="00731644">
        <w:rPr>
          <w:lang w:val="fr-CH"/>
        </w:rPr>
        <w:t>’</w:t>
      </w:r>
      <w:r w:rsidR="00DE3F29" w:rsidRPr="00731644">
        <w:rPr>
          <w:lang w:val="fr-CH"/>
        </w:rPr>
        <w:t xml:space="preserve">appartenance </w:t>
      </w:r>
      <w:r w:rsidR="0083174F" w:rsidRPr="00731644">
        <w:rPr>
          <w:lang w:val="fr-CH"/>
        </w:rPr>
        <w:t>ethnique</w:t>
      </w:r>
      <w:r w:rsidR="00DE3F29" w:rsidRPr="00731644">
        <w:rPr>
          <w:lang w:val="fr-CH"/>
        </w:rPr>
        <w:t xml:space="preserve"> est facultative et laissée entièrement à l</w:t>
      </w:r>
      <w:r w:rsidR="00425386" w:rsidRPr="00731644">
        <w:rPr>
          <w:lang w:val="fr-CH"/>
        </w:rPr>
        <w:t>’</w:t>
      </w:r>
      <w:r w:rsidR="00DE3F29" w:rsidRPr="00731644">
        <w:rPr>
          <w:lang w:val="fr-CH"/>
        </w:rPr>
        <w:t>appréc</w:t>
      </w:r>
      <w:r w:rsidR="00671B35" w:rsidRPr="00731644">
        <w:rPr>
          <w:lang w:val="fr-CH"/>
        </w:rPr>
        <w:t>i</w:t>
      </w:r>
      <w:r w:rsidR="00DE3F29" w:rsidRPr="00731644">
        <w:rPr>
          <w:lang w:val="fr-CH"/>
        </w:rPr>
        <w:t>ation du demandeur d</w:t>
      </w:r>
      <w:r w:rsidR="00425386" w:rsidRPr="00731644">
        <w:rPr>
          <w:lang w:val="fr-CH"/>
        </w:rPr>
        <w:t>’</w:t>
      </w:r>
      <w:r w:rsidR="00DE3F29" w:rsidRPr="00731644">
        <w:rPr>
          <w:lang w:val="fr-CH"/>
        </w:rPr>
        <w:t>emploi. Le</w:t>
      </w:r>
      <w:r w:rsidR="004C7BF6" w:rsidRPr="00731644">
        <w:rPr>
          <w:lang w:val="fr-CH"/>
        </w:rPr>
        <w:t xml:space="preserve"> 14 </w:t>
      </w:r>
      <w:r w:rsidR="00DE3F29" w:rsidRPr="00731644">
        <w:rPr>
          <w:lang w:val="fr-CH"/>
        </w:rPr>
        <w:t>avril</w:t>
      </w:r>
      <w:r w:rsidR="004C7BF6" w:rsidRPr="00731644">
        <w:rPr>
          <w:lang w:val="fr-CH"/>
        </w:rPr>
        <w:t xml:space="preserve"> 2011</w:t>
      </w:r>
      <w:r w:rsidR="0075436C" w:rsidRPr="00731644">
        <w:rPr>
          <w:lang w:val="fr-CH"/>
        </w:rPr>
        <w:t xml:space="preserve"> </w:t>
      </w:r>
      <w:r w:rsidR="00671B35" w:rsidRPr="00731644">
        <w:rPr>
          <w:lang w:val="fr-CH"/>
        </w:rPr>
        <w:t>étaient inscrites</w:t>
      </w:r>
      <w:r w:rsidR="0075436C" w:rsidRPr="00731644">
        <w:rPr>
          <w:lang w:val="fr-CH"/>
        </w:rPr>
        <w:t xml:space="preserve"> à l</w:t>
      </w:r>
      <w:r w:rsidR="00425386" w:rsidRPr="00731644">
        <w:rPr>
          <w:lang w:val="fr-CH"/>
        </w:rPr>
        <w:t>’</w:t>
      </w:r>
      <w:r w:rsidR="0075436C" w:rsidRPr="00731644">
        <w:rPr>
          <w:lang w:val="fr-CH"/>
        </w:rPr>
        <w:t>Agence pour l</w:t>
      </w:r>
      <w:r w:rsidR="00425386" w:rsidRPr="00731644">
        <w:rPr>
          <w:lang w:val="fr-CH"/>
        </w:rPr>
        <w:t>’</w:t>
      </w:r>
      <w:r w:rsidR="0075436C" w:rsidRPr="00731644">
        <w:rPr>
          <w:lang w:val="fr-CH"/>
        </w:rPr>
        <w:t xml:space="preserve">emploi </w:t>
      </w:r>
      <w:r w:rsidR="004C7BF6" w:rsidRPr="00731644">
        <w:rPr>
          <w:lang w:val="fr-CH"/>
        </w:rPr>
        <w:t>1</w:t>
      </w:r>
      <w:r w:rsidR="002061AB">
        <w:rPr>
          <w:lang w:val="fr-CH"/>
        </w:rPr>
        <w:t> </w:t>
      </w:r>
      <w:r w:rsidR="004C7BF6" w:rsidRPr="00731644">
        <w:rPr>
          <w:lang w:val="fr-CH"/>
        </w:rPr>
        <w:t>079</w:t>
      </w:r>
      <w:r w:rsidR="00CB7658" w:rsidRPr="00731644">
        <w:rPr>
          <w:lang w:val="fr-CH"/>
        </w:rPr>
        <w:t> personnes</w:t>
      </w:r>
      <w:r w:rsidR="004C7BF6" w:rsidRPr="00731644">
        <w:rPr>
          <w:lang w:val="fr-CH"/>
        </w:rPr>
        <w:t xml:space="preserve"> </w:t>
      </w:r>
      <w:r w:rsidR="00671B35" w:rsidRPr="00731644">
        <w:rPr>
          <w:lang w:val="fr-CH"/>
        </w:rPr>
        <w:t>ayant</w:t>
      </w:r>
      <w:r w:rsidR="0075436C" w:rsidRPr="00731644">
        <w:rPr>
          <w:lang w:val="fr-CH"/>
        </w:rPr>
        <w:t xml:space="preserve"> déclaré</w:t>
      </w:r>
      <w:r w:rsidR="00671B35" w:rsidRPr="00731644">
        <w:rPr>
          <w:lang w:val="fr-CH"/>
        </w:rPr>
        <w:t xml:space="preserve"> appartenir aux</w:t>
      </w:r>
      <w:r w:rsidR="0075436C" w:rsidRPr="00731644">
        <w:rPr>
          <w:lang w:val="fr-CH"/>
        </w:rPr>
        <w:t xml:space="preserve"> </w:t>
      </w:r>
      <w:r w:rsidR="0083174F" w:rsidRPr="00731644">
        <w:rPr>
          <w:lang w:val="fr-CH"/>
        </w:rPr>
        <w:t>communautés</w:t>
      </w:r>
      <w:r w:rsidR="0075436C" w:rsidRPr="00731644">
        <w:rPr>
          <w:lang w:val="fr-CH"/>
        </w:rPr>
        <w:t xml:space="preserve"> rom, ashkali ou </w:t>
      </w:r>
      <w:r w:rsidR="00671B35" w:rsidRPr="00731644">
        <w:rPr>
          <w:lang w:val="fr-CH"/>
        </w:rPr>
        <w:t>tzigane</w:t>
      </w:r>
      <w:r w:rsidR="0075436C" w:rsidRPr="00731644">
        <w:rPr>
          <w:lang w:val="fr-CH"/>
        </w:rPr>
        <w:t xml:space="preserve"> </w:t>
      </w:r>
      <w:r w:rsidR="00671B35" w:rsidRPr="00731644">
        <w:rPr>
          <w:lang w:val="fr-CH"/>
        </w:rPr>
        <w:t>(</w:t>
      </w:r>
      <w:r w:rsidR="0075436C" w:rsidRPr="00731644">
        <w:rPr>
          <w:lang w:val="fr-CH"/>
        </w:rPr>
        <w:t xml:space="preserve">dont </w:t>
      </w:r>
      <w:r w:rsidR="004C7BF6" w:rsidRPr="00731644">
        <w:rPr>
          <w:lang w:val="fr-CH"/>
        </w:rPr>
        <w:t>48</w:t>
      </w:r>
      <w:r w:rsidR="0075436C" w:rsidRPr="00731644">
        <w:rPr>
          <w:lang w:val="fr-CH"/>
        </w:rPr>
        <w:t>,</w:t>
      </w:r>
      <w:r w:rsidR="004C7BF6" w:rsidRPr="00731644">
        <w:rPr>
          <w:lang w:val="fr-CH"/>
        </w:rPr>
        <w:t>84</w:t>
      </w:r>
      <w:r w:rsidR="006443F6" w:rsidRPr="00731644">
        <w:rPr>
          <w:lang w:val="fr-CH"/>
        </w:rPr>
        <w:t>%</w:t>
      </w:r>
      <w:r w:rsidR="0075436C" w:rsidRPr="00731644">
        <w:rPr>
          <w:lang w:val="fr-CH"/>
        </w:rPr>
        <w:t xml:space="preserve"> de femmes</w:t>
      </w:r>
      <w:r w:rsidR="00671B35" w:rsidRPr="00731644">
        <w:rPr>
          <w:lang w:val="fr-CH"/>
        </w:rPr>
        <w:t>)</w:t>
      </w:r>
      <w:r w:rsidR="00F31DD5" w:rsidRPr="00731644">
        <w:rPr>
          <w:lang w:val="fr-CH"/>
        </w:rPr>
        <w:t>;</w:t>
      </w:r>
      <w:r w:rsidR="00671B35" w:rsidRPr="00731644">
        <w:rPr>
          <w:lang w:val="fr-CH"/>
        </w:rPr>
        <w:t xml:space="preserve"> e</w:t>
      </w:r>
      <w:r w:rsidR="0075436C" w:rsidRPr="00731644">
        <w:rPr>
          <w:lang w:val="fr-CH"/>
        </w:rPr>
        <w:t xml:space="preserve">lles formaient </w:t>
      </w:r>
      <w:r w:rsidR="00671B35" w:rsidRPr="00731644">
        <w:rPr>
          <w:lang w:val="fr-CH"/>
        </w:rPr>
        <w:t xml:space="preserve">ce jour là </w:t>
      </w:r>
      <w:r w:rsidR="0075436C" w:rsidRPr="00731644">
        <w:rPr>
          <w:lang w:val="fr-CH"/>
        </w:rPr>
        <w:t>3,31</w:t>
      </w:r>
      <w:r w:rsidR="006443F6" w:rsidRPr="00731644">
        <w:rPr>
          <w:lang w:val="fr-CH"/>
        </w:rPr>
        <w:t>%</w:t>
      </w:r>
      <w:r w:rsidR="0075436C" w:rsidRPr="00731644">
        <w:rPr>
          <w:lang w:val="fr-CH"/>
        </w:rPr>
        <w:t xml:space="preserve"> du total de la population sans emploi.</w:t>
      </w:r>
      <w:r w:rsidR="00F31DD5" w:rsidRPr="00731644">
        <w:rPr>
          <w:lang w:val="fr-CH"/>
        </w:rPr>
        <w:t xml:space="preserve"> </w:t>
      </w:r>
    </w:p>
    <w:p w:rsidR="004C7BF6" w:rsidRPr="00731644" w:rsidRDefault="00304BA7" w:rsidP="004C7BF6">
      <w:pPr>
        <w:pStyle w:val="SingleTxtG"/>
        <w:rPr>
          <w:lang w:val="fr-CH"/>
        </w:rPr>
      </w:pPr>
      <w:r w:rsidRPr="00731644">
        <w:rPr>
          <w:lang w:val="fr-CH"/>
        </w:rPr>
        <w:t>220.</w:t>
      </w:r>
      <w:r w:rsidRPr="00731644">
        <w:rPr>
          <w:lang w:val="fr-CH"/>
        </w:rPr>
        <w:tab/>
      </w:r>
      <w:r w:rsidR="00854118" w:rsidRPr="00731644">
        <w:rPr>
          <w:lang w:val="fr-CH"/>
        </w:rPr>
        <w:t>Seulement 7,5</w:t>
      </w:r>
      <w:r w:rsidR="006443F6" w:rsidRPr="00731644">
        <w:rPr>
          <w:lang w:val="fr-CH"/>
        </w:rPr>
        <w:t>%</w:t>
      </w:r>
      <w:r w:rsidR="00854118" w:rsidRPr="00731644">
        <w:rPr>
          <w:lang w:val="fr-CH"/>
        </w:rPr>
        <w:t xml:space="preserve"> des Roms et des </w:t>
      </w:r>
      <w:r w:rsidR="00671B35" w:rsidRPr="00731644">
        <w:rPr>
          <w:lang w:val="fr-CH"/>
        </w:rPr>
        <w:t>t</w:t>
      </w:r>
      <w:r w:rsidR="00A95D03" w:rsidRPr="00731644">
        <w:rPr>
          <w:lang w:val="fr-CH"/>
        </w:rPr>
        <w:t>ziganes</w:t>
      </w:r>
      <w:r w:rsidR="00854118" w:rsidRPr="00731644">
        <w:rPr>
          <w:lang w:val="fr-CH"/>
        </w:rPr>
        <w:t xml:space="preserve"> </w:t>
      </w:r>
      <w:r w:rsidR="0083174F" w:rsidRPr="00731644">
        <w:rPr>
          <w:lang w:val="fr-CH"/>
        </w:rPr>
        <w:t>inscrits</w:t>
      </w:r>
      <w:r w:rsidR="00854118" w:rsidRPr="00731644">
        <w:rPr>
          <w:lang w:val="fr-CH"/>
        </w:rPr>
        <w:t xml:space="preserve"> à l</w:t>
      </w:r>
      <w:r w:rsidR="00425386" w:rsidRPr="00731644">
        <w:rPr>
          <w:lang w:val="fr-CH"/>
        </w:rPr>
        <w:t>’</w:t>
      </w:r>
      <w:r w:rsidR="00854118" w:rsidRPr="00731644">
        <w:rPr>
          <w:lang w:val="fr-CH"/>
        </w:rPr>
        <w:t>Agence pour l</w:t>
      </w:r>
      <w:r w:rsidR="00425386" w:rsidRPr="00731644">
        <w:rPr>
          <w:lang w:val="fr-CH"/>
        </w:rPr>
        <w:t>’</w:t>
      </w:r>
      <w:r w:rsidR="00854118" w:rsidRPr="00731644">
        <w:rPr>
          <w:lang w:val="fr-CH"/>
        </w:rPr>
        <w:t xml:space="preserve">emploi cherchent activement du travail, </w:t>
      </w:r>
      <w:r w:rsidR="00671B35" w:rsidRPr="00731644">
        <w:rPr>
          <w:lang w:val="fr-CH"/>
        </w:rPr>
        <w:t>c</w:t>
      </w:r>
      <w:r w:rsidR="00425386" w:rsidRPr="00731644">
        <w:rPr>
          <w:lang w:val="fr-CH"/>
        </w:rPr>
        <w:t>’</w:t>
      </w:r>
      <w:r w:rsidR="00671B35" w:rsidRPr="00731644">
        <w:rPr>
          <w:lang w:val="fr-CH"/>
        </w:rPr>
        <w:t xml:space="preserve">est-à-dire </w:t>
      </w:r>
      <w:r w:rsidR="00854118" w:rsidRPr="00731644">
        <w:rPr>
          <w:lang w:val="fr-CH"/>
        </w:rPr>
        <w:t>qu</w:t>
      </w:r>
      <w:r w:rsidR="00425386" w:rsidRPr="00731644">
        <w:rPr>
          <w:lang w:val="fr-CH"/>
        </w:rPr>
        <w:t>’</w:t>
      </w:r>
      <w:r w:rsidR="00854118" w:rsidRPr="00731644">
        <w:rPr>
          <w:lang w:val="fr-CH"/>
        </w:rPr>
        <w:t xml:space="preserve">ils pointent </w:t>
      </w:r>
      <w:r w:rsidR="00E34416" w:rsidRPr="00731644">
        <w:rPr>
          <w:lang w:val="fr-CH"/>
        </w:rPr>
        <w:t>régulièrement</w:t>
      </w:r>
      <w:r w:rsidR="00854118" w:rsidRPr="00731644">
        <w:rPr>
          <w:lang w:val="fr-CH"/>
        </w:rPr>
        <w:t xml:space="preserve"> et</w:t>
      </w:r>
      <w:r w:rsidR="00F31DD5" w:rsidRPr="00731644">
        <w:rPr>
          <w:lang w:val="fr-CH"/>
        </w:rPr>
        <w:t xml:space="preserve"> </w:t>
      </w:r>
      <w:r w:rsidR="00854118" w:rsidRPr="00731644">
        <w:rPr>
          <w:lang w:val="fr-CH"/>
        </w:rPr>
        <w:t xml:space="preserve">souhaitent participer aux mesures de la politique </w:t>
      </w:r>
      <w:r w:rsidR="00671B35" w:rsidRPr="00731644">
        <w:rPr>
          <w:lang w:val="fr-CH"/>
        </w:rPr>
        <w:t>dynamique</w:t>
      </w:r>
      <w:r w:rsidR="00854118" w:rsidRPr="00731644">
        <w:rPr>
          <w:lang w:val="fr-CH"/>
        </w:rPr>
        <w:t xml:space="preserve"> </w:t>
      </w:r>
      <w:r w:rsidR="008A638B" w:rsidRPr="00731644">
        <w:rPr>
          <w:lang w:val="fr-CH"/>
        </w:rPr>
        <w:t>de</w:t>
      </w:r>
      <w:r w:rsidR="00854118" w:rsidRPr="00731644">
        <w:rPr>
          <w:lang w:val="fr-CH"/>
        </w:rPr>
        <w:t xml:space="preserve"> l</w:t>
      </w:r>
      <w:r w:rsidR="00425386" w:rsidRPr="00731644">
        <w:rPr>
          <w:lang w:val="fr-CH"/>
        </w:rPr>
        <w:t>’</w:t>
      </w:r>
      <w:r w:rsidR="00854118" w:rsidRPr="00731644">
        <w:rPr>
          <w:lang w:val="fr-CH"/>
        </w:rPr>
        <w:t>emploi.</w:t>
      </w:r>
      <w:r w:rsidR="00F31DD5" w:rsidRPr="00731644">
        <w:rPr>
          <w:lang w:val="fr-CH"/>
        </w:rPr>
        <w:t xml:space="preserve"> </w:t>
      </w:r>
      <w:r w:rsidR="00E34416" w:rsidRPr="00731644">
        <w:rPr>
          <w:lang w:val="fr-CH"/>
        </w:rPr>
        <w:t>La plupart des Roms,</w:t>
      </w:r>
      <w:r w:rsidR="00671B35" w:rsidRPr="00731644">
        <w:rPr>
          <w:lang w:val="fr-CH"/>
        </w:rPr>
        <w:t xml:space="preserve"> </w:t>
      </w:r>
      <w:r w:rsidR="00E34416" w:rsidRPr="00731644">
        <w:rPr>
          <w:lang w:val="fr-CH"/>
        </w:rPr>
        <w:t xml:space="preserve">des Ashakalis et des </w:t>
      </w:r>
      <w:r w:rsidR="00671B35" w:rsidRPr="00731644">
        <w:rPr>
          <w:lang w:val="fr-CH"/>
        </w:rPr>
        <w:t>t</w:t>
      </w:r>
      <w:r w:rsidR="00A95D03" w:rsidRPr="00731644">
        <w:rPr>
          <w:lang w:val="fr-CH"/>
        </w:rPr>
        <w:t>ziganes</w:t>
      </w:r>
      <w:r w:rsidR="004C7BF6" w:rsidRPr="00731644">
        <w:rPr>
          <w:lang w:val="fr-CH"/>
        </w:rPr>
        <w:t xml:space="preserve"> </w:t>
      </w:r>
      <w:r w:rsidR="00E34416" w:rsidRPr="00731644">
        <w:rPr>
          <w:lang w:val="fr-CH"/>
        </w:rPr>
        <w:t>s</w:t>
      </w:r>
      <w:r w:rsidR="00425386" w:rsidRPr="00731644">
        <w:rPr>
          <w:lang w:val="fr-CH"/>
        </w:rPr>
        <w:t>’</w:t>
      </w:r>
      <w:r w:rsidR="00E34416" w:rsidRPr="00731644">
        <w:rPr>
          <w:lang w:val="fr-CH"/>
        </w:rPr>
        <w:t xml:space="preserve">inscrivent pour </w:t>
      </w:r>
      <w:r w:rsidR="0083174F" w:rsidRPr="00731644">
        <w:rPr>
          <w:lang w:val="fr-CH"/>
        </w:rPr>
        <w:t>bénéficier</w:t>
      </w:r>
      <w:r w:rsidR="00E34416" w:rsidRPr="00731644">
        <w:rPr>
          <w:lang w:val="fr-CH"/>
        </w:rPr>
        <w:t xml:space="preserve"> de la sécurité sociale et de l</w:t>
      </w:r>
      <w:r w:rsidR="00425386" w:rsidRPr="00731644">
        <w:rPr>
          <w:lang w:val="fr-CH"/>
        </w:rPr>
        <w:t>’</w:t>
      </w:r>
      <w:r w:rsidR="00E34416" w:rsidRPr="00731644">
        <w:rPr>
          <w:lang w:val="fr-CH"/>
        </w:rPr>
        <w:t>assurance-maladie, et non parce qu</w:t>
      </w:r>
      <w:r w:rsidR="00425386" w:rsidRPr="00731644">
        <w:rPr>
          <w:lang w:val="fr-CH"/>
        </w:rPr>
        <w:t>’</w:t>
      </w:r>
      <w:r w:rsidR="00E34416" w:rsidRPr="00731644">
        <w:rPr>
          <w:lang w:val="fr-CH"/>
        </w:rPr>
        <w:t xml:space="preserve">ils pensent pouvoir </w:t>
      </w:r>
      <w:r w:rsidR="0046174B" w:rsidRPr="00731644">
        <w:rPr>
          <w:lang w:val="fr-CH"/>
        </w:rPr>
        <w:t xml:space="preserve">recevoir </w:t>
      </w:r>
      <w:r w:rsidR="00E34416" w:rsidRPr="00731644">
        <w:rPr>
          <w:lang w:val="fr-CH"/>
        </w:rPr>
        <w:t>une offre d</w:t>
      </w:r>
      <w:r w:rsidR="00425386" w:rsidRPr="00731644">
        <w:rPr>
          <w:lang w:val="fr-CH"/>
        </w:rPr>
        <w:t>’</w:t>
      </w:r>
      <w:r w:rsidR="00E34416" w:rsidRPr="00731644">
        <w:rPr>
          <w:lang w:val="fr-CH"/>
        </w:rPr>
        <w:t>emploi.</w:t>
      </w:r>
      <w:r w:rsidR="00F31DD5" w:rsidRPr="00731644">
        <w:rPr>
          <w:lang w:val="fr-CH"/>
        </w:rPr>
        <w:t xml:space="preserve"> </w:t>
      </w:r>
      <w:r w:rsidR="00E34416" w:rsidRPr="00731644">
        <w:rPr>
          <w:lang w:val="fr-CH"/>
        </w:rPr>
        <w:t>Ce</w:t>
      </w:r>
      <w:r w:rsidR="0046174B" w:rsidRPr="00731644">
        <w:rPr>
          <w:lang w:val="fr-CH"/>
        </w:rPr>
        <w:t>t</w:t>
      </w:r>
      <w:r w:rsidR="00B23CB9" w:rsidRPr="00731644">
        <w:rPr>
          <w:lang w:val="fr-CH"/>
        </w:rPr>
        <w:t xml:space="preserve"> état d</w:t>
      </w:r>
      <w:r w:rsidR="00425386" w:rsidRPr="00731644">
        <w:rPr>
          <w:lang w:val="fr-CH"/>
        </w:rPr>
        <w:t>’</w:t>
      </w:r>
      <w:r w:rsidR="00B23CB9" w:rsidRPr="00731644">
        <w:rPr>
          <w:lang w:val="fr-CH"/>
        </w:rPr>
        <w:t>esprit</w:t>
      </w:r>
      <w:r w:rsidR="00E34416" w:rsidRPr="00731644">
        <w:rPr>
          <w:lang w:val="fr-CH"/>
        </w:rPr>
        <w:t xml:space="preserve"> </w:t>
      </w:r>
      <w:r w:rsidR="0046174B" w:rsidRPr="00731644">
        <w:rPr>
          <w:lang w:val="fr-CH"/>
        </w:rPr>
        <w:t>tient</w:t>
      </w:r>
      <w:r w:rsidR="00E34416" w:rsidRPr="00731644">
        <w:rPr>
          <w:lang w:val="fr-CH"/>
        </w:rPr>
        <w:t xml:space="preserve"> au fait qu</w:t>
      </w:r>
      <w:r w:rsidR="00425386" w:rsidRPr="00731644">
        <w:rPr>
          <w:lang w:val="fr-CH"/>
        </w:rPr>
        <w:t>’</w:t>
      </w:r>
      <w:r w:rsidR="0046174B" w:rsidRPr="00731644">
        <w:rPr>
          <w:lang w:val="fr-CH"/>
        </w:rPr>
        <w:t>ils f</w:t>
      </w:r>
      <w:r w:rsidR="00E34416" w:rsidRPr="00731644">
        <w:rPr>
          <w:lang w:val="fr-CH"/>
        </w:rPr>
        <w:t>ont partie dans leur grande majorité (plus de 90</w:t>
      </w:r>
      <w:r w:rsidR="006443F6" w:rsidRPr="00731644">
        <w:rPr>
          <w:lang w:val="fr-CH"/>
        </w:rPr>
        <w:t>%</w:t>
      </w:r>
      <w:r w:rsidR="00E34416" w:rsidRPr="00731644">
        <w:rPr>
          <w:lang w:val="fr-CH"/>
        </w:rPr>
        <w:t>) de la main d</w:t>
      </w:r>
      <w:r w:rsidR="00425386" w:rsidRPr="00731644">
        <w:rPr>
          <w:lang w:val="fr-CH"/>
        </w:rPr>
        <w:t>’</w:t>
      </w:r>
      <w:r w:rsidR="00E34416" w:rsidRPr="00731644">
        <w:rPr>
          <w:lang w:val="fr-CH"/>
        </w:rPr>
        <w:t>œuvre pas ou peu qualifiée, catégorie qui est la plus nombreuse et la plus longue à retrouver un emploi. Les offres d</w:t>
      </w:r>
      <w:r w:rsidR="00425386" w:rsidRPr="00731644">
        <w:rPr>
          <w:lang w:val="fr-CH"/>
        </w:rPr>
        <w:t>’</w:t>
      </w:r>
      <w:r w:rsidR="00E34416" w:rsidRPr="00731644">
        <w:rPr>
          <w:lang w:val="fr-CH"/>
        </w:rPr>
        <w:t>emploi</w:t>
      </w:r>
      <w:r w:rsidR="0046174B" w:rsidRPr="00731644">
        <w:rPr>
          <w:lang w:val="fr-CH"/>
        </w:rPr>
        <w:t xml:space="preserve"> qui</w:t>
      </w:r>
      <w:r w:rsidR="00E34416" w:rsidRPr="00731644">
        <w:rPr>
          <w:lang w:val="fr-CH"/>
        </w:rPr>
        <w:t xml:space="preserve"> p</w:t>
      </w:r>
      <w:r w:rsidR="0046174B" w:rsidRPr="00731644">
        <w:rPr>
          <w:lang w:val="fr-CH"/>
        </w:rPr>
        <w:t>euvent</w:t>
      </w:r>
      <w:r w:rsidR="00E34416" w:rsidRPr="00731644">
        <w:rPr>
          <w:lang w:val="fr-CH"/>
        </w:rPr>
        <w:t xml:space="preserve"> les intéresser sont </w:t>
      </w:r>
      <w:r w:rsidR="0046174B" w:rsidRPr="00731644">
        <w:rPr>
          <w:lang w:val="fr-CH"/>
        </w:rPr>
        <w:t xml:space="preserve">en nombre </w:t>
      </w:r>
      <w:r w:rsidR="00E34416" w:rsidRPr="00731644">
        <w:rPr>
          <w:lang w:val="fr-CH"/>
        </w:rPr>
        <w:t>extrêmement</w:t>
      </w:r>
      <w:r w:rsidR="00F31DD5" w:rsidRPr="00731644">
        <w:rPr>
          <w:lang w:val="fr-CH"/>
        </w:rPr>
        <w:t xml:space="preserve"> </w:t>
      </w:r>
      <w:r w:rsidR="0046174B" w:rsidRPr="00731644">
        <w:rPr>
          <w:lang w:val="fr-CH"/>
        </w:rPr>
        <w:t>limité</w:t>
      </w:r>
      <w:r w:rsidR="00E34416" w:rsidRPr="00731644">
        <w:rPr>
          <w:lang w:val="fr-CH"/>
        </w:rPr>
        <w:t>.</w:t>
      </w:r>
      <w:r w:rsidR="006443F6" w:rsidRPr="00731644">
        <w:rPr>
          <w:lang w:val="fr-CH"/>
        </w:rPr>
        <w:t xml:space="preserve"> </w:t>
      </w:r>
    </w:p>
    <w:p w:rsidR="004C7BF6" w:rsidRPr="00731644" w:rsidRDefault="00304BA7" w:rsidP="004C7BF6">
      <w:pPr>
        <w:pStyle w:val="SingleTxtG"/>
        <w:rPr>
          <w:lang w:val="fr-CH"/>
        </w:rPr>
      </w:pPr>
      <w:r w:rsidRPr="00731644">
        <w:rPr>
          <w:lang w:val="fr-CH"/>
        </w:rPr>
        <w:t>221.</w:t>
      </w:r>
      <w:r w:rsidRPr="00731644">
        <w:rPr>
          <w:lang w:val="fr-CH"/>
        </w:rPr>
        <w:tab/>
      </w:r>
      <w:r w:rsidR="00A47FF5" w:rsidRPr="00731644">
        <w:rPr>
          <w:lang w:val="fr-CH"/>
        </w:rPr>
        <w:t>Les conseillers des bureaux pour l</w:t>
      </w:r>
      <w:r w:rsidR="00425386" w:rsidRPr="00731644">
        <w:rPr>
          <w:lang w:val="fr-CH"/>
        </w:rPr>
        <w:t>’</w:t>
      </w:r>
      <w:r w:rsidR="00A47FF5" w:rsidRPr="00731644">
        <w:rPr>
          <w:lang w:val="fr-CH"/>
        </w:rPr>
        <w:t xml:space="preserve">emploi </w:t>
      </w:r>
      <w:r w:rsidR="00CA251D" w:rsidRPr="00731644">
        <w:rPr>
          <w:lang w:val="fr-CH"/>
        </w:rPr>
        <w:t>mettent tout en œuvre</w:t>
      </w:r>
      <w:r w:rsidR="00A47FF5" w:rsidRPr="00731644">
        <w:rPr>
          <w:lang w:val="fr-CH"/>
        </w:rPr>
        <w:t xml:space="preserve"> pour inciter les Roms, les </w:t>
      </w:r>
      <w:r w:rsidR="002A5033" w:rsidRPr="00731644">
        <w:rPr>
          <w:lang w:val="fr-CH"/>
        </w:rPr>
        <w:t>Ashkali</w:t>
      </w:r>
      <w:r w:rsidR="00A47FF5" w:rsidRPr="00731644">
        <w:rPr>
          <w:lang w:val="fr-CH"/>
        </w:rPr>
        <w:t xml:space="preserve"> et les </w:t>
      </w:r>
      <w:r w:rsidR="0046174B" w:rsidRPr="00731644">
        <w:rPr>
          <w:lang w:val="fr-CH"/>
        </w:rPr>
        <w:t>t</w:t>
      </w:r>
      <w:r w:rsidR="00A95D03" w:rsidRPr="00731644">
        <w:rPr>
          <w:lang w:val="fr-CH"/>
        </w:rPr>
        <w:t>ziganes</w:t>
      </w:r>
      <w:r w:rsidR="00A47FF5" w:rsidRPr="00731644">
        <w:rPr>
          <w:lang w:val="fr-CH"/>
        </w:rPr>
        <w:t xml:space="preserve"> à</w:t>
      </w:r>
      <w:r w:rsidR="00F31DD5" w:rsidRPr="00731644">
        <w:rPr>
          <w:lang w:val="fr-CH"/>
        </w:rPr>
        <w:t xml:space="preserve"> </w:t>
      </w:r>
      <w:r w:rsidR="00A47FF5" w:rsidRPr="00731644">
        <w:rPr>
          <w:lang w:val="fr-CH"/>
        </w:rPr>
        <w:t xml:space="preserve">se faire enregistrer auprès de ces bureaux et </w:t>
      </w:r>
      <w:r w:rsidR="0046174B" w:rsidRPr="00731644">
        <w:rPr>
          <w:lang w:val="fr-CH"/>
        </w:rPr>
        <w:t>à</w:t>
      </w:r>
      <w:r w:rsidR="00A47FF5" w:rsidRPr="00731644">
        <w:rPr>
          <w:lang w:val="fr-CH"/>
        </w:rPr>
        <w:t xml:space="preserve"> participer aux mesures et programmes de la politique </w:t>
      </w:r>
      <w:r w:rsidR="0046174B" w:rsidRPr="00731644">
        <w:rPr>
          <w:lang w:val="fr-CH"/>
        </w:rPr>
        <w:t>dynamique</w:t>
      </w:r>
      <w:r w:rsidR="00A47FF5" w:rsidRPr="00731644">
        <w:rPr>
          <w:lang w:val="fr-CH"/>
        </w:rPr>
        <w:t xml:space="preserve"> </w:t>
      </w:r>
      <w:r w:rsidR="008A638B" w:rsidRPr="00731644">
        <w:rPr>
          <w:lang w:val="fr-CH"/>
        </w:rPr>
        <w:t>de</w:t>
      </w:r>
      <w:r w:rsidR="00A47FF5" w:rsidRPr="00731644">
        <w:rPr>
          <w:lang w:val="fr-CH"/>
        </w:rPr>
        <w:t xml:space="preserve"> l</w:t>
      </w:r>
      <w:r w:rsidR="00425386" w:rsidRPr="00731644">
        <w:rPr>
          <w:lang w:val="fr-CH"/>
        </w:rPr>
        <w:t>’</w:t>
      </w:r>
      <w:r w:rsidR="00A47FF5" w:rsidRPr="00731644">
        <w:rPr>
          <w:lang w:val="fr-CH"/>
        </w:rPr>
        <w:t xml:space="preserve">emploi, </w:t>
      </w:r>
      <w:r w:rsidR="0035730A" w:rsidRPr="00731644">
        <w:rPr>
          <w:lang w:val="fr-CH"/>
        </w:rPr>
        <w:t>ce</w:t>
      </w:r>
      <w:r w:rsidR="004C7BF6" w:rsidRPr="00731644">
        <w:rPr>
          <w:lang w:val="fr-CH"/>
        </w:rPr>
        <w:t xml:space="preserve"> </w:t>
      </w:r>
      <w:r w:rsidR="00A47FF5" w:rsidRPr="00731644">
        <w:rPr>
          <w:lang w:val="fr-CH"/>
        </w:rPr>
        <w:t>qui peut les aider à améliorer leur employabilité et à s</w:t>
      </w:r>
      <w:r w:rsidR="00425386" w:rsidRPr="00731644">
        <w:rPr>
          <w:lang w:val="fr-CH"/>
        </w:rPr>
        <w:t>’</w:t>
      </w:r>
      <w:r w:rsidR="00A47FF5" w:rsidRPr="00731644">
        <w:rPr>
          <w:lang w:val="fr-CH"/>
        </w:rPr>
        <w:t>in</w:t>
      </w:r>
      <w:r w:rsidR="008A638B" w:rsidRPr="00731644">
        <w:rPr>
          <w:lang w:val="fr-CH"/>
        </w:rPr>
        <w:t>sérer sur le</w:t>
      </w:r>
      <w:r w:rsidR="00A47FF5" w:rsidRPr="00731644">
        <w:rPr>
          <w:lang w:val="fr-CH"/>
        </w:rPr>
        <w:t xml:space="preserve"> marché officiel du travail</w:t>
      </w:r>
      <w:r w:rsidR="004C7BF6" w:rsidRPr="00731644">
        <w:rPr>
          <w:lang w:val="fr-CH"/>
        </w:rPr>
        <w:t xml:space="preserve">. </w:t>
      </w:r>
      <w:r w:rsidR="00A47FF5" w:rsidRPr="00731644">
        <w:rPr>
          <w:lang w:val="fr-CH"/>
        </w:rPr>
        <w:t xml:space="preserve">Dans cet esprit, ils se rendent dans les campements roms, dialoguent, coopèrent avec </w:t>
      </w:r>
      <w:r w:rsidR="00B679F1" w:rsidRPr="00731644">
        <w:rPr>
          <w:lang w:val="fr-CH"/>
        </w:rPr>
        <w:t>l</w:t>
      </w:r>
      <w:r w:rsidR="00A47FF5" w:rsidRPr="00731644">
        <w:rPr>
          <w:lang w:val="fr-CH"/>
        </w:rPr>
        <w:t>es communautés locales et les organisations non gouvernementales roms</w:t>
      </w:r>
      <w:r w:rsidR="00B679F1" w:rsidRPr="00731644">
        <w:rPr>
          <w:lang w:val="fr-CH"/>
        </w:rPr>
        <w:t>, et s</w:t>
      </w:r>
      <w:r w:rsidR="00425386" w:rsidRPr="00731644">
        <w:rPr>
          <w:lang w:val="fr-CH"/>
        </w:rPr>
        <w:t>’</w:t>
      </w:r>
      <w:r w:rsidR="00B679F1" w:rsidRPr="00731644">
        <w:rPr>
          <w:lang w:val="fr-CH"/>
        </w:rPr>
        <w:t>adressent aux Roms</w:t>
      </w:r>
      <w:r w:rsidR="00A47FF5" w:rsidRPr="00731644">
        <w:rPr>
          <w:lang w:val="fr-CH"/>
        </w:rPr>
        <w:t xml:space="preserve"> </w:t>
      </w:r>
      <w:r w:rsidR="00B679F1" w:rsidRPr="00731644">
        <w:rPr>
          <w:lang w:val="fr-CH"/>
        </w:rPr>
        <w:t>par les médias pour souligner l</w:t>
      </w:r>
      <w:r w:rsidR="00425386" w:rsidRPr="00731644">
        <w:rPr>
          <w:lang w:val="fr-CH"/>
        </w:rPr>
        <w:t>’</w:t>
      </w:r>
      <w:r w:rsidR="00B679F1" w:rsidRPr="00731644">
        <w:rPr>
          <w:lang w:val="fr-CH"/>
        </w:rPr>
        <w:t>importance de l</w:t>
      </w:r>
      <w:r w:rsidR="00425386" w:rsidRPr="00731644">
        <w:rPr>
          <w:lang w:val="fr-CH"/>
        </w:rPr>
        <w:t>’</w:t>
      </w:r>
      <w:r w:rsidR="00B679F1" w:rsidRPr="00731644">
        <w:rPr>
          <w:lang w:val="fr-CH"/>
        </w:rPr>
        <w:t xml:space="preserve">inscription au registre </w:t>
      </w:r>
      <w:r w:rsidR="00B569C5" w:rsidRPr="00731644">
        <w:rPr>
          <w:lang w:val="fr-CH"/>
        </w:rPr>
        <w:t>des personnes</w:t>
      </w:r>
      <w:r w:rsidR="00B679F1" w:rsidRPr="00731644">
        <w:rPr>
          <w:lang w:val="fr-CH"/>
        </w:rPr>
        <w:t xml:space="preserve"> sans emploi.</w:t>
      </w:r>
    </w:p>
    <w:p w:rsidR="004C7BF6" w:rsidRPr="00731644" w:rsidRDefault="00304BA7" w:rsidP="002061AB">
      <w:pPr>
        <w:pStyle w:val="SingleTxtG"/>
        <w:keepNext/>
        <w:rPr>
          <w:lang w:val="fr-CH"/>
        </w:rPr>
      </w:pPr>
      <w:r w:rsidRPr="00731644">
        <w:rPr>
          <w:lang w:val="fr-CH"/>
        </w:rPr>
        <w:t>222.</w:t>
      </w:r>
      <w:r w:rsidRPr="00731644">
        <w:rPr>
          <w:lang w:val="fr-CH"/>
        </w:rPr>
        <w:tab/>
      </w:r>
      <w:r w:rsidR="00B679F1" w:rsidRPr="00731644">
        <w:rPr>
          <w:lang w:val="fr-CH"/>
        </w:rPr>
        <w:t xml:space="preserve">Seule ou en </w:t>
      </w:r>
      <w:r w:rsidR="008A638B" w:rsidRPr="00731644">
        <w:rPr>
          <w:lang w:val="fr-CH"/>
        </w:rPr>
        <w:t>partenariat</w:t>
      </w:r>
      <w:r w:rsidR="00B679F1" w:rsidRPr="00731644">
        <w:rPr>
          <w:lang w:val="fr-CH"/>
        </w:rPr>
        <w:t>, l</w:t>
      </w:r>
      <w:r w:rsidR="00425386" w:rsidRPr="00731644">
        <w:rPr>
          <w:lang w:val="fr-CH"/>
        </w:rPr>
        <w:t>’</w:t>
      </w:r>
      <w:r w:rsidR="00B679F1" w:rsidRPr="00731644">
        <w:rPr>
          <w:lang w:val="fr-CH"/>
        </w:rPr>
        <w:t>Agence pour l</w:t>
      </w:r>
      <w:r w:rsidR="00425386" w:rsidRPr="00731644">
        <w:rPr>
          <w:lang w:val="fr-CH"/>
        </w:rPr>
        <w:t>’</w:t>
      </w:r>
      <w:r w:rsidR="00B679F1" w:rsidRPr="00731644">
        <w:rPr>
          <w:lang w:val="fr-CH"/>
        </w:rPr>
        <w:t>emploi a mené de nombreuses activités destinées à accroître l</w:t>
      </w:r>
      <w:r w:rsidR="00425386" w:rsidRPr="00731644">
        <w:rPr>
          <w:lang w:val="fr-CH"/>
        </w:rPr>
        <w:t>’</w:t>
      </w:r>
      <w:r w:rsidR="00B679F1" w:rsidRPr="00731644">
        <w:rPr>
          <w:lang w:val="fr-CH"/>
        </w:rPr>
        <w:t>employabilité et l</w:t>
      </w:r>
      <w:r w:rsidR="00425386" w:rsidRPr="00731644">
        <w:rPr>
          <w:lang w:val="fr-CH"/>
        </w:rPr>
        <w:t>’</w:t>
      </w:r>
      <w:r w:rsidR="00B679F1" w:rsidRPr="00731644">
        <w:rPr>
          <w:lang w:val="fr-CH"/>
        </w:rPr>
        <w:t>emploi des Roms</w:t>
      </w:r>
      <w:r w:rsidR="00F31DD5" w:rsidRPr="00731644">
        <w:rPr>
          <w:lang w:val="fr-CH"/>
        </w:rPr>
        <w:t>;</w:t>
      </w:r>
      <w:r w:rsidR="00B679F1" w:rsidRPr="00731644">
        <w:rPr>
          <w:lang w:val="fr-CH"/>
        </w:rPr>
        <w:t xml:space="preserve"> citons</w:t>
      </w:r>
      <w:r w:rsidR="00F31DD5" w:rsidRPr="00731644">
        <w:rPr>
          <w:lang w:val="fr-CH"/>
        </w:rPr>
        <w:t>:</w:t>
      </w:r>
      <w:r w:rsidR="008A638B" w:rsidRPr="00731644">
        <w:rPr>
          <w:lang w:val="fr-CH"/>
        </w:rPr>
        <w:t xml:space="preserve"> </w:t>
      </w:r>
    </w:p>
    <w:p w:rsidR="004C7BF6" w:rsidRPr="00731644" w:rsidRDefault="00B679F1" w:rsidP="000754BF">
      <w:pPr>
        <w:pStyle w:val="Bullet1G"/>
        <w:rPr>
          <w:lang w:val="fr-CH"/>
        </w:rPr>
      </w:pPr>
      <w:r w:rsidRPr="00731644">
        <w:rPr>
          <w:lang w:val="fr-CH"/>
        </w:rPr>
        <w:t>Le projet</w:t>
      </w:r>
      <w:r w:rsidR="004C7BF6" w:rsidRPr="00731644">
        <w:rPr>
          <w:lang w:val="fr-CH"/>
        </w:rPr>
        <w:t xml:space="preserve"> </w:t>
      </w:r>
      <w:r w:rsidR="002061AB">
        <w:rPr>
          <w:lang w:val="fr-CH"/>
        </w:rPr>
        <w:t>«</w:t>
      </w:r>
      <w:r w:rsidRPr="00731644">
        <w:rPr>
          <w:lang w:val="fr-CH"/>
        </w:rPr>
        <w:t xml:space="preserve">Les </w:t>
      </w:r>
      <w:r w:rsidR="004C7BF6" w:rsidRPr="00731644">
        <w:rPr>
          <w:lang w:val="fr-CH"/>
        </w:rPr>
        <w:t>Rom</w:t>
      </w:r>
      <w:r w:rsidRPr="00731644">
        <w:rPr>
          <w:lang w:val="fr-CH"/>
        </w:rPr>
        <w:t>s sont</w:t>
      </w:r>
      <w:r w:rsidR="004C7BF6" w:rsidRPr="00731644">
        <w:rPr>
          <w:lang w:val="fr-CH"/>
        </w:rPr>
        <w:t xml:space="preserve"> visible</w:t>
      </w:r>
      <w:r w:rsidRPr="00731644">
        <w:rPr>
          <w:lang w:val="fr-CH"/>
        </w:rPr>
        <w:t>s sur le marché du travail</w:t>
      </w:r>
      <w:r w:rsidR="002061AB">
        <w:rPr>
          <w:lang w:val="fr-CH"/>
        </w:rPr>
        <w:t>»;</w:t>
      </w:r>
    </w:p>
    <w:p w:rsidR="004C7BF6" w:rsidRPr="00731644" w:rsidRDefault="00B679F1" w:rsidP="000754BF">
      <w:pPr>
        <w:pStyle w:val="Bullet1G"/>
        <w:rPr>
          <w:lang w:val="fr-CH"/>
        </w:rPr>
      </w:pPr>
      <w:r w:rsidRPr="00731644">
        <w:rPr>
          <w:lang w:val="fr-CH"/>
        </w:rPr>
        <w:t>Le projet</w:t>
      </w:r>
      <w:r w:rsidR="004C7BF6" w:rsidRPr="00731644">
        <w:rPr>
          <w:lang w:val="fr-CH"/>
        </w:rPr>
        <w:t xml:space="preserve"> </w:t>
      </w:r>
      <w:r w:rsidR="002061AB">
        <w:rPr>
          <w:lang w:val="fr-CH"/>
        </w:rPr>
        <w:t>«</w:t>
      </w:r>
      <w:r w:rsidRPr="00731644">
        <w:rPr>
          <w:lang w:val="fr-CH"/>
        </w:rPr>
        <w:t>Une seconde chance</w:t>
      </w:r>
      <w:r w:rsidR="002061AB">
        <w:rPr>
          <w:lang w:val="fr-CH"/>
        </w:rPr>
        <w:t>»;</w:t>
      </w:r>
    </w:p>
    <w:p w:rsidR="004C7BF6" w:rsidRPr="00731644" w:rsidRDefault="00B679F1" w:rsidP="000754BF">
      <w:pPr>
        <w:pStyle w:val="Bullet1G"/>
        <w:rPr>
          <w:lang w:val="fr-CH"/>
        </w:rPr>
      </w:pPr>
      <w:r w:rsidRPr="00731644">
        <w:rPr>
          <w:lang w:val="fr-CH"/>
        </w:rPr>
        <w:t>Le projet</w:t>
      </w:r>
      <w:r w:rsidR="004C7BF6" w:rsidRPr="00731644">
        <w:rPr>
          <w:lang w:val="fr-CH"/>
        </w:rPr>
        <w:t xml:space="preserve"> </w:t>
      </w:r>
      <w:r w:rsidR="002061AB">
        <w:rPr>
          <w:lang w:val="fr-CH"/>
        </w:rPr>
        <w:t>«</w:t>
      </w:r>
      <w:r w:rsidRPr="00731644">
        <w:rPr>
          <w:lang w:val="fr-CH"/>
        </w:rPr>
        <w:t xml:space="preserve">Réduire la vulnérabilité des Roms, des </w:t>
      </w:r>
      <w:r w:rsidR="002A5033" w:rsidRPr="00731644">
        <w:rPr>
          <w:lang w:val="fr-CH"/>
        </w:rPr>
        <w:t>Ashkali</w:t>
      </w:r>
      <w:r w:rsidRPr="00731644">
        <w:rPr>
          <w:lang w:val="fr-CH"/>
        </w:rPr>
        <w:t xml:space="preserve"> et des </w:t>
      </w:r>
      <w:r w:rsidR="008A638B" w:rsidRPr="00731644">
        <w:rPr>
          <w:lang w:val="fr-CH"/>
        </w:rPr>
        <w:t>t</w:t>
      </w:r>
      <w:r w:rsidR="00A95D03" w:rsidRPr="00731644">
        <w:rPr>
          <w:lang w:val="fr-CH"/>
        </w:rPr>
        <w:t>ziganes</w:t>
      </w:r>
      <w:r w:rsidRPr="00731644">
        <w:rPr>
          <w:lang w:val="fr-CH"/>
        </w:rPr>
        <w:t xml:space="preserve"> </w:t>
      </w:r>
      <w:r w:rsidR="00033FC7" w:rsidRPr="00731644">
        <w:rPr>
          <w:lang w:val="fr-CH"/>
        </w:rPr>
        <w:t xml:space="preserve">domiciliés au </w:t>
      </w:r>
      <w:r w:rsidRPr="00731644">
        <w:rPr>
          <w:lang w:val="fr-CH"/>
        </w:rPr>
        <w:t>Monténégro</w:t>
      </w:r>
      <w:r w:rsidR="002061AB">
        <w:rPr>
          <w:lang w:val="fr-CH"/>
        </w:rPr>
        <w:t>»;</w:t>
      </w:r>
    </w:p>
    <w:p w:rsidR="004C7BF6" w:rsidRPr="00731644" w:rsidRDefault="00B679F1" w:rsidP="000754BF">
      <w:pPr>
        <w:pStyle w:val="Bullet1G"/>
        <w:rPr>
          <w:lang w:val="fr-CH"/>
        </w:rPr>
      </w:pPr>
      <w:r w:rsidRPr="00731644">
        <w:rPr>
          <w:lang w:val="fr-CH"/>
        </w:rPr>
        <w:t>La participation aux activités d</w:t>
      </w:r>
      <w:r w:rsidR="00425386" w:rsidRPr="00731644">
        <w:rPr>
          <w:lang w:val="fr-CH"/>
        </w:rPr>
        <w:t>’</w:t>
      </w:r>
      <w:r w:rsidRPr="00731644">
        <w:rPr>
          <w:lang w:val="fr-CH"/>
        </w:rPr>
        <w:t>é</w:t>
      </w:r>
      <w:r w:rsidR="004C7BF6" w:rsidRPr="00731644">
        <w:rPr>
          <w:lang w:val="fr-CH"/>
        </w:rPr>
        <w:t xml:space="preserve">ducation </w:t>
      </w:r>
      <w:r w:rsidRPr="00731644">
        <w:rPr>
          <w:lang w:val="fr-CH"/>
        </w:rPr>
        <w:t>et de</w:t>
      </w:r>
      <w:r w:rsidR="004C7BF6" w:rsidRPr="00731644">
        <w:rPr>
          <w:lang w:val="fr-CH"/>
        </w:rPr>
        <w:t xml:space="preserve"> qualification </w:t>
      </w:r>
      <w:r w:rsidRPr="00731644">
        <w:rPr>
          <w:lang w:val="fr-CH"/>
        </w:rPr>
        <w:t>des</w:t>
      </w:r>
      <w:r w:rsidR="004C7BF6" w:rsidRPr="00731644">
        <w:rPr>
          <w:lang w:val="fr-CH"/>
        </w:rPr>
        <w:t xml:space="preserve"> adult</w:t>
      </w:r>
      <w:r w:rsidRPr="00731644">
        <w:rPr>
          <w:lang w:val="fr-CH"/>
        </w:rPr>
        <w:t>e</w:t>
      </w:r>
      <w:r w:rsidR="004C7BF6" w:rsidRPr="00731644">
        <w:rPr>
          <w:lang w:val="fr-CH"/>
        </w:rPr>
        <w:t>s</w:t>
      </w:r>
      <w:r w:rsidR="002061AB">
        <w:rPr>
          <w:lang w:val="fr-CH"/>
        </w:rPr>
        <w:t>;</w:t>
      </w:r>
    </w:p>
    <w:p w:rsidR="004C7BF6" w:rsidRPr="00731644" w:rsidRDefault="00B679F1" w:rsidP="000754BF">
      <w:pPr>
        <w:pStyle w:val="Bullet1G"/>
        <w:rPr>
          <w:lang w:val="fr-CH"/>
        </w:rPr>
      </w:pPr>
      <w:r w:rsidRPr="00731644">
        <w:rPr>
          <w:lang w:val="fr-CH"/>
        </w:rPr>
        <w:t>La p</w:t>
      </w:r>
      <w:r w:rsidR="004C7BF6" w:rsidRPr="00731644">
        <w:rPr>
          <w:lang w:val="fr-CH"/>
        </w:rPr>
        <w:t xml:space="preserve">articipation </w:t>
      </w:r>
      <w:r w:rsidRPr="00731644">
        <w:rPr>
          <w:lang w:val="fr-CH"/>
        </w:rPr>
        <w:t>aux travaux d</w:t>
      </w:r>
      <w:r w:rsidR="00425386" w:rsidRPr="00731644">
        <w:rPr>
          <w:lang w:val="fr-CH"/>
        </w:rPr>
        <w:t>’</w:t>
      </w:r>
      <w:r w:rsidRPr="00731644">
        <w:rPr>
          <w:lang w:val="fr-CH"/>
        </w:rPr>
        <w:t xml:space="preserve">intérêt </w:t>
      </w:r>
      <w:r w:rsidR="008A638B" w:rsidRPr="00731644">
        <w:rPr>
          <w:lang w:val="fr-CH"/>
        </w:rPr>
        <w:t>public</w:t>
      </w:r>
      <w:r w:rsidR="004C7BF6" w:rsidRPr="00731644">
        <w:rPr>
          <w:lang w:val="fr-CH"/>
        </w:rPr>
        <w:t xml:space="preserve"> (</w:t>
      </w:r>
      <w:r w:rsidRPr="00731644">
        <w:rPr>
          <w:lang w:val="fr-CH"/>
        </w:rPr>
        <w:t>à l</w:t>
      </w:r>
      <w:r w:rsidR="00425386" w:rsidRPr="00731644">
        <w:rPr>
          <w:lang w:val="fr-CH"/>
        </w:rPr>
        <w:t>’</w:t>
      </w:r>
      <w:r w:rsidRPr="00731644">
        <w:rPr>
          <w:lang w:val="fr-CH"/>
        </w:rPr>
        <w:t>échelon local et au niveau central</w:t>
      </w:r>
      <w:r w:rsidR="004C7BF6" w:rsidRPr="00731644">
        <w:rPr>
          <w:lang w:val="fr-CH"/>
        </w:rPr>
        <w:t>)</w:t>
      </w:r>
      <w:r w:rsidR="002061AB">
        <w:rPr>
          <w:lang w:val="fr-CH"/>
        </w:rPr>
        <w:t>;</w:t>
      </w:r>
    </w:p>
    <w:p w:rsidR="004C7BF6" w:rsidRPr="00731644" w:rsidRDefault="00103F8A" w:rsidP="000754BF">
      <w:pPr>
        <w:pStyle w:val="Bullet1G"/>
        <w:rPr>
          <w:lang w:val="fr-CH"/>
        </w:rPr>
      </w:pPr>
      <w:r w:rsidRPr="00731644">
        <w:rPr>
          <w:lang w:val="fr-CH"/>
        </w:rPr>
        <w:t>La p</w:t>
      </w:r>
      <w:r w:rsidR="004C7BF6" w:rsidRPr="00731644">
        <w:rPr>
          <w:lang w:val="fr-CH"/>
        </w:rPr>
        <w:t xml:space="preserve">articipation </w:t>
      </w:r>
      <w:r w:rsidRPr="00731644">
        <w:rPr>
          <w:lang w:val="fr-CH"/>
        </w:rPr>
        <w:t>à des</w:t>
      </w:r>
      <w:r w:rsidR="004C7BF6" w:rsidRPr="00731644">
        <w:rPr>
          <w:lang w:val="fr-CH"/>
        </w:rPr>
        <w:t xml:space="preserve"> </w:t>
      </w:r>
      <w:r w:rsidR="00286F92" w:rsidRPr="00731644">
        <w:rPr>
          <w:lang w:val="fr-CH"/>
        </w:rPr>
        <w:t>programme</w:t>
      </w:r>
      <w:r w:rsidR="004C7BF6" w:rsidRPr="00731644">
        <w:rPr>
          <w:lang w:val="fr-CH"/>
        </w:rPr>
        <w:t>s</w:t>
      </w:r>
      <w:r w:rsidRPr="00731644">
        <w:rPr>
          <w:lang w:val="fr-CH"/>
        </w:rPr>
        <w:t xml:space="preserve"> d</w:t>
      </w:r>
      <w:r w:rsidR="00425386" w:rsidRPr="00731644">
        <w:rPr>
          <w:lang w:val="fr-CH"/>
        </w:rPr>
        <w:t>’</w:t>
      </w:r>
      <w:r w:rsidRPr="00731644">
        <w:rPr>
          <w:lang w:val="fr-CH"/>
        </w:rPr>
        <w:t>alphabétisation</w:t>
      </w:r>
      <w:r w:rsidR="002061AB">
        <w:rPr>
          <w:lang w:val="fr-CH"/>
        </w:rPr>
        <w:t>;</w:t>
      </w:r>
    </w:p>
    <w:p w:rsidR="004C7BF6" w:rsidRPr="00731644" w:rsidRDefault="00103F8A" w:rsidP="000754BF">
      <w:pPr>
        <w:pStyle w:val="Bullet1G"/>
        <w:rPr>
          <w:lang w:val="fr-CH"/>
        </w:rPr>
      </w:pPr>
      <w:r w:rsidRPr="00731644">
        <w:rPr>
          <w:lang w:val="fr-CH"/>
        </w:rPr>
        <w:t>Le projet</w:t>
      </w:r>
      <w:r w:rsidR="004C7BF6" w:rsidRPr="00731644">
        <w:rPr>
          <w:lang w:val="fr-CH"/>
        </w:rPr>
        <w:t xml:space="preserve"> </w:t>
      </w:r>
      <w:r w:rsidR="002061AB">
        <w:rPr>
          <w:lang w:val="fr-CH"/>
        </w:rPr>
        <w:t>«</w:t>
      </w:r>
      <w:r w:rsidR="008A638B" w:rsidRPr="00731644">
        <w:rPr>
          <w:lang w:val="fr-CH"/>
        </w:rPr>
        <w:t>Permettre</w:t>
      </w:r>
      <w:r w:rsidRPr="00731644">
        <w:rPr>
          <w:lang w:val="fr-CH"/>
        </w:rPr>
        <w:t xml:space="preserve"> aux Roms, aux </w:t>
      </w:r>
      <w:r w:rsidR="002A5033" w:rsidRPr="00731644">
        <w:rPr>
          <w:lang w:val="fr-CH"/>
        </w:rPr>
        <w:t>Ashkali</w:t>
      </w:r>
      <w:r w:rsidRPr="00731644">
        <w:rPr>
          <w:lang w:val="fr-CH"/>
        </w:rPr>
        <w:t xml:space="preserve"> et aux </w:t>
      </w:r>
      <w:r w:rsidR="008A638B" w:rsidRPr="00731644">
        <w:rPr>
          <w:lang w:val="fr-CH"/>
        </w:rPr>
        <w:t>t</w:t>
      </w:r>
      <w:r w:rsidR="00A95D03" w:rsidRPr="00731644">
        <w:rPr>
          <w:lang w:val="fr-CH"/>
        </w:rPr>
        <w:t>ziganes</w:t>
      </w:r>
      <w:r w:rsidRPr="00731644">
        <w:rPr>
          <w:lang w:val="fr-CH"/>
        </w:rPr>
        <w:t xml:space="preserve"> </w:t>
      </w:r>
      <w:r w:rsidR="008A638B" w:rsidRPr="00731644">
        <w:rPr>
          <w:lang w:val="fr-CH"/>
        </w:rPr>
        <w:t>d</w:t>
      </w:r>
      <w:r w:rsidR="00425386" w:rsidRPr="00731644">
        <w:rPr>
          <w:lang w:val="fr-CH"/>
        </w:rPr>
        <w:t>’</w:t>
      </w:r>
      <w:r w:rsidR="008A638B" w:rsidRPr="00731644">
        <w:rPr>
          <w:lang w:val="fr-CH"/>
        </w:rPr>
        <w:t>accéder à l</w:t>
      </w:r>
      <w:r w:rsidR="00425386" w:rsidRPr="00731644">
        <w:rPr>
          <w:lang w:val="fr-CH"/>
        </w:rPr>
        <w:t>’</w:t>
      </w:r>
      <w:r w:rsidR="008A638B" w:rsidRPr="00731644">
        <w:rPr>
          <w:lang w:val="fr-CH"/>
        </w:rPr>
        <w:t xml:space="preserve">emploi </w:t>
      </w:r>
      <w:r w:rsidR="00033FC7" w:rsidRPr="00731644">
        <w:rPr>
          <w:lang w:val="fr-CH"/>
        </w:rPr>
        <w:t>dans des conditions</w:t>
      </w:r>
      <w:r w:rsidR="008A638B" w:rsidRPr="00731644">
        <w:rPr>
          <w:lang w:val="fr-CH"/>
        </w:rPr>
        <w:t xml:space="preserve"> d</w:t>
      </w:r>
      <w:r w:rsidR="00425386" w:rsidRPr="00731644">
        <w:rPr>
          <w:lang w:val="fr-CH"/>
        </w:rPr>
        <w:t>’</w:t>
      </w:r>
      <w:r w:rsidR="008A638B" w:rsidRPr="00731644">
        <w:rPr>
          <w:lang w:val="fr-CH"/>
        </w:rPr>
        <w:t>égalité</w:t>
      </w:r>
      <w:r w:rsidR="002061AB">
        <w:rPr>
          <w:lang w:val="fr-CH"/>
        </w:rPr>
        <w:t>»</w:t>
      </w:r>
      <w:r w:rsidRPr="00731644">
        <w:rPr>
          <w:lang w:val="fr-CH"/>
        </w:rPr>
        <w:t xml:space="preserve">. </w:t>
      </w:r>
    </w:p>
    <w:p w:rsidR="00F87884" w:rsidRPr="00731644" w:rsidRDefault="00304BA7" w:rsidP="004C7BF6">
      <w:pPr>
        <w:pStyle w:val="SingleTxtG"/>
        <w:rPr>
          <w:lang w:val="fr-CH"/>
        </w:rPr>
      </w:pPr>
      <w:r w:rsidRPr="00731644">
        <w:rPr>
          <w:lang w:val="fr-CH"/>
        </w:rPr>
        <w:t>223.</w:t>
      </w:r>
      <w:r w:rsidRPr="00731644">
        <w:rPr>
          <w:lang w:val="fr-CH"/>
        </w:rPr>
        <w:tab/>
      </w:r>
      <w:r w:rsidR="00103F8A" w:rsidRPr="00731644">
        <w:rPr>
          <w:lang w:val="fr-CH"/>
        </w:rPr>
        <w:t xml:space="preserve">Chaque année, une centaine de Roms et </w:t>
      </w:r>
      <w:r w:rsidR="00033FC7" w:rsidRPr="00731644">
        <w:rPr>
          <w:lang w:val="fr-CH"/>
        </w:rPr>
        <w:t>de t</w:t>
      </w:r>
      <w:r w:rsidR="00A95D03" w:rsidRPr="00731644">
        <w:rPr>
          <w:lang w:val="fr-CH"/>
        </w:rPr>
        <w:t>ziganes</w:t>
      </w:r>
      <w:r w:rsidR="00103F8A" w:rsidRPr="00731644">
        <w:rPr>
          <w:lang w:val="fr-CH"/>
        </w:rPr>
        <w:t xml:space="preserve"> </w:t>
      </w:r>
      <w:r w:rsidR="00033FC7" w:rsidRPr="00731644">
        <w:rPr>
          <w:lang w:val="fr-CH"/>
        </w:rPr>
        <w:t>au chômage</w:t>
      </w:r>
      <w:r w:rsidR="00103F8A" w:rsidRPr="00731644">
        <w:rPr>
          <w:lang w:val="fr-CH"/>
        </w:rPr>
        <w:t xml:space="preserve"> bénéficient des programmes de la politique </w:t>
      </w:r>
      <w:r w:rsidR="00033FC7" w:rsidRPr="00731644">
        <w:rPr>
          <w:lang w:val="fr-CH"/>
        </w:rPr>
        <w:t>dynamique de</w:t>
      </w:r>
      <w:r w:rsidR="00103F8A" w:rsidRPr="00731644">
        <w:rPr>
          <w:lang w:val="fr-CH"/>
        </w:rPr>
        <w:t xml:space="preserve"> l</w:t>
      </w:r>
      <w:r w:rsidR="00425386" w:rsidRPr="00731644">
        <w:rPr>
          <w:lang w:val="fr-CH"/>
        </w:rPr>
        <w:t>’</w:t>
      </w:r>
      <w:r w:rsidR="00103F8A" w:rsidRPr="00731644">
        <w:rPr>
          <w:lang w:val="fr-CH"/>
        </w:rPr>
        <w:t>emploi</w:t>
      </w:r>
      <w:r w:rsidR="00F31DD5" w:rsidRPr="00731644">
        <w:rPr>
          <w:lang w:val="fr-CH"/>
        </w:rPr>
        <w:t>:</w:t>
      </w:r>
      <w:r w:rsidR="000D1F9B" w:rsidRPr="00731644">
        <w:rPr>
          <w:lang w:val="fr-CH"/>
        </w:rPr>
        <w:t xml:space="preserve"> </w:t>
      </w:r>
      <w:r w:rsidR="00103F8A" w:rsidRPr="00731644">
        <w:rPr>
          <w:lang w:val="fr-CH"/>
        </w:rPr>
        <w:t xml:space="preserve">ils </w:t>
      </w:r>
      <w:r w:rsidR="000D1F9B" w:rsidRPr="00731644">
        <w:rPr>
          <w:lang w:val="fr-CH"/>
        </w:rPr>
        <w:t xml:space="preserve">prennent </w:t>
      </w:r>
      <w:r w:rsidR="00103F8A" w:rsidRPr="00731644">
        <w:rPr>
          <w:lang w:val="fr-CH"/>
        </w:rPr>
        <w:t>part</w:t>
      </w:r>
      <w:r w:rsidR="000D1F9B" w:rsidRPr="00731644">
        <w:rPr>
          <w:lang w:val="fr-CH"/>
        </w:rPr>
        <w:t xml:space="preserve"> </w:t>
      </w:r>
      <w:r w:rsidR="00103F8A" w:rsidRPr="00731644">
        <w:rPr>
          <w:lang w:val="fr-CH"/>
        </w:rPr>
        <w:t>aux programmes d</w:t>
      </w:r>
      <w:r w:rsidR="00425386" w:rsidRPr="00731644">
        <w:rPr>
          <w:lang w:val="fr-CH"/>
        </w:rPr>
        <w:t>’</w:t>
      </w:r>
      <w:r w:rsidR="00103F8A" w:rsidRPr="00731644">
        <w:rPr>
          <w:lang w:val="fr-CH"/>
        </w:rPr>
        <w:t>éducation et de qualification, c</w:t>
      </w:r>
      <w:r w:rsidR="00425386" w:rsidRPr="00731644">
        <w:rPr>
          <w:lang w:val="fr-CH"/>
        </w:rPr>
        <w:t>’</w:t>
      </w:r>
      <w:r w:rsidR="00103F8A" w:rsidRPr="00731644">
        <w:rPr>
          <w:lang w:val="fr-CH"/>
        </w:rPr>
        <w:t>est-à-dire essentiellement qu</w:t>
      </w:r>
      <w:r w:rsidR="00425386" w:rsidRPr="00731644">
        <w:rPr>
          <w:lang w:val="fr-CH"/>
        </w:rPr>
        <w:t>’</w:t>
      </w:r>
      <w:r w:rsidR="00103F8A" w:rsidRPr="00731644">
        <w:rPr>
          <w:lang w:val="fr-CH"/>
        </w:rPr>
        <w:t>ils reçoivent une formation à des</w:t>
      </w:r>
      <w:r w:rsidR="00F31DD5" w:rsidRPr="00731644">
        <w:rPr>
          <w:lang w:val="fr-CH"/>
        </w:rPr>
        <w:t xml:space="preserve"> </w:t>
      </w:r>
      <w:r w:rsidR="00103F8A" w:rsidRPr="00731644">
        <w:rPr>
          <w:lang w:val="fr-CH"/>
        </w:rPr>
        <w:t>métiers simples qui ne demandent pas une instruction très poussée, participent à des travaux d</w:t>
      </w:r>
      <w:r w:rsidR="00425386" w:rsidRPr="00731644">
        <w:rPr>
          <w:lang w:val="fr-CH"/>
        </w:rPr>
        <w:t>’</w:t>
      </w:r>
      <w:r w:rsidR="00103F8A" w:rsidRPr="00731644">
        <w:rPr>
          <w:lang w:val="fr-CH"/>
        </w:rPr>
        <w:t>intérêt public des autorités centrales ou locales, et</w:t>
      </w:r>
      <w:r w:rsidR="00F31DD5" w:rsidRPr="00731644">
        <w:rPr>
          <w:lang w:val="fr-CH"/>
        </w:rPr>
        <w:t xml:space="preserve"> </w:t>
      </w:r>
      <w:r w:rsidR="00103F8A" w:rsidRPr="00731644">
        <w:rPr>
          <w:lang w:val="fr-CH"/>
        </w:rPr>
        <w:t>font des travaux saisonniers.</w:t>
      </w:r>
      <w:r w:rsidR="00F31DD5" w:rsidRPr="00731644">
        <w:rPr>
          <w:lang w:val="fr-CH"/>
        </w:rPr>
        <w:t xml:space="preserve"> </w:t>
      </w:r>
    </w:p>
    <w:p w:rsidR="00F87884" w:rsidRPr="00731644" w:rsidRDefault="00304BA7" w:rsidP="004C7BF6">
      <w:pPr>
        <w:pStyle w:val="SingleTxtG"/>
        <w:rPr>
          <w:bCs/>
          <w:lang w:val="fr-CH"/>
        </w:rPr>
      </w:pPr>
      <w:r w:rsidRPr="00731644">
        <w:rPr>
          <w:bCs/>
          <w:lang w:val="fr-CH"/>
        </w:rPr>
        <w:t>224.</w:t>
      </w:r>
      <w:r w:rsidRPr="00731644">
        <w:rPr>
          <w:b/>
          <w:bCs/>
          <w:lang w:val="fr-CH"/>
        </w:rPr>
        <w:tab/>
      </w:r>
      <w:r w:rsidR="000D1F9B" w:rsidRPr="00731644">
        <w:rPr>
          <w:bCs/>
          <w:lang w:val="fr-CH"/>
        </w:rPr>
        <w:t>L</w:t>
      </w:r>
      <w:r w:rsidR="00F87884" w:rsidRPr="00731644">
        <w:rPr>
          <w:bCs/>
          <w:lang w:val="fr-CH"/>
        </w:rPr>
        <w:t>e projet</w:t>
      </w:r>
      <w:r w:rsidR="00F87884" w:rsidRPr="00731644">
        <w:rPr>
          <w:b/>
          <w:bCs/>
          <w:lang w:val="fr-CH"/>
        </w:rPr>
        <w:t xml:space="preserve"> </w:t>
      </w:r>
      <w:r w:rsidR="002061AB">
        <w:rPr>
          <w:bCs/>
          <w:lang w:val="fr-CH"/>
        </w:rPr>
        <w:t>«</w:t>
      </w:r>
      <w:r w:rsidR="00F87884" w:rsidRPr="00731644">
        <w:rPr>
          <w:bCs/>
          <w:lang w:val="fr-CH"/>
        </w:rPr>
        <w:t xml:space="preserve">Les </w:t>
      </w:r>
      <w:r w:rsidR="004C7BF6" w:rsidRPr="00731644">
        <w:rPr>
          <w:bCs/>
          <w:lang w:val="fr-CH"/>
        </w:rPr>
        <w:t>Rom</w:t>
      </w:r>
      <w:r w:rsidR="00F87884" w:rsidRPr="00731644">
        <w:rPr>
          <w:bCs/>
          <w:lang w:val="fr-CH"/>
        </w:rPr>
        <w:t>s sont</w:t>
      </w:r>
      <w:r w:rsidR="004C7BF6" w:rsidRPr="00731644">
        <w:rPr>
          <w:bCs/>
          <w:lang w:val="fr-CH"/>
        </w:rPr>
        <w:t xml:space="preserve"> visible</w:t>
      </w:r>
      <w:r w:rsidR="00F87884" w:rsidRPr="00731644">
        <w:rPr>
          <w:bCs/>
          <w:lang w:val="fr-CH"/>
        </w:rPr>
        <w:t>s</w:t>
      </w:r>
      <w:r w:rsidR="004C7BF6" w:rsidRPr="00731644">
        <w:rPr>
          <w:bCs/>
          <w:lang w:val="fr-CH"/>
        </w:rPr>
        <w:t xml:space="preserve"> </w:t>
      </w:r>
      <w:r w:rsidR="00F87884" w:rsidRPr="00731644">
        <w:rPr>
          <w:bCs/>
          <w:lang w:val="fr-CH"/>
        </w:rPr>
        <w:t>sur le marché du travail</w:t>
      </w:r>
      <w:r w:rsidR="002061AB">
        <w:rPr>
          <w:bCs/>
          <w:lang w:val="fr-CH"/>
        </w:rPr>
        <w:t>»</w:t>
      </w:r>
      <w:r w:rsidR="004C7BF6" w:rsidRPr="00731644">
        <w:rPr>
          <w:b/>
          <w:bCs/>
          <w:lang w:val="fr-CH"/>
        </w:rPr>
        <w:t xml:space="preserve"> </w:t>
      </w:r>
      <w:r w:rsidR="00F87884" w:rsidRPr="00731644">
        <w:rPr>
          <w:bCs/>
          <w:lang w:val="fr-CH"/>
        </w:rPr>
        <w:t>(</w:t>
      </w:r>
      <w:r w:rsidR="004C7BF6" w:rsidRPr="00731644">
        <w:rPr>
          <w:bCs/>
          <w:lang w:val="fr-CH"/>
        </w:rPr>
        <w:t>2006</w:t>
      </w:r>
      <w:r w:rsidR="00F87884" w:rsidRPr="00731644">
        <w:rPr>
          <w:bCs/>
          <w:lang w:val="fr-CH"/>
        </w:rPr>
        <w:t>-</w:t>
      </w:r>
      <w:r w:rsidR="004C7BF6" w:rsidRPr="00731644">
        <w:rPr>
          <w:bCs/>
          <w:lang w:val="fr-CH"/>
        </w:rPr>
        <w:t>2007</w:t>
      </w:r>
      <w:r w:rsidR="00F87884" w:rsidRPr="00731644">
        <w:rPr>
          <w:bCs/>
          <w:lang w:val="fr-CH"/>
        </w:rPr>
        <w:t xml:space="preserve">) est une étude </w:t>
      </w:r>
      <w:r w:rsidR="00AE51EA" w:rsidRPr="00731644">
        <w:rPr>
          <w:bCs/>
          <w:lang w:val="fr-CH"/>
        </w:rPr>
        <w:t>conçu</w:t>
      </w:r>
      <w:r w:rsidR="00F87884" w:rsidRPr="00731644">
        <w:rPr>
          <w:bCs/>
          <w:lang w:val="fr-CH"/>
        </w:rPr>
        <w:t xml:space="preserve">e comme un travail </w:t>
      </w:r>
      <w:r w:rsidR="00A07812" w:rsidRPr="00731644">
        <w:rPr>
          <w:bCs/>
          <w:lang w:val="fr-CH"/>
        </w:rPr>
        <w:t xml:space="preserve">national </w:t>
      </w:r>
      <w:r w:rsidR="00F87884" w:rsidRPr="00731644">
        <w:rPr>
          <w:bCs/>
          <w:lang w:val="fr-CH"/>
        </w:rPr>
        <w:t>d</w:t>
      </w:r>
      <w:r w:rsidR="00425386" w:rsidRPr="00731644">
        <w:rPr>
          <w:bCs/>
          <w:lang w:val="fr-CH"/>
        </w:rPr>
        <w:t>’</w:t>
      </w:r>
      <w:r w:rsidR="00F87884" w:rsidRPr="00731644">
        <w:rPr>
          <w:bCs/>
          <w:lang w:val="fr-CH"/>
        </w:rPr>
        <w:t xml:space="preserve">intérêt public, </w:t>
      </w:r>
      <w:r w:rsidR="00A07812" w:rsidRPr="00731644">
        <w:rPr>
          <w:bCs/>
          <w:lang w:val="fr-CH"/>
        </w:rPr>
        <w:t>qui</w:t>
      </w:r>
      <w:r w:rsidR="00F87884" w:rsidRPr="00731644">
        <w:rPr>
          <w:bCs/>
          <w:lang w:val="fr-CH"/>
        </w:rPr>
        <w:t xml:space="preserve"> a consisté</w:t>
      </w:r>
      <w:r w:rsidR="00AE5603" w:rsidRPr="00731644">
        <w:rPr>
          <w:bCs/>
          <w:lang w:val="fr-CH"/>
        </w:rPr>
        <w:t>, d</w:t>
      </w:r>
      <w:r w:rsidR="00425386" w:rsidRPr="00731644">
        <w:rPr>
          <w:bCs/>
          <w:lang w:val="fr-CH"/>
        </w:rPr>
        <w:t>’</w:t>
      </w:r>
      <w:r w:rsidR="00AE5603" w:rsidRPr="00731644">
        <w:rPr>
          <w:bCs/>
          <w:lang w:val="fr-CH"/>
        </w:rPr>
        <w:t>une part,</w:t>
      </w:r>
      <w:r w:rsidR="00F87884" w:rsidRPr="00731644">
        <w:rPr>
          <w:bCs/>
          <w:lang w:val="fr-CH"/>
        </w:rPr>
        <w:t xml:space="preserve"> à interroger les Roms, les </w:t>
      </w:r>
      <w:r w:rsidR="002A5033" w:rsidRPr="00731644">
        <w:rPr>
          <w:bCs/>
          <w:lang w:val="fr-CH"/>
        </w:rPr>
        <w:t>Ashkali</w:t>
      </w:r>
      <w:r w:rsidR="00F87884" w:rsidRPr="00731644">
        <w:rPr>
          <w:bCs/>
          <w:lang w:val="fr-CH"/>
        </w:rPr>
        <w:t xml:space="preserve"> et les </w:t>
      </w:r>
      <w:r w:rsidR="00A07812" w:rsidRPr="00731644">
        <w:rPr>
          <w:bCs/>
          <w:lang w:val="fr-CH"/>
        </w:rPr>
        <w:t>tziganes</w:t>
      </w:r>
      <w:r w:rsidR="00F87884" w:rsidRPr="00731644">
        <w:rPr>
          <w:bCs/>
          <w:lang w:val="fr-CH"/>
        </w:rPr>
        <w:t xml:space="preserve"> en mesure de travailler sur leur niveau d</w:t>
      </w:r>
      <w:r w:rsidR="00425386" w:rsidRPr="00731644">
        <w:rPr>
          <w:bCs/>
          <w:lang w:val="fr-CH"/>
        </w:rPr>
        <w:t>’</w:t>
      </w:r>
      <w:r w:rsidR="00F87884" w:rsidRPr="00731644">
        <w:rPr>
          <w:bCs/>
          <w:lang w:val="fr-CH"/>
        </w:rPr>
        <w:t>instruction, les motifs de leur inscription au bureau pour l</w:t>
      </w:r>
      <w:r w:rsidR="00425386" w:rsidRPr="00731644">
        <w:rPr>
          <w:bCs/>
          <w:lang w:val="fr-CH"/>
        </w:rPr>
        <w:t>’</w:t>
      </w:r>
      <w:r w:rsidR="00F87884" w:rsidRPr="00731644">
        <w:rPr>
          <w:bCs/>
          <w:lang w:val="fr-CH"/>
        </w:rPr>
        <w:t>emploi et leur</w:t>
      </w:r>
      <w:r w:rsidR="004C7BF6" w:rsidRPr="00731644">
        <w:rPr>
          <w:bCs/>
          <w:lang w:val="fr-CH"/>
        </w:rPr>
        <w:t xml:space="preserve"> </w:t>
      </w:r>
      <w:r w:rsidR="00E21FD5" w:rsidRPr="00731644">
        <w:rPr>
          <w:bCs/>
          <w:lang w:val="fr-CH"/>
        </w:rPr>
        <w:t>volonté</w:t>
      </w:r>
      <w:r w:rsidR="00F87884" w:rsidRPr="00731644">
        <w:rPr>
          <w:bCs/>
          <w:lang w:val="fr-CH"/>
        </w:rPr>
        <w:t xml:space="preserve"> ainsi que leurs possibilités de participer à des programme</w:t>
      </w:r>
      <w:r w:rsidR="00AE51EA" w:rsidRPr="00731644">
        <w:rPr>
          <w:bCs/>
          <w:lang w:val="fr-CH"/>
        </w:rPr>
        <w:t>s</w:t>
      </w:r>
      <w:r w:rsidR="00F87884" w:rsidRPr="00731644">
        <w:rPr>
          <w:bCs/>
          <w:lang w:val="fr-CH"/>
        </w:rPr>
        <w:t xml:space="preserve"> de la politique </w:t>
      </w:r>
      <w:r w:rsidR="00A07812" w:rsidRPr="00731644">
        <w:rPr>
          <w:bCs/>
          <w:lang w:val="fr-CH"/>
        </w:rPr>
        <w:t>dynamique de</w:t>
      </w:r>
      <w:r w:rsidR="00F87884" w:rsidRPr="00731644">
        <w:rPr>
          <w:bCs/>
          <w:lang w:val="fr-CH"/>
        </w:rPr>
        <w:t xml:space="preserve"> l</w:t>
      </w:r>
      <w:r w:rsidR="00425386" w:rsidRPr="00731644">
        <w:rPr>
          <w:bCs/>
          <w:lang w:val="fr-CH"/>
        </w:rPr>
        <w:t>’</w:t>
      </w:r>
      <w:r w:rsidR="00F87884" w:rsidRPr="00731644">
        <w:rPr>
          <w:bCs/>
          <w:lang w:val="fr-CH"/>
        </w:rPr>
        <w:t xml:space="preserve">emploi, </w:t>
      </w:r>
      <w:r w:rsidR="00AE5603" w:rsidRPr="00731644">
        <w:rPr>
          <w:bCs/>
          <w:lang w:val="fr-CH"/>
        </w:rPr>
        <w:t>et d</w:t>
      </w:r>
      <w:r w:rsidR="00425386" w:rsidRPr="00731644">
        <w:rPr>
          <w:bCs/>
          <w:lang w:val="fr-CH"/>
        </w:rPr>
        <w:t>’</w:t>
      </w:r>
      <w:r w:rsidR="00AE5603" w:rsidRPr="00731644">
        <w:rPr>
          <w:bCs/>
          <w:lang w:val="fr-CH"/>
        </w:rPr>
        <w:t xml:space="preserve">autre part, </w:t>
      </w:r>
      <w:r w:rsidR="00F87884" w:rsidRPr="00731644">
        <w:rPr>
          <w:bCs/>
          <w:lang w:val="fr-CH"/>
        </w:rPr>
        <w:t xml:space="preserve">à réunir des données </w:t>
      </w:r>
      <w:r w:rsidR="00AE51EA" w:rsidRPr="00731644">
        <w:rPr>
          <w:bCs/>
          <w:lang w:val="fr-CH"/>
        </w:rPr>
        <w:t xml:space="preserve">relatives à </w:t>
      </w:r>
      <w:r w:rsidR="00F87884" w:rsidRPr="00731644">
        <w:rPr>
          <w:bCs/>
          <w:lang w:val="fr-CH"/>
        </w:rPr>
        <w:t>leurs documents d</w:t>
      </w:r>
      <w:r w:rsidR="00425386" w:rsidRPr="00731644">
        <w:rPr>
          <w:bCs/>
          <w:lang w:val="fr-CH"/>
        </w:rPr>
        <w:t>’</w:t>
      </w:r>
      <w:r w:rsidR="00F87884" w:rsidRPr="00731644">
        <w:rPr>
          <w:bCs/>
          <w:lang w:val="fr-CH"/>
        </w:rPr>
        <w:t xml:space="preserve">état civil. Ce travail de recherche a été </w:t>
      </w:r>
      <w:r w:rsidR="00AE5603" w:rsidRPr="00731644">
        <w:rPr>
          <w:bCs/>
          <w:lang w:val="fr-CH"/>
        </w:rPr>
        <w:t>réalisé</w:t>
      </w:r>
      <w:r w:rsidR="00F87884" w:rsidRPr="00731644">
        <w:rPr>
          <w:bCs/>
          <w:lang w:val="fr-CH"/>
        </w:rPr>
        <w:t xml:space="preserve"> par 27 enquêteurs, dont 25 </w:t>
      </w:r>
      <w:r w:rsidR="00A07812" w:rsidRPr="00731644">
        <w:rPr>
          <w:bCs/>
          <w:lang w:val="fr-CH"/>
        </w:rPr>
        <w:t>(parmi lesquels figuraient 15</w:t>
      </w:r>
      <w:r w:rsidR="006443F6" w:rsidRPr="00731644">
        <w:rPr>
          <w:bCs/>
          <w:lang w:val="fr-CH"/>
        </w:rPr>
        <w:t>%</w:t>
      </w:r>
      <w:r w:rsidR="00A07812" w:rsidRPr="00731644">
        <w:rPr>
          <w:bCs/>
          <w:lang w:val="fr-CH"/>
        </w:rPr>
        <w:t xml:space="preserve"> de femmes) </w:t>
      </w:r>
      <w:r w:rsidR="00F87884" w:rsidRPr="00731644">
        <w:rPr>
          <w:bCs/>
          <w:lang w:val="fr-CH"/>
        </w:rPr>
        <w:t>étaient de nationalité rom</w:t>
      </w:r>
      <w:r w:rsidR="00F31DD5" w:rsidRPr="00731644">
        <w:rPr>
          <w:bCs/>
          <w:lang w:val="fr-CH"/>
        </w:rPr>
        <w:t xml:space="preserve"> </w:t>
      </w:r>
      <w:r w:rsidR="00F87884" w:rsidRPr="00731644">
        <w:rPr>
          <w:bCs/>
          <w:lang w:val="fr-CH"/>
        </w:rPr>
        <w:t>et</w:t>
      </w:r>
      <w:r w:rsidR="00AE5603" w:rsidRPr="00731644">
        <w:rPr>
          <w:bCs/>
          <w:lang w:val="fr-CH"/>
        </w:rPr>
        <w:t xml:space="preserve"> </w:t>
      </w:r>
      <w:r w:rsidR="00AE51EA" w:rsidRPr="00731644">
        <w:rPr>
          <w:bCs/>
          <w:lang w:val="fr-CH"/>
        </w:rPr>
        <w:t>avaient été recrutés en vue</w:t>
      </w:r>
      <w:r w:rsidR="00AE5603" w:rsidRPr="00731644">
        <w:rPr>
          <w:bCs/>
          <w:lang w:val="fr-CH"/>
        </w:rPr>
        <w:t xml:space="preserve"> de cette étude</w:t>
      </w:r>
      <w:r w:rsidR="00F87884" w:rsidRPr="00731644">
        <w:rPr>
          <w:bCs/>
          <w:lang w:val="fr-CH"/>
        </w:rPr>
        <w:t xml:space="preserve">. </w:t>
      </w:r>
    </w:p>
    <w:p w:rsidR="004C7BF6" w:rsidRPr="00731644" w:rsidRDefault="00304BA7" w:rsidP="004C7BF6">
      <w:pPr>
        <w:pStyle w:val="SingleTxtG"/>
        <w:rPr>
          <w:lang w:val="fr-CH"/>
        </w:rPr>
      </w:pPr>
      <w:r w:rsidRPr="00731644">
        <w:rPr>
          <w:lang w:val="fr-CH"/>
        </w:rPr>
        <w:t>225.</w:t>
      </w:r>
      <w:r w:rsidRPr="00731644">
        <w:rPr>
          <w:lang w:val="fr-CH"/>
        </w:rPr>
        <w:tab/>
      </w:r>
      <w:r w:rsidR="00AE5603" w:rsidRPr="00731644">
        <w:rPr>
          <w:lang w:val="fr-CH"/>
        </w:rPr>
        <w:t xml:space="preserve">Le motif </w:t>
      </w:r>
      <w:r w:rsidR="00F93E9D" w:rsidRPr="00731644">
        <w:rPr>
          <w:lang w:val="fr-CH"/>
        </w:rPr>
        <w:t xml:space="preserve">du lancement </w:t>
      </w:r>
      <w:r w:rsidR="00AE5603" w:rsidRPr="00731644">
        <w:rPr>
          <w:lang w:val="fr-CH"/>
        </w:rPr>
        <w:t>de cette enquête était le manque</w:t>
      </w:r>
      <w:r w:rsidR="00F93E9D" w:rsidRPr="00731644">
        <w:rPr>
          <w:lang w:val="fr-CH"/>
        </w:rPr>
        <w:t xml:space="preserve"> de données sur les populations rom, ashkali et </w:t>
      </w:r>
      <w:r w:rsidR="00AE51EA" w:rsidRPr="00731644">
        <w:rPr>
          <w:lang w:val="fr-CH"/>
        </w:rPr>
        <w:t>tzigane, lequel constituait</w:t>
      </w:r>
      <w:r w:rsidR="00F93E9D" w:rsidRPr="00731644">
        <w:rPr>
          <w:lang w:val="fr-CH"/>
        </w:rPr>
        <w:t>, de l</w:t>
      </w:r>
      <w:r w:rsidR="00425386" w:rsidRPr="00731644">
        <w:rPr>
          <w:lang w:val="fr-CH"/>
        </w:rPr>
        <w:t>’</w:t>
      </w:r>
      <w:r w:rsidR="00F93E9D" w:rsidRPr="00731644">
        <w:rPr>
          <w:lang w:val="fr-CH"/>
        </w:rPr>
        <w:t>avis de</w:t>
      </w:r>
      <w:r w:rsidR="00AE5603" w:rsidRPr="00731644">
        <w:rPr>
          <w:lang w:val="fr-CH"/>
        </w:rPr>
        <w:t xml:space="preserve"> tous les partenaires du projet, la plus grosse difficulté </w:t>
      </w:r>
      <w:r w:rsidR="00AE51EA" w:rsidRPr="00731644">
        <w:rPr>
          <w:lang w:val="fr-CH"/>
        </w:rPr>
        <w:t xml:space="preserve">à surmonter </w:t>
      </w:r>
      <w:r w:rsidR="00AE5603" w:rsidRPr="00731644">
        <w:rPr>
          <w:lang w:val="fr-CH"/>
        </w:rPr>
        <w:t>pour organiser et mettre en œuvre la Décennie. L</w:t>
      </w:r>
      <w:r w:rsidR="00425386" w:rsidRPr="00731644">
        <w:rPr>
          <w:lang w:val="fr-CH"/>
        </w:rPr>
        <w:t>’</w:t>
      </w:r>
      <w:r w:rsidR="00F93E9D" w:rsidRPr="00731644">
        <w:rPr>
          <w:lang w:val="fr-CH"/>
        </w:rPr>
        <w:t>é</w:t>
      </w:r>
      <w:r w:rsidR="00AE5603" w:rsidRPr="00731644">
        <w:rPr>
          <w:lang w:val="fr-CH"/>
        </w:rPr>
        <w:t>tude a révélé que</w:t>
      </w:r>
      <w:r w:rsidR="00F31DD5" w:rsidRPr="00731644">
        <w:rPr>
          <w:lang w:val="fr-CH"/>
        </w:rPr>
        <w:t xml:space="preserve"> </w:t>
      </w:r>
      <w:r w:rsidR="004C7BF6" w:rsidRPr="00731644">
        <w:rPr>
          <w:lang w:val="fr-CH"/>
        </w:rPr>
        <w:t>60</w:t>
      </w:r>
      <w:r w:rsidR="006443F6" w:rsidRPr="00731644">
        <w:rPr>
          <w:lang w:val="fr-CH"/>
        </w:rPr>
        <w:t>%</w:t>
      </w:r>
      <w:r w:rsidR="00AE5603" w:rsidRPr="00731644">
        <w:rPr>
          <w:lang w:val="fr-CH"/>
        </w:rPr>
        <w:t xml:space="preserve"> </w:t>
      </w:r>
      <w:r w:rsidR="00B569C5" w:rsidRPr="00731644">
        <w:rPr>
          <w:lang w:val="fr-CH"/>
        </w:rPr>
        <w:t>des personnes</w:t>
      </w:r>
      <w:r w:rsidR="00AE5603" w:rsidRPr="00731644">
        <w:rPr>
          <w:lang w:val="fr-CH"/>
        </w:rPr>
        <w:t xml:space="preserve"> interrogées</w:t>
      </w:r>
      <w:r w:rsidR="00F93E9D" w:rsidRPr="00731644">
        <w:rPr>
          <w:lang w:val="fr-CH"/>
        </w:rPr>
        <w:t xml:space="preserve"> étaient désireuses de s</w:t>
      </w:r>
      <w:r w:rsidR="00425386" w:rsidRPr="00731644">
        <w:rPr>
          <w:lang w:val="fr-CH"/>
        </w:rPr>
        <w:t>’</w:t>
      </w:r>
      <w:r w:rsidR="00F93E9D" w:rsidRPr="00731644">
        <w:rPr>
          <w:lang w:val="fr-CH"/>
        </w:rPr>
        <w:t>inscrire à l</w:t>
      </w:r>
      <w:r w:rsidR="00425386" w:rsidRPr="00731644">
        <w:rPr>
          <w:lang w:val="fr-CH"/>
        </w:rPr>
        <w:t>’</w:t>
      </w:r>
      <w:r w:rsidR="00F93E9D" w:rsidRPr="00731644">
        <w:rPr>
          <w:lang w:val="fr-CH"/>
        </w:rPr>
        <w:t>Agence pour l</w:t>
      </w:r>
      <w:r w:rsidR="00425386" w:rsidRPr="00731644">
        <w:rPr>
          <w:lang w:val="fr-CH"/>
        </w:rPr>
        <w:t>’</w:t>
      </w:r>
      <w:r w:rsidR="00F93E9D" w:rsidRPr="00731644">
        <w:rPr>
          <w:lang w:val="fr-CH"/>
        </w:rPr>
        <w:t xml:space="preserve">emploi, alors que la part de celles qui </w:t>
      </w:r>
      <w:r w:rsidR="00785086" w:rsidRPr="00731644">
        <w:rPr>
          <w:lang w:val="fr-CH"/>
        </w:rPr>
        <w:t xml:space="preserve">y </w:t>
      </w:r>
      <w:r w:rsidR="00F93E9D" w:rsidRPr="00731644">
        <w:rPr>
          <w:lang w:val="fr-CH"/>
        </w:rPr>
        <w:t xml:space="preserve">étaient effectivement </w:t>
      </w:r>
      <w:r w:rsidR="00AE51EA" w:rsidRPr="00731644">
        <w:rPr>
          <w:lang w:val="fr-CH"/>
        </w:rPr>
        <w:t>inscrites s</w:t>
      </w:r>
      <w:r w:rsidR="00425386" w:rsidRPr="00731644">
        <w:rPr>
          <w:lang w:val="fr-CH"/>
        </w:rPr>
        <w:t>’</w:t>
      </w:r>
      <w:r w:rsidR="00AE51EA" w:rsidRPr="00731644">
        <w:rPr>
          <w:lang w:val="fr-CH"/>
        </w:rPr>
        <w:t>élevait à</w:t>
      </w:r>
      <w:r w:rsidR="00F93E9D" w:rsidRPr="00731644">
        <w:rPr>
          <w:lang w:val="fr-CH"/>
        </w:rPr>
        <w:t xml:space="preserve"> </w:t>
      </w:r>
      <w:r w:rsidR="004C7BF6" w:rsidRPr="00731644">
        <w:rPr>
          <w:lang w:val="fr-CH"/>
        </w:rPr>
        <w:t>23</w:t>
      </w:r>
      <w:r w:rsidR="006443F6" w:rsidRPr="00731644">
        <w:rPr>
          <w:lang w:val="fr-CH"/>
        </w:rPr>
        <w:t>%</w:t>
      </w:r>
      <w:r w:rsidR="004C7BF6" w:rsidRPr="00731644">
        <w:rPr>
          <w:lang w:val="fr-CH"/>
        </w:rPr>
        <w:t xml:space="preserve">. </w:t>
      </w:r>
      <w:r w:rsidR="00F93E9D" w:rsidRPr="00731644">
        <w:rPr>
          <w:lang w:val="fr-CH"/>
        </w:rPr>
        <w:t>Elle a fait apparaitre aussi que le</w:t>
      </w:r>
      <w:r w:rsidR="00785086" w:rsidRPr="00731644">
        <w:rPr>
          <w:lang w:val="fr-CH"/>
        </w:rPr>
        <w:t>s</w:t>
      </w:r>
      <w:r w:rsidR="00F93E9D" w:rsidRPr="00731644">
        <w:rPr>
          <w:lang w:val="fr-CH"/>
        </w:rPr>
        <w:t xml:space="preserve"> groupe</w:t>
      </w:r>
      <w:r w:rsidR="00785086" w:rsidRPr="00731644">
        <w:rPr>
          <w:lang w:val="fr-CH"/>
        </w:rPr>
        <w:t>s d</w:t>
      </w:r>
      <w:r w:rsidR="00425386" w:rsidRPr="00731644">
        <w:rPr>
          <w:lang w:val="fr-CH"/>
        </w:rPr>
        <w:t>’</w:t>
      </w:r>
      <w:r w:rsidR="00785086" w:rsidRPr="00731644">
        <w:rPr>
          <w:lang w:val="fr-CH"/>
        </w:rPr>
        <w:t>âge les plus fortement frappés par le chômage étaient ceux des</w:t>
      </w:r>
      <w:r w:rsidR="00F93E9D" w:rsidRPr="00731644">
        <w:rPr>
          <w:lang w:val="fr-CH"/>
        </w:rPr>
        <w:t xml:space="preserve"> 15-24</w:t>
      </w:r>
      <w:r w:rsidR="00976D48">
        <w:rPr>
          <w:lang w:val="fr-CH"/>
        </w:rPr>
        <w:t> ans</w:t>
      </w:r>
      <w:r w:rsidR="00F93E9D" w:rsidRPr="00731644">
        <w:rPr>
          <w:lang w:val="fr-CH"/>
        </w:rPr>
        <w:t xml:space="preserve"> et des plus de 55</w:t>
      </w:r>
      <w:r w:rsidR="00976D48">
        <w:rPr>
          <w:lang w:val="fr-CH"/>
        </w:rPr>
        <w:t> ans</w:t>
      </w:r>
      <w:r w:rsidR="00F93E9D" w:rsidRPr="00731644">
        <w:rPr>
          <w:lang w:val="fr-CH"/>
        </w:rPr>
        <w:t xml:space="preserve"> (59</w:t>
      </w:r>
      <w:r w:rsidR="006443F6" w:rsidRPr="00731644">
        <w:rPr>
          <w:lang w:val="fr-CH"/>
        </w:rPr>
        <w:t>%</w:t>
      </w:r>
      <w:r w:rsidR="00F93E9D" w:rsidRPr="00731644">
        <w:rPr>
          <w:lang w:val="fr-CH"/>
        </w:rPr>
        <w:t xml:space="preserve"> et 58</w:t>
      </w:r>
      <w:r w:rsidR="006443F6" w:rsidRPr="00731644">
        <w:rPr>
          <w:lang w:val="fr-CH"/>
        </w:rPr>
        <w:t>%</w:t>
      </w:r>
      <w:r w:rsidR="00F93E9D" w:rsidRPr="00731644">
        <w:rPr>
          <w:lang w:val="fr-CH"/>
        </w:rPr>
        <w:t>, respectivement)</w:t>
      </w:r>
      <w:r w:rsidR="004C7BF6" w:rsidRPr="00731644">
        <w:rPr>
          <w:lang w:val="fr-CH"/>
        </w:rPr>
        <w:t xml:space="preserve">. </w:t>
      </w:r>
      <w:r w:rsidR="00F93E9D" w:rsidRPr="00731644">
        <w:rPr>
          <w:lang w:val="fr-CH"/>
        </w:rPr>
        <w:t>Quelque</w:t>
      </w:r>
      <w:r w:rsidR="004C7BF6" w:rsidRPr="00731644">
        <w:rPr>
          <w:lang w:val="fr-CH"/>
        </w:rPr>
        <w:t xml:space="preserve"> 60</w:t>
      </w:r>
      <w:r w:rsidR="006443F6" w:rsidRPr="00731644">
        <w:rPr>
          <w:lang w:val="fr-CH"/>
        </w:rPr>
        <w:t>%</w:t>
      </w:r>
      <w:r w:rsidR="00F93E9D" w:rsidRPr="00731644">
        <w:rPr>
          <w:lang w:val="fr-CH"/>
        </w:rPr>
        <w:t xml:space="preserve"> des </w:t>
      </w:r>
      <w:r w:rsidR="004C7BF6" w:rsidRPr="00731644">
        <w:rPr>
          <w:lang w:val="fr-CH"/>
        </w:rPr>
        <w:t>Rom</w:t>
      </w:r>
      <w:r w:rsidR="00D67C65" w:rsidRPr="00731644">
        <w:rPr>
          <w:lang w:val="fr-CH"/>
        </w:rPr>
        <w:t xml:space="preserve">s </w:t>
      </w:r>
      <w:r w:rsidR="00785086" w:rsidRPr="00731644">
        <w:rPr>
          <w:lang w:val="fr-CH"/>
        </w:rPr>
        <w:t>domiciliés au </w:t>
      </w:r>
      <w:r w:rsidR="00D67C65" w:rsidRPr="00731644">
        <w:rPr>
          <w:lang w:val="fr-CH"/>
        </w:rPr>
        <w:t>Monténégro</w:t>
      </w:r>
      <w:r w:rsidR="004C7BF6" w:rsidRPr="00731644">
        <w:rPr>
          <w:lang w:val="fr-CH"/>
        </w:rPr>
        <w:t xml:space="preserve"> </w:t>
      </w:r>
      <w:r w:rsidR="00F93E9D" w:rsidRPr="00731644">
        <w:rPr>
          <w:lang w:val="fr-CH"/>
        </w:rPr>
        <w:t>n</w:t>
      </w:r>
      <w:r w:rsidR="00425386" w:rsidRPr="00731644">
        <w:rPr>
          <w:lang w:val="fr-CH"/>
        </w:rPr>
        <w:t>’</w:t>
      </w:r>
      <w:r w:rsidR="00F93E9D" w:rsidRPr="00731644">
        <w:rPr>
          <w:lang w:val="fr-CH"/>
        </w:rPr>
        <w:t xml:space="preserve">ont jamais travaillé et la part des femmes sans emploi était de </w:t>
      </w:r>
      <w:r w:rsidR="004C7BF6" w:rsidRPr="00731644">
        <w:rPr>
          <w:lang w:val="fr-CH"/>
        </w:rPr>
        <w:t>61</w:t>
      </w:r>
      <w:r w:rsidR="006443F6" w:rsidRPr="00731644">
        <w:rPr>
          <w:lang w:val="fr-CH"/>
        </w:rPr>
        <w:t>%</w:t>
      </w:r>
      <w:r w:rsidR="004C7BF6" w:rsidRPr="00731644">
        <w:rPr>
          <w:lang w:val="fr-CH"/>
        </w:rPr>
        <w:t>.</w:t>
      </w:r>
    </w:p>
    <w:p w:rsidR="009B49D9" w:rsidRPr="00731644" w:rsidRDefault="00304BA7" w:rsidP="004C7BF6">
      <w:pPr>
        <w:pStyle w:val="SingleTxtG"/>
        <w:rPr>
          <w:lang w:val="fr-CH"/>
        </w:rPr>
      </w:pPr>
      <w:r w:rsidRPr="00731644">
        <w:rPr>
          <w:lang w:val="fr-CH"/>
        </w:rPr>
        <w:t>226.</w:t>
      </w:r>
      <w:r w:rsidRPr="00731644">
        <w:rPr>
          <w:lang w:val="fr-CH"/>
        </w:rPr>
        <w:tab/>
      </w:r>
      <w:r w:rsidR="00F93E9D" w:rsidRPr="00731644">
        <w:rPr>
          <w:lang w:val="fr-CH"/>
        </w:rPr>
        <w:t>Appliqué</w:t>
      </w:r>
      <w:r w:rsidR="0075436C" w:rsidRPr="00731644">
        <w:rPr>
          <w:lang w:val="fr-CH"/>
        </w:rPr>
        <w:t xml:space="preserve"> pendant deux mois, le p</w:t>
      </w:r>
      <w:r w:rsidR="00286F92" w:rsidRPr="00731644">
        <w:rPr>
          <w:lang w:val="fr-CH"/>
        </w:rPr>
        <w:t>rogramme</w:t>
      </w:r>
      <w:r w:rsidR="004C7BF6" w:rsidRPr="00731644">
        <w:rPr>
          <w:lang w:val="fr-CH"/>
        </w:rPr>
        <w:t xml:space="preserve"> </w:t>
      </w:r>
      <w:r w:rsidR="0075436C" w:rsidRPr="00731644">
        <w:rPr>
          <w:lang w:val="fr-CH"/>
        </w:rPr>
        <w:t xml:space="preserve">a permis de mieux informer quelque 3000 Roms, </w:t>
      </w:r>
      <w:r w:rsidR="002A5033" w:rsidRPr="00731644">
        <w:rPr>
          <w:lang w:val="fr-CH"/>
        </w:rPr>
        <w:t>Ashkali</w:t>
      </w:r>
      <w:r w:rsidR="0075436C" w:rsidRPr="00731644">
        <w:rPr>
          <w:lang w:val="fr-CH"/>
        </w:rPr>
        <w:t xml:space="preserve"> et </w:t>
      </w:r>
      <w:r w:rsidR="00785086" w:rsidRPr="00731644">
        <w:rPr>
          <w:lang w:val="fr-CH"/>
        </w:rPr>
        <w:t>t</w:t>
      </w:r>
      <w:r w:rsidR="00A95D03" w:rsidRPr="00731644">
        <w:rPr>
          <w:lang w:val="fr-CH"/>
        </w:rPr>
        <w:t>ziganes</w:t>
      </w:r>
      <w:r w:rsidR="0075436C" w:rsidRPr="00731644">
        <w:rPr>
          <w:lang w:val="fr-CH"/>
        </w:rPr>
        <w:t xml:space="preserve"> des mesures de la politique </w:t>
      </w:r>
      <w:r w:rsidR="00785086" w:rsidRPr="00731644">
        <w:rPr>
          <w:lang w:val="fr-CH"/>
        </w:rPr>
        <w:t>dynamique</w:t>
      </w:r>
      <w:r w:rsidR="0075436C" w:rsidRPr="00731644">
        <w:rPr>
          <w:lang w:val="fr-CH"/>
        </w:rPr>
        <w:t xml:space="preserve"> pour l</w:t>
      </w:r>
      <w:r w:rsidR="00425386" w:rsidRPr="00731644">
        <w:rPr>
          <w:lang w:val="fr-CH"/>
        </w:rPr>
        <w:t>’</w:t>
      </w:r>
      <w:r w:rsidR="0075436C" w:rsidRPr="00731644">
        <w:rPr>
          <w:lang w:val="fr-CH"/>
        </w:rPr>
        <w:t>emploi et de l</w:t>
      </w:r>
      <w:r w:rsidR="00425386" w:rsidRPr="00731644">
        <w:rPr>
          <w:lang w:val="fr-CH"/>
        </w:rPr>
        <w:t>’</w:t>
      </w:r>
      <w:r w:rsidR="0075436C" w:rsidRPr="00731644">
        <w:rPr>
          <w:lang w:val="fr-CH"/>
        </w:rPr>
        <w:t>importance de s</w:t>
      </w:r>
      <w:r w:rsidR="00425386" w:rsidRPr="00731644">
        <w:rPr>
          <w:lang w:val="fr-CH"/>
        </w:rPr>
        <w:t>’</w:t>
      </w:r>
      <w:r w:rsidR="0075436C" w:rsidRPr="00731644">
        <w:rPr>
          <w:lang w:val="fr-CH"/>
        </w:rPr>
        <w:t>inscrire à l</w:t>
      </w:r>
      <w:r w:rsidR="00425386" w:rsidRPr="00731644">
        <w:rPr>
          <w:lang w:val="fr-CH"/>
        </w:rPr>
        <w:t>’</w:t>
      </w:r>
      <w:r w:rsidR="0075436C" w:rsidRPr="00731644">
        <w:rPr>
          <w:lang w:val="fr-CH"/>
        </w:rPr>
        <w:t>Agence pour l</w:t>
      </w:r>
      <w:r w:rsidR="00425386" w:rsidRPr="00731644">
        <w:rPr>
          <w:lang w:val="fr-CH"/>
        </w:rPr>
        <w:t>’</w:t>
      </w:r>
      <w:r w:rsidR="0075436C" w:rsidRPr="00731644">
        <w:rPr>
          <w:lang w:val="fr-CH"/>
        </w:rPr>
        <w:t>emploi</w:t>
      </w:r>
      <w:r w:rsidR="00F31DD5" w:rsidRPr="00731644">
        <w:rPr>
          <w:lang w:val="fr-CH"/>
        </w:rPr>
        <w:t>;</w:t>
      </w:r>
      <w:r w:rsidR="00291ECE" w:rsidRPr="00731644">
        <w:rPr>
          <w:lang w:val="fr-CH"/>
        </w:rPr>
        <w:t xml:space="preserve"> il</w:t>
      </w:r>
      <w:r w:rsidR="0075436C" w:rsidRPr="00731644">
        <w:rPr>
          <w:lang w:val="fr-CH"/>
        </w:rPr>
        <w:t xml:space="preserve"> </w:t>
      </w:r>
      <w:r w:rsidR="00291ECE" w:rsidRPr="00731644">
        <w:rPr>
          <w:lang w:val="fr-CH"/>
        </w:rPr>
        <w:t>a débouché sur</w:t>
      </w:r>
      <w:r w:rsidR="0075436C" w:rsidRPr="00731644">
        <w:rPr>
          <w:lang w:val="fr-CH"/>
        </w:rPr>
        <w:t xml:space="preserve"> une augmentation du nombre des Roms, </w:t>
      </w:r>
      <w:r w:rsidR="002A5033" w:rsidRPr="00731644">
        <w:rPr>
          <w:lang w:val="fr-CH"/>
        </w:rPr>
        <w:t>Ashkali</w:t>
      </w:r>
      <w:r w:rsidR="0075436C" w:rsidRPr="00731644">
        <w:rPr>
          <w:lang w:val="fr-CH"/>
        </w:rPr>
        <w:t xml:space="preserve"> et </w:t>
      </w:r>
      <w:r w:rsidR="00785086" w:rsidRPr="00731644">
        <w:rPr>
          <w:lang w:val="fr-CH"/>
        </w:rPr>
        <w:t>t</w:t>
      </w:r>
      <w:r w:rsidR="00A95D03" w:rsidRPr="00731644">
        <w:rPr>
          <w:lang w:val="fr-CH"/>
        </w:rPr>
        <w:t>ziganes</w:t>
      </w:r>
      <w:r w:rsidR="0075436C" w:rsidRPr="00731644">
        <w:rPr>
          <w:lang w:val="fr-CH"/>
        </w:rPr>
        <w:t xml:space="preserve"> </w:t>
      </w:r>
      <w:r w:rsidR="009B49D9" w:rsidRPr="00731644">
        <w:rPr>
          <w:lang w:val="fr-CH"/>
        </w:rPr>
        <w:t xml:space="preserve">effectivement inscrits. Ce travail de recherche a </w:t>
      </w:r>
      <w:r w:rsidR="00F93E9D" w:rsidRPr="00731644">
        <w:rPr>
          <w:lang w:val="fr-CH"/>
        </w:rPr>
        <w:t>produit</w:t>
      </w:r>
      <w:r w:rsidR="009B49D9" w:rsidRPr="00731644">
        <w:rPr>
          <w:lang w:val="fr-CH"/>
        </w:rPr>
        <w:t xml:space="preserve"> la première base de données jamais constituée sur le nombre de</w:t>
      </w:r>
      <w:r w:rsidR="00785086" w:rsidRPr="00731644">
        <w:rPr>
          <w:lang w:val="fr-CH"/>
        </w:rPr>
        <w:t>s</w:t>
      </w:r>
      <w:r w:rsidR="009B49D9" w:rsidRPr="00731644">
        <w:rPr>
          <w:lang w:val="fr-CH"/>
        </w:rPr>
        <w:t xml:space="preserve"> Roms</w:t>
      </w:r>
      <w:r w:rsidR="00F31DD5" w:rsidRPr="00731644">
        <w:rPr>
          <w:lang w:val="fr-CH"/>
        </w:rPr>
        <w:t xml:space="preserve"> </w:t>
      </w:r>
      <w:r w:rsidR="009B49D9" w:rsidRPr="00731644">
        <w:rPr>
          <w:lang w:val="fr-CH"/>
        </w:rPr>
        <w:t>en mesure</w:t>
      </w:r>
      <w:r w:rsidR="00F93E9D" w:rsidRPr="00731644">
        <w:rPr>
          <w:lang w:val="fr-CH"/>
        </w:rPr>
        <w:t xml:space="preserve"> d</w:t>
      </w:r>
      <w:r w:rsidR="009B49D9" w:rsidRPr="00731644">
        <w:rPr>
          <w:lang w:val="fr-CH"/>
        </w:rPr>
        <w:t xml:space="preserve">e travailler, </w:t>
      </w:r>
      <w:r w:rsidR="00785086" w:rsidRPr="00731644">
        <w:rPr>
          <w:lang w:val="fr-CH"/>
        </w:rPr>
        <w:t xml:space="preserve">laquelle </w:t>
      </w:r>
      <w:r w:rsidR="00F93E9D" w:rsidRPr="00731644">
        <w:rPr>
          <w:lang w:val="fr-CH"/>
        </w:rPr>
        <w:t>a servi à sélectionner</w:t>
      </w:r>
      <w:r w:rsidR="009B49D9" w:rsidRPr="00731644">
        <w:rPr>
          <w:lang w:val="fr-CH"/>
        </w:rPr>
        <w:t xml:space="preserve"> les partic</w:t>
      </w:r>
      <w:r w:rsidR="00291ECE" w:rsidRPr="00731644">
        <w:rPr>
          <w:lang w:val="fr-CH"/>
        </w:rPr>
        <w:t>i</w:t>
      </w:r>
      <w:r w:rsidR="009B49D9" w:rsidRPr="00731644">
        <w:rPr>
          <w:lang w:val="fr-CH"/>
        </w:rPr>
        <w:t>pants aux projet</w:t>
      </w:r>
      <w:r w:rsidR="00291ECE" w:rsidRPr="00731644">
        <w:rPr>
          <w:lang w:val="fr-CH"/>
        </w:rPr>
        <w:t>s</w:t>
      </w:r>
      <w:r w:rsidR="009B49D9" w:rsidRPr="00731644">
        <w:rPr>
          <w:lang w:val="fr-CH"/>
        </w:rPr>
        <w:t xml:space="preserve"> qui ont suivi. </w:t>
      </w:r>
    </w:p>
    <w:p w:rsidR="004C7BF6" w:rsidRPr="00731644" w:rsidRDefault="00304BA7" w:rsidP="004C7BF6">
      <w:pPr>
        <w:pStyle w:val="SingleTxtG"/>
        <w:rPr>
          <w:lang w:val="fr-CH"/>
        </w:rPr>
      </w:pPr>
      <w:r w:rsidRPr="00731644">
        <w:rPr>
          <w:bCs/>
          <w:lang w:val="fr-CH"/>
        </w:rPr>
        <w:t>227.</w:t>
      </w:r>
      <w:r w:rsidRPr="00731644">
        <w:rPr>
          <w:b/>
          <w:bCs/>
          <w:lang w:val="fr-CH"/>
        </w:rPr>
        <w:tab/>
      </w:r>
      <w:r w:rsidR="00785086" w:rsidRPr="00731644">
        <w:rPr>
          <w:bCs/>
          <w:lang w:val="fr-CH"/>
        </w:rPr>
        <w:t>Soixante et un adultes (dont 40</w:t>
      </w:r>
      <w:r w:rsidR="006443F6" w:rsidRPr="00731644">
        <w:rPr>
          <w:bCs/>
          <w:lang w:val="fr-CH"/>
        </w:rPr>
        <w:t>%</w:t>
      </w:r>
      <w:r w:rsidR="00785086" w:rsidRPr="00731644">
        <w:rPr>
          <w:bCs/>
          <w:lang w:val="fr-CH"/>
        </w:rPr>
        <w:t xml:space="preserve"> de femmes) </w:t>
      </w:r>
      <w:r w:rsidR="005B67D0" w:rsidRPr="00731644">
        <w:rPr>
          <w:bCs/>
          <w:lang w:val="fr-CH"/>
        </w:rPr>
        <w:t>â</w:t>
      </w:r>
      <w:r w:rsidR="00785086" w:rsidRPr="00731644">
        <w:rPr>
          <w:bCs/>
          <w:lang w:val="fr-CH"/>
        </w:rPr>
        <w:t>gés de 15 à 40</w:t>
      </w:r>
      <w:r w:rsidR="00976D48">
        <w:rPr>
          <w:bCs/>
          <w:lang w:val="fr-CH"/>
        </w:rPr>
        <w:t> ans</w:t>
      </w:r>
      <w:r w:rsidR="00785086" w:rsidRPr="00731644">
        <w:rPr>
          <w:bCs/>
          <w:lang w:val="fr-CH"/>
        </w:rPr>
        <w:t>, de nationalité rom ou tzigane,</w:t>
      </w:r>
      <w:r w:rsidR="00F31DD5" w:rsidRPr="00731644">
        <w:rPr>
          <w:bCs/>
          <w:lang w:val="fr-CH"/>
        </w:rPr>
        <w:t xml:space="preserve"> </w:t>
      </w:r>
      <w:r w:rsidR="00785086" w:rsidRPr="00731644">
        <w:rPr>
          <w:bCs/>
          <w:lang w:val="fr-CH"/>
        </w:rPr>
        <w:t>des villes de Podgorica et de</w:t>
      </w:r>
      <w:r w:rsidR="00F31DD5" w:rsidRPr="00731644">
        <w:rPr>
          <w:bCs/>
          <w:lang w:val="fr-CH"/>
        </w:rPr>
        <w:t xml:space="preserve"> </w:t>
      </w:r>
      <w:r w:rsidR="00785086" w:rsidRPr="00731644">
        <w:rPr>
          <w:bCs/>
          <w:lang w:val="fr-CH"/>
        </w:rPr>
        <w:t>Niksic ont participé pendant 18 mois au</w:t>
      </w:r>
      <w:r w:rsidR="009B49D9" w:rsidRPr="00731644">
        <w:rPr>
          <w:bCs/>
          <w:lang w:val="fr-CH"/>
        </w:rPr>
        <w:t xml:space="preserve"> projet</w:t>
      </w:r>
      <w:r w:rsidR="004C7BF6" w:rsidRPr="00731644">
        <w:rPr>
          <w:bCs/>
          <w:lang w:val="fr-CH"/>
        </w:rPr>
        <w:t xml:space="preserve"> </w:t>
      </w:r>
      <w:r w:rsidR="002061AB">
        <w:rPr>
          <w:bCs/>
          <w:lang w:val="fr-CH"/>
        </w:rPr>
        <w:t>«</w:t>
      </w:r>
      <w:r w:rsidR="009B49D9" w:rsidRPr="00731644">
        <w:rPr>
          <w:bCs/>
          <w:lang w:val="fr-CH"/>
        </w:rPr>
        <w:t>Une s</w:t>
      </w:r>
      <w:r w:rsidR="004C7BF6" w:rsidRPr="00731644">
        <w:rPr>
          <w:bCs/>
          <w:lang w:val="fr-CH"/>
        </w:rPr>
        <w:t>econd</w:t>
      </w:r>
      <w:r w:rsidR="009B49D9" w:rsidRPr="00731644">
        <w:rPr>
          <w:bCs/>
          <w:lang w:val="fr-CH"/>
        </w:rPr>
        <w:t>e</w:t>
      </w:r>
      <w:r w:rsidR="004C7BF6" w:rsidRPr="00731644">
        <w:rPr>
          <w:bCs/>
          <w:lang w:val="fr-CH"/>
        </w:rPr>
        <w:t xml:space="preserve"> </w:t>
      </w:r>
      <w:r w:rsidR="009B49D9" w:rsidRPr="00731644">
        <w:rPr>
          <w:bCs/>
          <w:lang w:val="fr-CH"/>
        </w:rPr>
        <w:t>c</w:t>
      </w:r>
      <w:r w:rsidR="004C7BF6" w:rsidRPr="00731644">
        <w:rPr>
          <w:bCs/>
          <w:lang w:val="fr-CH"/>
        </w:rPr>
        <w:t>hance</w:t>
      </w:r>
      <w:r w:rsidR="002061AB">
        <w:rPr>
          <w:bCs/>
          <w:lang w:val="fr-CH"/>
        </w:rPr>
        <w:t>»</w:t>
      </w:r>
      <w:r w:rsidR="00785086" w:rsidRPr="00731644">
        <w:rPr>
          <w:bCs/>
          <w:lang w:val="fr-CH"/>
        </w:rPr>
        <w:t>, qui</w:t>
      </w:r>
      <w:r w:rsidR="004C7BF6" w:rsidRPr="00731644">
        <w:rPr>
          <w:bCs/>
          <w:lang w:val="fr-CH"/>
        </w:rPr>
        <w:t xml:space="preserve"> </w:t>
      </w:r>
      <w:r w:rsidR="00D67C65" w:rsidRPr="00731644">
        <w:rPr>
          <w:bCs/>
          <w:lang w:val="fr-CH"/>
        </w:rPr>
        <w:t>vise à l</w:t>
      </w:r>
      <w:r w:rsidR="00425386" w:rsidRPr="00731644">
        <w:rPr>
          <w:bCs/>
          <w:lang w:val="fr-CH"/>
        </w:rPr>
        <w:t>’’</w:t>
      </w:r>
      <w:r w:rsidR="009B49D9" w:rsidRPr="00731644">
        <w:rPr>
          <w:bCs/>
          <w:lang w:val="fr-CH"/>
        </w:rPr>
        <w:t>intégration par l</w:t>
      </w:r>
      <w:r w:rsidR="00425386" w:rsidRPr="00731644">
        <w:rPr>
          <w:bCs/>
          <w:lang w:val="fr-CH"/>
        </w:rPr>
        <w:t>’</w:t>
      </w:r>
      <w:r w:rsidR="009B49D9" w:rsidRPr="00731644">
        <w:rPr>
          <w:bCs/>
          <w:lang w:val="fr-CH"/>
        </w:rPr>
        <w:t>alphabétisation et la formation professionnelle</w:t>
      </w:r>
      <w:r w:rsidR="00D67C65" w:rsidRPr="00731644">
        <w:rPr>
          <w:bCs/>
          <w:lang w:val="fr-CH"/>
        </w:rPr>
        <w:t xml:space="preserve">. </w:t>
      </w:r>
      <w:r w:rsidR="00BD42C9" w:rsidRPr="00731644">
        <w:rPr>
          <w:bCs/>
          <w:lang w:val="fr-CH"/>
        </w:rPr>
        <w:t>Les participants ont</w:t>
      </w:r>
      <w:r w:rsidR="00F31DD5" w:rsidRPr="00731644">
        <w:rPr>
          <w:bCs/>
          <w:lang w:val="fr-CH"/>
        </w:rPr>
        <w:t xml:space="preserve"> </w:t>
      </w:r>
      <w:r w:rsidR="00E21FD5" w:rsidRPr="00731644">
        <w:rPr>
          <w:bCs/>
          <w:lang w:val="fr-CH"/>
        </w:rPr>
        <w:t>termin</w:t>
      </w:r>
      <w:r w:rsidR="00BD42C9" w:rsidRPr="00731644">
        <w:rPr>
          <w:bCs/>
          <w:lang w:val="fr-CH"/>
        </w:rPr>
        <w:t>é le programme d</w:t>
      </w:r>
      <w:r w:rsidR="00425386" w:rsidRPr="00731644">
        <w:rPr>
          <w:bCs/>
          <w:lang w:val="fr-CH"/>
        </w:rPr>
        <w:t>’</w:t>
      </w:r>
      <w:r w:rsidR="00BD42C9" w:rsidRPr="00731644">
        <w:rPr>
          <w:bCs/>
          <w:lang w:val="fr-CH"/>
        </w:rPr>
        <w:t>alphabétisation fonctionnelle et réussi l</w:t>
      </w:r>
      <w:r w:rsidR="00425386" w:rsidRPr="00731644">
        <w:rPr>
          <w:bCs/>
          <w:lang w:val="fr-CH"/>
        </w:rPr>
        <w:t>’</w:t>
      </w:r>
      <w:r w:rsidR="00BD42C9" w:rsidRPr="00731644">
        <w:rPr>
          <w:bCs/>
          <w:lang w:val="fr-CH"/>
        </w:rPr>
        <w:t xml:space="preserve">examen final, après quoi ils ont suivi une formation professionnelle menant aux métiers de la </w:t>
      </w:r>
      <w:r w:rsidR="004C7BF6" w:rsidRPr="00731644">
        <w:rPr>
          <w:bCs/>
          <w:lang w:val="fr-CH"/>
        </w:rPr>
        <w:t xml:space="preserve">construction, </w:t>
      </w:r>
      <w:r w:rsidR="00BD42C9" w:rsidRPr="00731644">
        <w:rPr>
          <w:bCs/>
          <w:lang w:val="fr-CH"/>
        </w:rPr>
        <w:t>de la restauration et des ser</w:t>
      </w:r>
      <w:r w:rsidR="004C7BF6" w:rsidRPr="00731644">
        <w:rPr>
          <w:bCs/>
          <w:lang w:val="fr-CH"/>
        </w:rPr>
        <w:t>vices</w:t>
      </w:r>
      <w:r w:rsidR="00BD42C9" w:rsidRPr="00731644">
        <w:rPr>
          <w:bCs/>
          <w:lang w:val="fr-CH"/>
        </w:rPr>
        <w:t xml:space="preserve"> à la personne</w:t>
      </w:r>
      <w:r w:rsidR="004C7BF6" w:rsidRPr="00731644">
        <w:rPr>
          <w:bCs/>
          <w:lang w:val="fr-CH"/>
        </w:rPr>
        <w:t>.</w:t>
      </w:r>
      <w:r w:rsidR="00F31DD5" w:rsidRPr="00731644">
        <w:rPr>
          <w:bCs/>
          <w:lang w:val="fr-CH"/>
        </w:rPr>
        <w:t xml:space="preserve"> </w:t>
      </w:r>
      <w:r w:rsidR="00BD42C9" w:rsidRPr="00731644">
        <w:rPr>
          <w:bCs/>
          <w:lang w:val="fr-CH"/>
        </w:rPr>
        <w:t>Ils ont pour la plupart acquis une connaissance élémentaire de l</w:t>
      </w:r>
      <w:r w:rsidR="00425386" w:rsidRPr="00731644">
        <w:rPr>
          <w:bCs/>
          <w:lang w:val="fr-CH"/>
        </w:rPr>
        <w:t>’</w:t>
      </w:r>
      <w:r w:rsidR="00BD42C9" w:rsidRPr="00731644">
        <w:rPr>
          <w:bCs/>
          <w:lang w:val="fr-CH"/>
        </w:rPr>
        <w:t>informatique et obtenu le permis de conduire les véhicules de la catégorie B</w:t>
      </w:r>
      <w:r w:rsidR="004C7BF6" w:rsidRPr="00731644">
        <w:rPr>
          <w:lang w:val="fr-CH"/>
        </w:rPr>
        <w:t>.</w:t>
      </w:r>
    </w:p>
    <w:p w:rsidR="004C7BF6" w:rsidRPr="00731644" w:rsidRDefault="00304BA7" w:rsidP="004C7BF6">
      <w:pPr>
        <w:pStyle w:val="SingleTxtG"/>
        <w:rPr>
          <w:lang w:val="fr-CH"/>
        </w:rPr>
      </w:pPr>
      <w:r w:rsidRPr="00731644">
        <w:rPr>
          <w:lang w:val="fr-CH"/>
        </w:rPr>
        <w:t>228.</w:t>
      </w:r>
      <w:r w:rsidRPr="00731644">
        <w:rPr>
          <w:lang w:val="fr-CH"/>
        </w:rPr>
        <w:tab/>
      </w:r>
      <w:r w:rsidR="00BD42C9" w:rsidRPr="00731644">
        <w:rPr>
          <w:lang w:val="fr-CH"/>
        </w:rPr>
        <w:t xml:space="preserve">Le projet </w:t>
      </w:r>
      <w:r w:rsidR="00D67C65" w:rsidRPr="00731644">
        <w:rPr>
          <w:lang w:val="fr-CH"/>
        </w:rPr>
        <w:t>a été</w:t>
      </w:r>
      <w:r w:rsidR="00BD42C9" w:rsidRPr="00731644">
        <w:rPr>
          <w:lang w:val="fr-CH"/>
        </w:rPr>
        <w:t xml:space="preserve"> </w:t>
      </w:r>
      <w:r w:rsidR="00961B56" w:rsidRPr="00731644">
        <w:rPr>
          <w:lang w:val="fr-CH"/>
        </w:rPr>
        <w:t>exécuté</w:t>
      </w:r>
      <w:r w:rsidR="00BD42C9" w:rsidRPr="00731644">
        <w:rPr>
          <w:lang w:val="fr-CH"/>
        </w:rPr>
        <w:t xml:space="preserve"> conjointement par la </w:t>
      </w:r>
      <w:r w:rsidR="00961B56" w:rsidRPr="00731644">
        <w:rPr>
          <w:lang w:val="fr-CH"/>
        </w:rPr>
        <w:t>F</w:t>
      </w:r>
      <w:r w:rsidR="00BD42C9" w:rsidRPr="00731644">
        <w:rPr>
          <w:lang w:val="fr-CH"/>
        </w:rPr>
        <w:t xml:space="preserve">ondation </w:t>
      </w:r>
      <w:r w:rsidR="00961B56" w:rsidRPr="00731644">
        <w:rPr>
          <w:lang w:val="fr-CH"/>
        </w:rPr>
        <w:t>pour l</w:t>
      </w:r>
      <w:r w:rsidR="00425386" w:rsidRPr="00731644">
        <w:rPr>
          <w:lang w:val="fr-CH"/>
        </w:rPr>
        <w:t>’</w:t>
      </w:r>
      <w:r w:rsidR="00961B56" w:rsidRPr="00731644">
        <w:rPr>
          <w:lang w:val="fr-CH"/>
        </w:rPr>
        <w:t>attribution de bourses aux Roms, l</w:t>
      </w:r>
      <w:r w:rsidR="00425386" w:rsidRPr="00731644">
        <w:rPr>
          <w:lang w:val="fr-CH"/>
        </w:rPr>
        <w:t>’</w:t>
      </w:r>
      <w:r w:rsidR="00961B56" w:rsidRPr="00731644">
        <w:rPr>
          <w:lang w:val="fr-CH"/>
        </w:rPr>
        <w:t>Agence pour l</w:t>
      </w:r>
      <w:r w:rsidR="00425386" w:rsidRPr="00731644">
        <w:rPr>
          <w:lang w:val="fr-CH"/>
        </w:rPr>
        <w:t>’</w:t>
      </w:r>
      <w:r w:rsidR="00961B56" w:rsidRPr="00731644">
        <w:rPr>
          <w:lang w:val="fr-CH"/>
        </w:rPr>
        <w:t xml:space="preserve">emploi, le </w:t>
      </w:r>
      <w:r w:rsidR="00F70EF9" w:rsidRPr="00731644">
        <w:rPr>
          <w:lang w:val="fr-CH"/>
        </w:rPr>
        <w:t>C</w:t>
      </w:r>
      <w:r w:rsidR="00961B56" w:rsidRPr="00731644">
        <w:rPr>
          <w:lang w:val="fr-CH"/>
        </w:rPr>
        <w:t xml:space="preserve">entre </w:t>
      </w:r>
      <w:r w:rsidR="00596CE6" w:rsidRPr="00731644">
        <w:rPr>
          <w:lang w:val="fr-CH"/>
        </w:rPr>
        <w:t>d</w:t>
      </w:r>
      <w:r w:rsidR="00425386" w:rsidRPr="00731644">
        <w:rPr>
          <w:lang w:val="fr-CH"/>
        </w:rPr>
        <w:t>’</w:t>
      </w:r>
      <w:r w:rsidR="00596CE6" w:rsidRPr="00731644">
        <w:rPr>
          <w:lang w:val="fr-CH"/>
        </w:rPr>
        <w:t>enseignement</w:t>
      </w:r>
      <w:r w:rsidR="00961B56" w:rsidRPr="00731644">
        <w:rPr>
          <w:lang w:val="fr-CH"/>
        </w:rPr>
        <w:t xml:space="preserve"> professionnel et l</w:t>
      </w:r>
      <w:r w:rsidR="00425386" w:rsidRPr="00731644">
        <w:rPr>
          <w:lang w:val="fr-CH"/>
        </w:rPr>
        <w:t>’</w:t>
      </w:r>
      <w:r w:rsidR="00961B56" w:rsidRPr="00731644">
        <w:rPr>
          <w:lang w:val="fr-CH"/>
        </w:rPr>
        <w:t>organisation internationale allemande pour l</w:t>
      </w:r>
      <w:r w:rsidR="00425386" w:rsidRPr="00731644">
        <w:rPr>
          <w:lang w:val="fr-CH"/>
        </w:rPr>
        <w:t>’</w:t>
      </w:r>
      <w:r w:rsidR="00961B56" w:rsidRPr="00731644">
        <w:rPr>
          <w:lang w:val="fr-CH"/>
        </w:rPr>
        <w:t xml:space="preserve">éducation des adultes </w:t>
      </w:r>
      <w:r w:rsidR="002061AB">
        <w:rPr>
          <w:lang w:val="fr-CH"/>
        </w:rPr>
        <w:t>«</w:t>
      </w:r>
      <w:r w:rsidR="004C7BF6" w:rsidRPr="00731644">
        <w:rPr>
          <w:lang w:val="fr-CH"/>
        </w:rPr>
        <w:t>DVV International.</w:t>
      </w:r>
      <w:r w:rsidR="002061AB">
        <w:rPr>
          <w:lang w:val="fr-CH"/>
        </w:rPr>
        <w:t>»</w:t>
      </w:r>
      <w:r w:rsidR="004C7BF6" w:rsidRPr="00731644">
        <w:rPr>
          <w:lang w:val="fr-CH"/>
        </w:rPr>
        <w:t xml:space="preserve"> </w:t>
      </w:r>
      <w:r w:rsidR="00961B56" w:rsidRPr="00731644">
        <w:rPr>
          <w:lang w:val="fr-CH"/>
        </w:rPr>
        <w:t>Il est financé par l</w:t>
      </w:r>
      <w:r w:rsidR="00425386" w:rsidRPr="00731644">
        <w:rPr>
          <w:lang w:val="fr-CH"/>
        </w:rPr>
        <w:t>’</w:t>
      </w:r>
      <w:r w:rsidR="00961B56" w:rsidRPr="00731644">
        <w:rPr>
          <w:lang w:val="fr-CH"/>
        </w:rPr>
        <w:t>Union européenne</w:t>
      </w:r>
      <w:r w:rsidR="00F70EF9" w:rsidRPr="00731644">
        <w:rPr>
          <w:lang w:val="fr-CH"/>
        </w:rPr>
        <w:t>, par l</w:t>
      </w:r>
      <w:r w:rsidR="00425386" w:rsidRPr="00731644">
        <w:rPr>
          <w:lang w:val="fr-CH"/>
        </w:rPr>
        <w:t>’</w:t>
      </w:r>
      <w:r w:rsidR="00F70EF9" w:rsidRPr="00731644">
        <w:rPr>
          <w:lang w:val="fr-CH"/>
        </w:rPr>
        <w:t>intermédiaire de</w:t>
      </w:r>
      <w:r w:rsidR="00961B56" w:rsidRPr="00731644">
        <w:rPr>
          <w:lang w:val="fr-CH"/>
        </w:rPr>
        <w:t xml:space="preserve"> l</w:t>
      </w:r>
      <w:r w:rsidR="00425386" w:rsidRPr="00731644">
        <w:rPr>
          <w:lang w:val="fr-CH"/>
        </w:rPr>
        <w:t>’</w:t>
      </w:r>
      <w:r w:rsidR="00961B56" w:rsidRPr="00731644">
        <w:rPr>
          <w:lang w:val="fr-CH"/>
        </w:rPr>
        <w:t>Agence européenne pour la r</w:t>
      </w:r>
      <w:r w:rsidR="004C7BF6" w:rsidRPr="00731644">
        <w:rPr>
          <w:lang w:val="fr-CH"/>
        </w:rPr>
        <w:t>econstruction.</w:t>
      </w:r>
    </w:p>
    <w:p w:rsidR="004C7BF6" w:rsidRPr="00731644" w:rsidRDefault="00304BA7" w:rsidP="002061AB">
      <w:pPr>
        <w:pStyle w:val="SingleTxtG"/>
        <w:keepNext/>
        <w:rPr>
          <w:bCs/>
          <w:lang w:val="fr-CH"/>
        </w:rPr>
      </w:pPr>
      <w:r w:rsidRPr="00731644">
        <w:rPr>
          <w:bCs/>
          <w:lang w:val="fr-CH"/>
        </w:rPr>
        <w:t>229.</w:t>
      </w:r>
      <w:r w:rsidRPr="00731644">
        <w:rPr>
          <w:bCs/>
          <w:lang w:val="fr-CH"/>
        </w:rPr>
        <w:tab/>
      </w:r>
      <w:r w:rsidR="00D67C65" w:rsidRPr="00731644">
        <w:rPr>
          <w:bCs/>
          <w:lang w:val="fr-CH"/>
        </w:rPr>
        <w:t xml:space="preserve">Il a été </w:t>
      </w:r>
      <w:r w:rsidR="0083174F" w:rsidRPr="00731644">
        <w:rPr>
          <w:bCs/>
          <w:lang w:val="fr-CH"/>
        </w:rPr>
        <w:t>conçu</w:t>
      </w:r>
      <w:r w:rsidR="00D67C65" w:rsidRPr="00731644">
        <w:rPr>
          <w:bCs/>
          <w:lang w:val="fr-CH"/>
        </w:rPr>
        <w:t xml:space="preserve"> comme un travail d</w:t>
      </w:r>
      <w:r w:rsidR="00425386" w:rsidRPr="00731644">
        <w:rPr>
          <w:bCs/>
          <w:lang w:val="fr-CH"/>
        </w:rPr>
        <w:t>’</w:t>
      </w:r>
      <w:r w:rsidR="00D67C65" w:rsidRPr="00731644">
        <w:rPr>
          <w:bCs/>
          <w:lang w:val="fr-CH"/>
        </w:rPr>
        <w:t>intérêt public comportant</w:t>
      </w:r>
      <w:r w:rsidR="00F31DD5" w:rsidRPr="00731644">
        <w:rPr>
          <w:bCs/>
          <w:lang w:val="fr-CH"/>
        </w:rPr>
        <w:t>:</w:t>
      </w:r>
    </w:p>
    <w:p w:rsidR="004C7BF6" w:rsidRPr="00731644" w:rsidRDefault="00A853CA" w:rsidP="006C3DFB">
      <w:pPr>
        <w:pStyle w:val="Bullet1G"/>
        <w:rPr>
          <w:lang w:val="fr-CH"/>
        </w:rPr>
      </w:pPr>
      <w:r w:rsidRPr="00731644">
        <w:rPr>
          <w:lang w:val="fr-CH"/>
        </w:rPr>
        <w:t>Une</w:t>
      </w:r>
      <w:r w:rsidR="00D67C65" w:rsidRPr="00731644">
        <w:rPr>
          <w:lang w:val="fr-CH"/>
        </w:rPr>
        <w:t xml:space="preserve"> </w:t>
      </w:r>
      <w:r w:rsidR="00F70EF9" w:rsidRPr="00731644">
        <w:rPr>
          <w:lang w:val="fr-CH"/>
        </w:rPr>
        <w:t>contribu</w:t>
      </w:r>
      <w:r w:rsidR="004C7BF6" w:rsidRPr="00731644">
        <w:rPr>
          <w:lang w:val="fr-CH"/>
        </w:rPr>
        <w:t xml:space="preserve">tion </w:t>
      </w:r>
      <w:r w:rsidR="00D67C65" w:rsidRPr="00731644">
        <w:rPr>
          <w:lang w:val="fr-CH"/>
        </w:rPr>
        <w:t>à l</w:t>
      </w:r>
      <w:r w:rsidR="00425386" w:rsidRPr="00731644">
        <w:rPr>
          <w:lang w:val="fr-CH"/>
        </w:rPr>
        <w:t>’</w:t>
      </w:r>
      <w:r w:rsidR="004C7BF6" w:rsidRPr="00731644">
        <w:rPr>
          <w:lang w:val="fr-CH"/>
        </w:rPr>
        <w:t xml:space="preserve">identification </w:t>
      </w:r>
      <w:r w:rsidR="00D67C65" w:rsidRPr="00731644">
        <w:rPr>
          <w:lang w:val="fr-CH"/>
        </w:rPr>
        <w:t>de participants au projet parmi les Roms</w:t>
      </w:r>
      <w:r w:rsidR="00F70EF9" w:rsidRPr="00731644">
        <w:rPr>
          <w:lang w:val="fr-CH"/>
        </w:rPr>
        <w:t xml:space="preserve"> faisant</w:t>
      </w:r>
      <w:r w:rsidRPr="00731644">
        <w:rPr>
          <w:lang w:val="fr-CH"/>
        </w:rPr>
        <w:t xml:space="preserve"> partie du groupe cible</w:t>
      </w:r>
      <w:r w:rsidR="002061AB">
        <w:rPr>
          <w:lang w:val="fr-CH"/>
        </w:rPr>
        <w:t>;</w:t>
      </w:r>
    </w:p>
    <w:p w:rsidR="00A853CA" w:rsidRPr="00731644" w:rsidRDefault="00A853CA" w:rsidP="006C3DFB">
      <w:pPr>
        <w:pStyle w:val="Bullet1G"/>
        <w:rPr>
          <w:lang w:val="fr-CH"/>
        </w:rPr>
      </w:pPr>
      <w:r w:rsidRPr="00731644">
        <w:rPr>
          <w:lang w:val="fr-CH"/>
        </w:rPr>
        <w:t>Une par</w:t>
      </w:r>
      <w:r w:rsidR="004C7BF6" w:rsidRPr="00731644">
        <w:rPr>
          <w:lang w:val="fr-CH"/>
        </w:rPr>
        <w:t xml:space="preserve">ticipation </w:t>
      </w:r>
      <w:r w:rsidRPr="00731644">
        <w:rPr>
          <w:lang w:val="fr-CH"/>
        </w:rPr>
        <w:t>à l</w:t>
      </w:r>
      <w:r w:rsidR="00425386" w:rsidRPr="00731644">
        <w:rPr>
          <w:lang w:val="fr-CH"/>
        </w:rPr>
        <w:t>’</w:t>
      </w:r>
      <w:r w:rsidRPr="00731644">
        <w:rPr>
          <w:lang w:val="fr-CH"/>
        </w:rPr>
        <w:t>organisation et au déroulement de séminaires p</w:t>
      </w:r>
      <w:r w:rsidR="00F70EF9" w:rsidRPr="00731644">
        <w:rPr>
          <w:lang w:val="fr-CH"/>
        </w:rPr>
        <w:t>é</w:t>
      </w:r>
      <w:r w:rsidRPr="00731644">
        <w:rPr>
          <w:lang w:val="fr-CH"/>
        </w:rPr>
        <w:t>riodiques et à l</w:t>
      </w:r>
      <w:r w:rsidR="00425386" w:rsidRPr="00731644">
        <w:rPr>
          <w:lang w:val="fr-CH"/>
        </w:rPr>
        <w:t>’</w:t>
      </w:r>
      <w:r w:rsidRPr="00731644">
        <w:rPr>
          <w:lang w:val="fr-CH"/>
        </w:rPr>
        <w:t>évaluation du projet</w:t>
      </w:r>
      <w:r w:rsidR="002061AB">
        <w:rPr>
          <w:lang w:val="fr-CH"/>
        </w:rPr>
        <w:t>;</w:t>
      </w:r>
    </w:p>
    <w:p w:rsidR="00A853CA" w:rsidRPr="00731644" w:rsidRDefault="00A853CA" w:rsidP="006C3DFB">
      <w:pPr>
        <w:pStyle w:val="Bullet1G"/>
        <w:rPr>
          <w:lang w:val="fr-CH"/>
        </w:rPr>
      </w:pPr>
      <w:r w:rsidRPr="00731644">
        <w:rPr>
          <w:lang w:val="fr-CH"/>
        </w:rPr>
        <w:t>La forma</w:t>
      </w:r>
      <w:r w:rsidR="00F70EF9" w:rsidRPr="00731644">
        <w:rPr>
          <w:lang w:val="fr-CH"/>
        </w:rPr>
        <w:t>t</w:t>
      </w:r>
      <w:r w:rsidRPr="00731644">
        <w:rPr>
          <w:lang w:val="fr-CH"/>
        </w:rPr>
        <w:t>ion des participants au travail d</w:t>
      </w:r>
      <w:r w:rsidR="00425386" w:rsidRPr="00731644">
        <w:rPr>
          <w:lang w:val="fr-CH"/>
        </w:rPr>
        <w:t>’</w:t>
      </w:r>
      <w:r w:rsidRPr="00731644">
        <w:rPr>
          <w:lang w:val="fr-CH"/>
        </w:rPr>
        <w:t>intérêt public</w:t>
      </w:r>
      <w:r w:rsidR="002061AB">
        <w:rPr>
          <w:lang w:val="fr-CH"/>
        </w:rPr>
        <w:t>;</w:t>
      </w:r>
      <w:r w:rsidRPr="00731644">
        <w:rPr>
          <w:lang w:val="fr-CH"/>
        </w:rPr>
        <w:t xml:space="preserve"> </w:t>
      </w:r>
    </w:p>
    <w:p w:rsidR="004C7BF6" w:rsidRPr="00731644" w:rsidRDefault="00A853CA" w:rsidP="006C3DFB">
      <w:pPr>
        <w:pStyle w:val="Bullet1G"/>
        <w:rPr>
          <w:lang w:val="fr-CH"/>
        </w:rPr>
      </w:pPr>
      <w:r w:rsidRPr="00731644">
        <w:rPr>
          <w:lang w:val="fr-CH"/>
        </w:rPr>
        <w:t>Le suivi périodique du processus d</w:t>
      </w:r>
      <w:r w:rsidR="00425386" w:rsidRPr="00731644">
        <w:rPr>
          <w:lang w:val="fr-CH"/>
        </w:rPr>
        <w:t>’</w:t>
      </w:r>
      <w:r w:rsidRPr="00731644">
        <w:rPr>
          <w:lang w:val="fr-CH"/>
        </w:rPr>
        <w:t xml:space="preserve">enseignement et de qualification professionnelle. </w:t>
      </w:r>
    </w:p>
    <w:p w:rsidR="004C7BF6" w:rsidRPr="00731644" w:rsidRDefault="00304BA7" w:rsidP="004C7BF6">
      <w:pPr>
        <w:pStyle w:val="SingleTxtG"/>
        <w:rPr>
          <w:bCs/>
          <w:lang w:val="fr-CH"/>
        </w:rPr>
      </w:pPr>
      <w:r w:rsidRPr="00731644">
        <w:rPr>
          <w:lang w:val="fr-CH"/>
        </w:rPr>
        <w:t>230.</w:t>
      </w:r>
      <w:r w:rsidRPr="00731644">
        <w:rPr>
          <w:lang w:val="fr-CH"/>
        </w:rPr>
        <w:tab/>
      </w:r>
      <w:r w:rsidR="00A853CA" w:rsidRPr="00731644">
        <w:rPr>
          <w:lang w:val="fr-CH"/>
        </w:rPr>
        <w:t>La plupart des p</w:t>
      </w:r>
      <w:r w:rsidR="004C7BF6" w:rsidRPr="00731644">
        <w:rPr>
          <w:lang w:val="fr-CH"/>
        </w:rPr>
        <w:t xml:space="preserve">articipants </w:t>
      </w:r>
      <w:r w:rsidR="00A853CA" w:rsidRPr="00731644">
        <w:rPr>
          <w:lang w:val="fr-CH"/>
        </w:rPr>
        <w:t>étaient analphabètes ou avaient fait moins de trois</w:t>
      </w:r>
      <w:r w:rsidR="00976D48">
        <w:rPr>
          <w:lang w:val="fr-CH"/>
        </w:rPr>
        <w:t> ans</w:t>
      </w:r>
      <w:r w:rsidR="00A853CA" w:rsidRPr="00731644">
        <w:rPr>
          <w:lang w:val="fr-CH"/>
        </w:rPr>
        <w:t xml:space="preserve"> de d</w:t>
      </w:r>
      <w:r w:rsidR="00425386" w:rsidRPr="00731644">
        <w:rPr>
          <w:lang w:val="fr-CH"/>
        </w:rPr>
        <w:t>’</w:t>
      </w:r>
      <w:r w:rsidR="00A853CA" w:rsidRPr="00731644">
        <w:rPr>
          <w:lang w:val="fr-CH"/>
        </w:rPr>
        <w:t xml:space="preserve">études primaires. Il y avait parmi eux </w:t>
      </w:r>
      <w:r w:rsidR="00B569C5" w:rsidRPr="00731644">
        <w:rPr>
          <w:lang w:val="fr-CH"/>
        </w:rPr>
        <w:t>des personnes</w:t>
      </w:r>
      <w:r w:rsidR="00A853CA" w:rsidRPr="00731644">
        <w:rPr>
          <w:lang w:val="fr-CH"/>
        </w:rPr>
        <w:t xml:space="preserve"> qui</w:t>
      </w:r>
      <w:r w:rsidR="00F31DD5" w:rsidRPr="00731644">
        <w:rPr>
          <w:lang w:val="fr-CH"/>
        </w:rPr>
        <w:t xml:space="preserve"> </w:t>
      </w:r>
      <w:r w:rsidR="00A853CA" w:rsidRPr="00731644">
        <w:rPr>
          <w:lang w:val="fr-CH"/>
        </w:rPr>
        <w:t>avaient été éloignées de pays de</w:t>
      </w:r>
      <w:r w:rsidR="00F31DD5" w:rsidRPr="00731644">
        <w:rPr>
          <w:lang w:val="fr-CH"/>
        </w:rPr>
        <w:t xml:space="preserve"> </w:t>
      </w:r>
      <w:r w:rsidR="00A853CA" w:rsidRPr="00731644">
        <w:rPr>
          <w:lang w:val="fr-CH"/>
        </w:rPr>
        <w:t>l</w:t>
      </w:r>
      <w:r w:rsidR="00425386" w:rsidRPr="00731644">
        <w:rPr>
          <w:lang w:val="fr-CH"/>
        </w:rPr>
        <w:t>’</w:t>
      </w:r>
      <w:r w:rsidR="00A853CA" w:rsidRPr="00731644">
        <w:rPr>
          <w:lang w:val="fr-CH"/>
        </w:rPr>
        <w:t xml:space="preserve">Union européenne. </w:t>
      </w:r>
      <w:r w:rsidR="00AE417C" w:rsidRPr="00731644">
        <w:rPr>
          <w:lang w:val="fr-CH"/>
        </w:rPr>
        <w:t>Ceux d</w:t>
      </w:r>
      <w:r w:rsidR="00425386" w:rsidRPr="00731644">
        <w:rPr>
          <w:lang w:val="fr-CH"/>
        </w:rPr>
        <w:t>’</w:t>
      </w:r>
      <w:r w:rsidR="00AE417C" w:rsidRPr="00731644">
        <w:rPr>
          <w:lang w:val="fr-CH"/>
        </w:rPr>
        <w:t xml:space="preserve">entre eux qui </w:t>
      </w:r>
      <w:r w:rsidR="00D83368" w:rsidRPr="00731644">
        <w:rPr>
          <w:lang w:val="fr-CH"/>
        </w:rPr>
        <w:t>sont venus</w:t>
      </w:r>
      <w:r w:rsidR="00766C92" w:rsidRPr="00731644">
        <w:rPr>
          <w:lang w:val="fr-CH"/>
        </w:rPr>
        <w:t xml:space="preserve"> assidûment aux cours</w:t>
      </w:r>
      <w:r w:rsidR="00AE417C" w:rsidRPr="00731644">
        <w:rPr>
          <w:lang w:val="fr-CH"/>
        </w:rPr>
        <w:t xml:space="preserve"> </w:t>
      </w:r>
      <w:r w:rsidR="00A853CA" w:rsidRPr="00731644">
        <w:rPr>
          <w:lang w:val="fr-CH"/>
        </w:rPr>
        <w:t>ont bénéficié d</w:t>
      </w:r>
      <w:r w:rsidR="00425386" w:rsidRPr="00731644">
        <w:rPr>
          <w:lang w:val="fr-CH"/>
        </w:rPr>
        <w:t>’</w:t>
      </w:r>
      <w:r w:rsidR="00A853CA" w:rsidRPr="00731644">
        <w:rPr>
          <w:lang w:val="fr-CH"/>
        </w:rPr>
        <w:t>une bourse mensuelle</w:t>
      </w:r>
      <w:r w:rsidR="00AE417C" w:rsidRPr="00731644">
        <w:rPr>
          <w:lang w:val="fr-CH"/>
        </w:rPr>
        <w:t xml:space="preserve"> </w:t>
      </w:r>
      <w:r w:rsidR="00A853CA" w:rsidRPr="00731644">
        <w:rPr>
          <w:lang w:val="fr-CH"/>
        </w:rPr>
        <w:t>à titre d</w:t>
      </w:r>
      <w:r w:rsidR="00425386" w:rsidRPr="00731644">
        <w:rPr>
          <w:lang w:val="fr-CH"/>
        </w:rPr>
        <w:t>’</w:t>
      </w:r>
      <w:r w:rsidR="00A853CA" w:rsidRPr="00731644">
        <w:rPr>
          <w:lang w:val="fr-CH"/>
        </w:rPr>
        <w:t>incitation et ont pu</w:t>
      </w:r>
      <w:r w:rsidR="00AE417C" w:rsidRPr="00731644">
        <w:rPr>
          <w:lang w:val="fr-CH"/>
        </w:rPr>
        <w:t>,</w:t>
      </w:r>
      <w:r w:rsidR="00A853CA" w:rsidRPr="00731644">
        <w:rPr>
          <w:lang w:val="fr-CH"/>
        </w:rPr>
        <w:t xml:space="preserve"> </w:t>
      </w:r>
      <w:r w:rsidR="00AE417C" w:rsidRPr="00731644">
        <w:rPr>
          <w:lang w:val="fr-CH"/>
        </w:rPr>
        <w:t>gratuitement, se préparer à l</w:t>
      </w:r>
      <w:r w:rsidR="00425386" w:rsidRPr="00731644">
        <w:rPr>
          <w:lang w:val="fr-CH"/>
        </w:rPr>
        <w:t>’</w:t>
      </w:r>
      <w:r w:rsidR="00AE417C" w:rsidRPr="00731644">
        <w:rPr>
          <w:lang w:val="fr-CH"/>
        </w:rPr>
        <w:t>examen du permis de conduire</w:t>
      </w:r>
      <w:r w:rsidR="00A853CA" w:rsidRPr="00731644">
        <w:rPr>
          <w:lang w:val="fr-CH"/>
        </w:rPr>
        <w:t xml:space="preserve"> </w:t>
      </w:r>
      <w:r w:rsidR="00AE417C" w:rsidRPr="00731644">
        <w:rPr>
          <w:lang w:val="fr-CH"/>
        </w:rPr>
        <w:t>et suivre un cours d</w:t>
      </w:r>
      <w:r w:rsidR="00425386" w:rsidRPr="00731644">
        <w:rPr>
          <w:lang w:val="fr-CH"/>
        </w:rPr>
        <w:t>’</w:t>
      </w:r>
      <w:r w:rsidR="00AE417C" w:rsidRPr="00731644">
        <w:rPr>
          <w:lang w:val="fr-CH"/>
        </w:rPr>
        <w:t>initiation à l</w:t>
      </w:r>
      <w:r w:rsidR="00425386" w:rsidRPr="00731644">
        <w:rPr>
          <w:lang w:val="fr-CH"/>
        </w:rPr>
        <w:t>’</w:t>
      </w:r>
      <w:r w:rsidR="00AE417C" w:rsidRPr="00731644">
        <w:rPr>
          <w:lang w:val="fr-CH"/>
        </w:rPr>
        <w:t>informatique. Le projet a commencé le 1</w:t>
      </w:r>
      <w:r w:rsidR="00AE417C" w:rsidRPr="00731644">
        <w:rPr>
          <w:vertAlign w:val="superscript"/>
          <w:lang w:val="fr-CH"/>
        </w:rPr>
        <w:t>er</w:t>
      </w:r>
      <w:r w:rsidR="00AE417C" w:rsidRPr="00731644">
        <w:rPr>
          <w:lang w:val="fr-CH"/>
        </w:rPr>
        <w:t xml:space="preserve"> mars </w:t>
      </w:r>
      <w:r w:rsidR="004C7BF6" w:rsidRPr="00731644">
        <w:rPr>
          <w:lang w:val="fr-CH"/>
        </w:rPr>
        <w:t xml:space="preserve">2007 </w:t>
      </w:r>
      <w:r w:rsidR="00F70EF9" w:rsidRPr="00731644">
        <w:rPr>
          <w:lang w:val="fr-CH"/>
        </w:rPr>
        <w:t>par la formation</w:t>
      </w:r>
      <w:r w:rsidR="00AE417C" w:rsidRPr="00731644">
        <w:rPr>
          <w:lang w:val="fr-CH"/>
        </w:rPr>
        <w:t xml:space="preserve">, parmi les Roms, </w:t>
      </w:r>
      <w:r w:rsidR="00F70EF9" w:rsidRPr="00731644">
        <w:rPr>
          <w:lang w:val="fr-CH"/>
        </w:rPr>
        <w:t xml:space="preserve">de </w:t>
      </w:r>
      <w:r w:rsidR="004C7BF6" w:rsidRPr="00731644">
        <w:rPr>
          <w:lang w:val="fr-CH"/>
        </w:rPr>
        <w:t xml:space="preserve">12 assistants </w:t>
      </w:r>
      <w:r w:rsidR="00AE417C" w:rsidRPr="00731644">
        <w:rPr>
          <w:lang w:val="fr-CH"/>
        </w:rPr>
        <w:t xml:space="preserve">ayant </w:t>
      </w:r>
      <w:r w:rsidR="00766C92" w:rsidRPr="00731644">
        <w:rPr>
          <w:lang w:val="fr-CH"/>
        </w:rPr>
        <w:t>acquis</w:t>
      </w:r>
      <w:r w:rsidR="00AE417C" w:rsidRPr="00731644">
        <w:rPr>
          <w:lang w:val="fr-CH"/>
        </w:rPr>
        <w:t xml:space="preserve"> les troisième et quatrième niveaux de </w:t>
      </w:r>
      <w:r w:rsidR="004C7BF6" w:rsidRPr="00731644">
        <w:rPr>
          <w:lang w:val="fr-CH"/>
        </w:rPr>
        <w:t>qualification</w:t>
      </w:r>
      <w:r w:rsidR="004C7BF6" w:rsidRPr="00731644">
        <w:rPr>
          <w:bCs/>
          <w:lang w:val="fr-CH"/>
        </w:rPr>
        <w:t>.</w:t>
      </w:r>
    </w:p>
    <w:p w:rsidR="004C7BF6" w:rsidRPr="00731644" w:rsidRDefault="00304BA7" w:rsidP="004C7BF6">
      <w:pPr>
        <w:pStyle w:val="SingleTxtG"/>
        <w:rPr>
          <w:lang w:val="fr-CH"/>
        </w:rPr>
      </w:pPr>
      <w:r w:rsidRPr="00731644">
        <w:rPr>
          <w:lang w:val="fr-CH"/>
        </w:rPr>
        <w:t>231.</w:t>
      </w:r>
      <w:r w:rsidRPr="00731644">
        <w:rPr>
          <w:lang w:val="fr-CH"/>
        </w:rPr>
        <w:tab/>
      </w:r>
      <w:r w:rsidR="00B72693" w:rsidRPr="00731644">
        <w:rPr>
          <w:lang w:val="fr-CH"/>
        </w:rPr>
        <w:t>C</w:t>
      </w:r>
      <w:r w:rsidR="00F47F4B" w:rsidRPr="00731644">
        <w:rPr>
          <w:lang w:val="fr-CH"/>
        </w:rPr>
        <w:t xml:space="preserve">onstitué de </w:t>
      </w:r>
      <w:r w:rsidR="004C7BF6" w:rsidRPr="00731644">
        <w:rPr>
          <w:lang w:val="fr-CH"/>
        </w:rPr>
        <w:t xml:space="preserve">320 </w:t>
      </w:r>
      <w:r w:rsidR="00F47F4B" w:rsidRPr="00731644">
        <w:rPr>
          <w:lang w:val="fr-CH"/>
        </w:rPr>
        <w:t>cour</w:t>
      </w:r>
      <w:r w:rsidR="004C7BF6" w:rsidRPr="00731644">
        <w:rPr>
          <w:lang w:val="fr-CH"/>
        </w:rPr>
        <w:t xml:space="preserve">s, </w:t>
      </w:r>
      <w:r w:rsidR="00B72693" w:rsidRPr="00731644">
        <w:rPr>
          <w:lang w:val="fr-CH"/>
        </w:rPr>
        <w:t>le programme d</w:t>
      </w:r>
      <w:r w:rsidR="00425386" w:rsidRPr="00731644">
        <w:rPr>
          <w:lang w:val="fr-CH"/>
        </w:rPr>
        <w:t>’</w:t>
      </w:r>
      <w:r w:rsidR="00B72693" w:rsidRPr="00731644">
        <w:rPr>
          <w:lang w:val="fr-CH"/>
        </w:rPr>
        <w:t xml:space="preserve">alphabétisation fonctionnelle </w:t>
      </w:r>
      <w:r w:rsidR="00F47F4B" w:rsidRPr="00731644">
        <w:rPr>
          <w:lang w:val="fr-CH"/>
        </w:rPr>
        <w:t>compren</w:t>
      </w:r>
      <w:r w:rsidR="00B72693" w:rsidRPr="00731644">
        <w:rPr>
          <w:lang w:val="fr-CH"/>
        </w:rPr>
        <w:t>ait</w:t>
      </w:r>
      <w:r w:rsidR="00F47F4B" w:rsidRPr="00731644">
        <w:rPr>
          <w:lang w:val="fr-CH"/>
        </w:rPr>
        <w:t>, outre l</w:t>
      </w:r>
      <w:r w:rsidR="00425386" w:rsidRPr="00731644">
        <w:rPr>
          <w:lang w:val="fr-CH"/>
        </w:rPr>
        <w:t>’</w:t>
      </w:r>
      <w:r w:rsidR="00F47F4B" w:rsidRPr="00731644">
        <w:rPr>
          <w:lang w:val="fr-CH"/>
        </w:rPr>
        <w:t>enseignement des rudiments de la lecture, de l</w:t>
      </w:r>
      <w:r w:rsidR="00425386" w:rsidRPr="00731644">
        <w:rPr>
          <w:lang w:val="fr-CH"/>
        </w:rPr>
        <w:t>’</w:t>
      </w:r>
      <w:r w:rsidR="00F47F4B" w:rsidRPr="00731644">
        <w:rPr>
          <w:lang w:val="fr-CH"/>
        </w:rPr>
        <w:t>écriture et du calcul, une préparation élémentaire à l</w:t>
      </w:r>
      <w:r w:rsidR="00425386" w:rsidRPr="00731644">
        <w:rPr>
          <w:lang w:val="fr-CH"/>
        </w:rPr>
        <w:t>’</w:t>
      </w:r>
      <w:r w:rsidR="00F47F4B" w:rsidRPr="00731644">
        <w:rPr>
          <w:lang w:val="fr-CH"/>
        </w:rPr>
        <w:t xml:space="preserve">exercice des </w:t>
      </w:r>
      <w:r w:rsidR="0083174F" w:rsidRPr="00731644">
        <w:rPr>
          <w:lang w:val="fr-CH"/>
        </w:rPr>
        <w:t>responsabilités</w:t>
      </w:r>
      <w:r w:rsidR="00F47F4B" w:rsidRPr="00731644">
        <w:rPr>
          <w:lang w:val="fr-CH"/>
        </w:rPr>
        <w:t xml:space="preserve"> parentales et à la vie de famille – soins de santé de base, protection de l</w:t>
      </w:r>
      <w:r w:rsidR="00425386" w:rsidRPr="00731644">
        <w:rPr>
          <w:lang w:val="fr-CH"/>
        </w:rPr>
        <w:t>’</w:t>
      </w:r>
      <w:r w:rsidR="00F47F4B" w:rsidRPr="00731644">
        <w:rPr>
          <w:lang w:val="fr-CH"/>
        </w:rPr>
        <w:t xml:space="preserve">environnement, </w:t>
      </w:r>
      <w:r w:rsidR="00B72693" w:rsidRPr="00731644">
        <w:rPr>
          <w:lang w:val="fr-CH"/>
        </w:rPr>
        <w:t>aptitudes relationnelles</w:t>
      </w:r>
      <w:r w:rsidR="00F47F4B" w:rsidRPr="00731644">
        <w:rPr>
          <w:lang w:val="fr-CH"/>
        </w:rPr>
        <w:t xml:space="preserve"> et compétences fonctionnelles utiles </w:t>
      </w:r>
      <w:r w:rsidR="00B72693" w:rsidRPr="00731644">
        <w:rPr>
          <w:lang w:val="fr-CH"/>
        </w:rPr>
        <w:t>à</w:t>
      </w:r>
      <w:r w:rsidR="003E4485" w:rsidRPr="00731644">
        <w:rPr>
          <w:lang w:val="fr-CH"/>
        </w:rPr>
        <w:t xml:space="preserve"> la vie quotidienne </w:t>
      </w:r>
      <w:r w:rsidR="00F47F4B" w:rsidRPr="00731644">
        <w:rPr>
          <w:lang w:val="fr-CH"/>
        </w:rPr>
        <w:t>dans la société contemporaine</w:t>
      </w:r>
      <w:r w:rsidR="004C7BF6" w:rsidRPr="00731644">
        <w:rPr>
          <w:lang w:val="fr-CH"/>
        </w:rPr>
        <w:t xml:space="preserve">. </w:t>
      </w:r>
      <w:r w:rsidR="003E4485" w:rsidRPr="00731644">
        <w:rPr>
          <w:lang w:val="fr-CH"/>
        </w:rPr>
        <w:t xml:space="preserve">Les formateurs étaient des organisateurs agréés </w:t>
      </w:r>
      <w:r w:rsidR="00B72693" w:rsidRPr="00731644">
        <w:rPr>
          <w:lang w:val="fr-CH"/>
        </w:rPr>
        <w:t>de programmes</w:t>
      </w:r>
      <w:r w:rsidR="003E4485" w:rsidRPr="00731644">
        <w:rPr>
          <w:lang w:val="fr-CH"/>
        </w:rPr>
        <w:t xml:space="preserve"> d</w:t>
      </w:r>
      <w:r w:rsidR="00425386" w:rsidRPr="00731644">
        <w:rPr>
          <w:lang w:val="fr-CH"/>
        </w:rPr>
        <w:t>’</w:t>
      </w:r>
      <w:r w:rsidR="003E4485" w:rsidRPr="00731644">
        <w:rPr>
          <w:lang w:val="fr-CH"/>
        </w:rPr>
        <w:t>éducation des adultes –</w:t>
      </w:r>
      <w:r w:rsidR="004C7BF6" w:rsidRPr="00731644">
        <w:rPr>
          <w:lang w:val="fr-CH"/>
        </w:rPr>
        <w:t xml:space="preserve"> </w:t>
      </w:r>
      <w:r w:rsidR="00B72693" w:rsidRPr="00731644">
        <w:rPr>
          <w:lang w:val="fr-CH"/>
        </w:rPr>
        <w:t>d</w:t>
      </w:r>
      <w:r w:rsidR="003E4485" w:rsidRPr="00731644">
        <w:rPr>
          <w:lang w:val="fr-CH"/>
        </w:rPr>
        <w:t>es écoles primaires</w:t>
      </w:r>
      <w:r w:rsidR="004C7BF6" w:rsidRPr="00731644">
        <w:rPr>
          <w:lang w:val="fr-CH"/>
        </w:rPr>
        <w:t xml:space="preserve"> </w:t>
      </w:r>
      <w:r w:rsidR="002061AB">
        <w:rPr>
          <w:lang w:val="fr-CH"/>
        </w:rPr>
        <w:t>«</w:t>
      </w:r>
      <w:r w:rsidR="004C7BF6" w:rsidRPr="00731644">
        <w:rPr>
          <w:lang w:val="fr-CH"/>
        </w:rPr>
        <w:t>Marko Miljanov</w:t>
      </w:r>
      <w:r w:rsidR="002061AB">
        <w:rPr>
          <w:lang w:val="fr-CH"/>
        </w:rPr>
        <w:t>»</w:t>
      </w:r>
      <w:r w:rsidR="003E4485" w:rsidRPr="00731644">
        <w:rPr>
          <w:lang w:val="fr-CH"/>
        </w:rPr>
        <w:t xml:space="preserve"> et </w:t>
      </w:r>
      <w:r w:rsidR="002061AB">
        <w:rPr>
          <w:lang w:val="fr-CH"/>
        </w:rPr>
        <w:t>«</w:t>
      </w:r>
      <w:r w:rsidR="003E4485" w:rsidRPr="00731644">
        <w:rPr>
          <w:lang w:val="fr-CH"/>
        </w:rPr>
        <w:t>Radoje Čizmović</w:t>
      </w:r>
      <w:r w:rsidR="002061AB">
        <w:rPr>
          <w:lang w:val="fr-CH"/>
        </w:rPr>
        <w:t>»</w:t>
      </w:r>
      <w:r w:rsidR="004C7BF6" w:rsidRPr="00731644">
        <w:rPr>
          <w:lang w:val="fr-CH"/>
        </w:rPr>
        <w:t xml:space="preserve">, </w:t>
      </w:r>
      <w:r w:rsidR="00B72693" w:rsidRPr="00731644">
        <w:rPr>
          <w:lang w:val="fr-CH"/>
        </w:rPr>
        <w:t>du</w:t>
      </w:r>
      <w:r w:rsidR="004C7BF6" w:rsidRPr="00731644">
        <w:rPr>
          <w:lang w:val="fr-CH"/>
        </w:rPr>
        <w:t xml:space="preserve"> Centre </w:t>
      </w:r>
      <w:r w:rsidR="003E4485" w:rsidRPr="00731644">
        <w:rPr>
          <w:lang w:val="fr-CH"/>
        </w:rPr>
        <w:t>d</w:t>
      </w:r>
      <w:r w:rsidR="00425386" w:rsidRPr="00731644">
        <w:rPr>
          <w:lang w:val="fr-CH"/>
        </w:rPr>
        <w:t>’</w:t>
      </w:r>
      <w:r w:rsidR="003E4485" w:rsidRPr="00731644">
        <w:rPr>
          <w:lang w:val="fr-CH"/>
        </w:rPr>
        <w:t>é</w:t>
      </w:r>
      <w:r w:rsidR="004C7BF6" w:rsidRPr="00731644">
        <w:rPr>
          <w:lang w:val="fr-CH"/>
        </w:rPr>
        <w:t xml:space="preserve">ducation </w:t>
      </w:r>
      <w:r w:rsidR="003E4485" w:rsidRPr="00731644">
        <w:rPr>
          <w:lang w:val="fr-CH"/>
        </w:rPr>
        <w:t>et de formation de</w:t>
      </w:r>
      <w:r w:rsidR="004C7BF6" w:rsidRPr="00731644">
        <w:rPr>
          <w:lang w:val="fr-CH"/>
        </w:rPr>
        <w:t xml:space="preserve"> Podgorica, </w:t>
      </w:r>
      <w:r w:rsidR="003E4485" w:rsidRPr="00731644">
        <w:rPr>
          <w:lang w:val="fr-CH"/>
        </w:rPr>
        <w:t xml:space="preserve">et </w:t>
      </w:r>
      <w:r w:rsidR="00B72693" w:rsidRPr="00731644">
        <w:rPr>
          <w:lang w:val="fr-CH"/>
        </w:rPr>
        <w:t xml:space="preserve">de </w:t>
      </w:r>
      <w:r w:rsidR="003E4485" w:rsidRPr="00731644">
        <w:rPr>
          <w:lang w:val="fr-CH"/>
        </w:rPr>
        <w:t>l</w:t>
      </w:r>
      <w:r w:rsidR="00425386" w:rsidRPr="00731644">
        <w:rPr>
          <w:lang w:val="fr-CH"/>
        </w:rPr>
        <w:t>’</w:t>
      </w:r>
      <w:r w:rsidR="003E4485" w:rsidRPr="00731644">
        <w:rPr>
          <w:lang w:val="fr-CH"/>
        </w:rPr>
        <w:t xml:space="preserve">Université </w:t>
      </w:r>
      <w:r w:rsidR="002621A6" w:rsidRPr="00731644">
        <w:rPr>
          <w:lang w:val="fr-CH"/>
        </w:rPr>
        <w:t>de formation continue</w:t>
      </w:r>
      <w:r w:rsidR="003E4485" w:rsidRPr="00731644">
        <w:rPr>
          <w:lang w:val="fr-CH"/>
        </w:rPr>
        <w:t xml:space="preserve"> de</w:t>
      </w:r>
      <w:r w:rsidR="004C7BF6" w:rsidRPr="00731644">
        <w:rPr>
          <w:lang w:val="fr-CH"/>
        </w:rPr>
        <w:t xml:space="preserve"> Niksic. </w:t>
      </w:r>
      <w:r w:rsidR="00F26A06" w:rsidRPr="00731644">
        <w:rPr>
          <w:lang w:val="fr-CH"/>
        </w:rPr>
        <w:t>L</w:t>
      </w:r>
      <w:r w:rsidR="00425386" w:rsidRPr="00731644">
        <w:rPr>
          <w:lang w:val="fr-CH"/>
        </w:rPr>
        <w:t>’</w:t>
      </w:r>
      <w:r w:rsidR="00F26A06" w:rsidRPr="00731644">
        <w:rPr>
          <w:lang w:val="fr-CH"/>
        </w:rPr>
        <w:t>évaluation</w:t>
      </w:r>
      <w:r w:rsidR="00F31DD5" w:rsidRPr="00731644">
        <w:rPr>
          <w:lang w:val="fr-CH"/>
        </w:rPr>
        <w:t xml:space="preserve"> </w:t>
      </w:r>
      <w:r w:rsidR="00F26A06" w:rsidRPr="00731644">
        <w:rPr>
          <w:lang w:val="fr-CH"/>
        </w:rPr>
        <w:t>finale de l</w:t>
      </w:r>
      <w:r w:rsidR="00425386" w:rsidRPr="00731644">
        <w:rPr>
          <w:lang w:val="fr-CH"/>
        </w:rPr>
        <w:t>’</w:t>
      </w:r>
      <w:r w:rsidR="00F26A06" w:rsidRPr="00731644">
        <w:rPr>
          <w:lang w:val="fr-CH"/>
        </w:rPr>
        <w:t>acquisition des mécanismes de la lecture, de l</w:t>
      </w:r>
      <w:r w:rsidR="00425386" w:rsidRPr="00731644">
        <w:rPr>
          <w:lang w:val="fr-CH"/>
        </w:rPr>
        <w:t>’</w:t>
      </w:r>
      <w:r w:rsidR="00F26A06" w:rsidRPr="00731644">
        <w:rPr>
          <w:lang w:val="fr-CH"/>
        </w:rPr>
        <w:t>écriture et du calcul a été r</w:t>
      </w:r>
      <w:r w:rsidR="00B72693" w:rsidRPr="00731644">
        <w:rPr>
          <w:lang w:val="fr-CH"/>
        </w:rPr>
        <w:t>é</w:t>
      </w:r>
      <w:r w:rsidR="00F26A06" w:rsidRPr="00731644">
        <w:rPr>
          <w:lang w:val="fr-CH"/>
        </w:rPr>
        <w:t xml:space="preserve">alisée conjointement par le </w:t>
      </w:r>
      <w:r w:rsidR="002621A6" w:rsidRPr="00731644">
        <w:rPr>
          <w:lang w:val="fr-CH"/>
        </w:rPr>
        <w:t>C</w:t>
      </w:r>
      <w:r w:rsidR="00F26A06" w:rsidRPr="00731644">
        <w:rPr>
          <w:lang w:val="fr-CH"/>
        </w:rPr>
        <w:t>entre des examens, le Bureau des services éducatifs et le Cent</w:t>
      </w:r>
      <w:r w:rsidR="002621A6" w:rsidRPr="00731644">
        <w:rPr>
          <w:lang w:val="fr-CH"/>
        </w:rPr>
        <w:t>r</w:t>
      </w:r>
      <w:r w:rsidR="00F26A06" w:rsidRPr="00731644">
        <w:rPr>
          <w:lang w:val="fr-CH"/>
        </w:rPr>
        <w:t>e d</w:t>
      </w:r>
      <w:r w:rsidR="00425386" w:rsidRPr="00731644">
        <w:rPr>
          <w:lang w:val="fr-CH"/>
        </w:rPr>
        <w:t>’</w:t>
      </w:r>
      <w:r w:rsidR="00596CE6" w:rsidRPr="00731644">
        <w:rPr>
          <w:lang w:val="fr-CH"/>
        </w:rPr>
        <w:t>enseignement professionnel</w:t>
      </w:r>
      <w:r w:rsidR="004C7BF6" w:rsidRPr="00731644">
        <w:rPr>
          <w:lang w:val="fr-CH"/>
        </w:rPr>
        <w:t>.</w:t>
      </w:r>
    </w:p>
    <w:p w:rsidR="004C7BF6" w:rsidRPr="00731644" w:rsidRDefault="00D1210D" w:rsidP="002061AB">
      <w:pPr>
        <w:pStyle w:val="SingleTxtG"/>
        <w:keepNext/>
        <w:rPr>
          <w:lang w:val="fr-CH"/>
        </w:rPr>
      </w:pPr>
      <w:r w:rsidRPr="00731644">
        <w:rPr>
          <w:lang w:val="fr-CH"/>
        </w:rPr>
        <w:t>232.</w:t>
      </w:r>
      <w:r w:rsidRPr="00731644">
        <w:rPr>
          <w:lang w:val="fr-CH"/>
        </w:rPr>
        <w:tab/>
      </w:r>
      <w:r w:rsidR="00F26A06" w:rsidRPr="00731644">
        <w:rPr>
          <w:lang w:val="fr-CH"/>
        </w:rPr>
        <w:t>Les résultats du projet peuvent se résumer comme sui</w:t>
      </w:r>
      <w:r w:rsidR="00D83368" w:rsidRPr="00731644">
        <w:rPr>
          <w:lang w:val="fr-CH"/>
        </w:rPr>
        <w:t>t</w:t>
      </w:r>
      <w:r w:rsidR="00F31DD5" w:rsidRPr="00731644">
        <w:rPr>
          <w:lang w:val="fr-CH"/>
        </w:rPr>
        <w:t>:</w:t>
      </w:r>
    </w:p>
    <w:p w:rsidR="00F26A06" w:rsidRPr="00731644" w:rsidRDefault="00F26A06" w:rsidP="006C3DFB">
      <w:pPr>
        <w:pStyle w:val="Bullet1G"/>
        <w:rPr>
          <w:lang w:val="fr-CH"/>
        </w:rPr>
      </w:pPr>
      <w:r w:rsidRPr="00731644">
        <w:rPr>
          <w:lang w:val="fr-CH"/>
        </w:rPr>
        <w:t>Douze assistants roms ayant des qualifications des niveaux III et IV ont été engagés pour ce travail d</w:t>
      </w:r>
      <w:r w:rsidR="00425386" w:rsidRPr="00731644">
        <w:rPr>
          <w:lang w:val="fr-CH"/>
        </w:rPr>
        <w:t>’</w:t>
      </w:r>
      <w:r w:rsidRPr="00731644">
        <w:rPr>
          <w:lang w:val="fr-CH"/>
        </w:rPr>
        <w:t>intérêt public</w:t>
      </w:r>
      <w:r w:rsidR="005072A0">
        <w:rPr>
          <w:lang w:val="fr-CH"/>
        </w:rPr>
        <w:t>;</w:t>
      </w:r>
      <w:r w:rsidRPr="00731644">
        <w:rPr>
          <w:lang w:val="fr-CH"/>
        </w:rPr>
        <w:t xml:space="preserve"> </w:t>
      </w:r>
    </w:p>
    <w:p w:rsidR="004C7BF6" w:rsidRPr="00731644" w:rsidRDefault="00F26A06" w:rsidP="006C3DFB">
      <w:pPr>
        <w:pStyle w:val="Bullet1G"/>
        <w:rPr>
          <w:lang w:val="fr-CH"/>
        </w:rPr>
      </w:pPr>
      <w:r w:rsidRPr="00731644">
        <w:rPr>
          <w:lang w:val="fr-CH"/>
        </w:rPr>
        <w:t>La capacité du personnel et des partenaires de travailler auprès de groupes marginalisés et relativement difficiles à employer s</w:t>
      </w:r>
      <w:r w:rsidR="00425386" w:rsidRPr="00731644">
        <w:rPr>
          <w:lang w:val="fr-CH"/>
        </w:rPr>
        <w:t>’</w:t>
      </w:r>
      <w:r w:rsidRPr="00731644">
        <w:rPr>
          <w:lang w:val="fr-CH"/>
        </w:rPr>
        <w:t xml:space="preserve">est </w:t>
      </w:r>
      <w:r w:rsidR="002621A6" w:rsidRPr="00731644">
        <w:rPr>
          <w:lang w:val="fr-CH"/>
        </w:rPr>
        <w:t>améliorée</w:t>
      </w:r>
      <w:r w:rsidR="005072A0">
        <w:rPr>
          <w:lang w:val="fr-CH"/>
        </w:rPr>
        <w:t>;</w:t>
      </w:r>
      <w:r w:rsidRPr="00731644">
        <w:rPr>
          <w:lang w:val="fr-CH"/>
        </w:rPr>
        <w:t xml:space="preserve"> </w:t>
      </w:r>
    </w:p>
    <w:p w:rsidR="002621A6" w:rsidRPr="00731644" w:rsidRDefault="00F26A06" w:rsidP="006C3DFB">
      <w:pPr>
        <w:pStyle w:val="Bullet1G"/>
        <w:rPr>
          <w:lang w:val="fr-CH"/>
        </w:rPr>
      </w:pPr>
      <w:r w:rsidRPr="00731644">
        <w:rPr>
          <w:lang w:val="fr-CH"/>
        </w:rPr>
        <w:t>Cinq nouve</w:t>
      </w:r>
      <w:r w:rsidR="002621A6" w:rsidRPr="00731644">
        <w:rPr>
          <w:lang w:val="fr-CH"/>
        </w:rPr>
        <w:t xml:space="preserve">lles </w:t>
      </w:r>
      <w:r w:rsidRPr="00731644">
        <w:rPr>
          <w:lang w:val="fr-CH"/>
        </w:rPr>
        <w:t xml:space="preserve">normes professionnelles ont été </w:t>
      </w:r>
      <w:r w:rsidR="002621A6" w:rsidRPr="00731644">
        <w:rPr>
          <w:lang w:val="fr-CH"/>
        </w:rPr>
        <w:t xml:space="preserve">instaurées et des programmes de formation correspondants ont été </w:t>
      </w:r>
      <w:r w:rsidRPr="00731644">
        <w:rPr>
          <w:lang w:val="fr-CH"/>
        </w:rPr>
        <w:t>créés</w:t>
      </w:r>
      <w:r w:rsidR="005072A0">
        <w:rPr>
          <w:lang w:val="fr-CH"/>
        </w:rPr>
        <w:t>;</w:t>
      </w:r>
      <w:r w:rsidRPr="00731644">
        <w:rPr>
          <w:lang w:val="fr-CH"/>
        </w:rPr>
        <w:t xml:space="preserve"> </w:t>
      </w:r>
    </w:p>
    <w:p w:rsidR="004C7BF6" w:rsidRPr="00731644" w:rsidRDefault="00F26A06" w:rsidP="006C3DFB">
      <w:pPr>
        <w:pStyle w:val="Bullet1G"/>
        <w:rPr>
          <w:lang w:val="fr-CH"/>
        </w:rPr>
      </w:pPr>
      <w:r w:rsidRPr="00731644">
        <w:rPr>
          <w:lang w:val="fr-CH"/>
        </w:rPr>
        <w:t xml:space="preserve">Soixante-et-un Roms, </w:t>
      </w:r>
      <w:r w:rsidR="002A5033" w:rsidRPr="00731644">
        <w:rPr>
          <w:lang w:val="fr-CH"/>
        </w:rPr>
        <w:t>Ashkali</w:t>
      </w:r>
      <w:r w:rsidRPr="00731644">
        <w:rPr>
          <w:lang w:val="fr-CH"/>
        </w:rPr>
        <w:t xml:space="preserve"> et </w:t>
      </w:r>
      <w:r w:rsidR="002621A6" w:rsidRPr="00731644">
        <w:rPr>
          <w:lang w:val="fr-CH"/>
        </w:rPr>
        <w:t>t</w:t>
      </w:r>
      <w:r w:rsidR="00A95D03" w:rsidRPr="00731644">
        <w:rPr>
          <w:lang w:val="fr-CH"/>
        </w:rPr>
        <w:t>ziganes</w:t>
      </w:r>
      <w:r w:rsidRPr="00731644">
        <w:rPr>
          <w:lang w:val="fr-CH"/>
        </w:rPr>
        <w:t xml:space="preserve"> </w:t>
      </w:r>
      <w:r w:rsidR="00F55808" w:rsidRPr="00731644">
        <w:rPr>
          <w:lang w:val="fr-CH"/>
        </w:rPr>
        <w:t xml:space="preserve">ont été formés à des activités </w:t>
      </w:r>
      <w:r w:rsidR="002621A6" w:rsidRPr="00731644">
        <w:rPr>
          <w:lang w:val="fr-CH"/>
        </w:rPr>
        <w:t>d</w:t>
      </w:r>
      <w:r w:rsidR="00425386" w:rsidRPr="00731644">
        <w:rPr>
          <w:lang w:val="fr-CH"/>
        </w:rPr>
        <w:t>’</w:t>
      </w:r>
      <w:r w:rsidR="002621A6" w:rsidRPr="00731644">
        <w:rPr>
          <w:lang w:val="fr-CH"/>
        </w:rPr>
        <w:t>auxiliaires</w:t>
      </w:r>
      <w:r w:rsidR="00F55808" w:rsidRPr="00731644">
        <w:rPr>
          <w:lang w:val="fr-CH"/>
        </w:rPr>
        <w:t xml:space="preserve"> dans les secteurs de la construction, de la restauration et des services à la personne</w:t>
      </w:r>
      <w:r w:rsidR="005072A0">
        <w:rPr>
          <w:lang w:val="fr-CH"/>
        </w:rPr>
        <w:t>;</w:t>
      </w:r>
      <w:r w:rsidR="002116C9" w:rsidRPr="00731644">
        <w:rPr>
          <w:lang w:val="fr-CH"/>
        </w:rPr>
        <w:t xml:space="preserve"> </w:t>
      </w:r>
    </w:p>
    <w:p w:rsidR="004C7BF6" w:rsidRPr="00731644" w:rsidRDefault="000D41F1" w:rsidP="006C3DFB">
      <w:pPr>
        <w:pStyle w:val="Bullet1G"/>
        <w:rPr>
          <w:lang w:val="fr-CH"/>
        </w:rPr>
      </w:pPr>
      <w:r w:rsidRPr="00731644">
        <w:rPr>
          <w:lang w:val="fr-CH"/>
        </w:rPr>
        <w:t>Les p</w:t>
      </w:r>
      <w:r w:rsidR="00D83368" w:rsidRPr="00731644">
        <w:rPr>
          <w:lang w:val="fr-CH"/>
        </w:rPr>
        <w:t xml:space="preserve">articipants </w:t>
      </w:r>
      <w:r w:rsidRPr="00731644">
        <w:rPr>
          <w:lang w:val="fr-CH"/>
        </w:rPr>
        <w:t xml:space="preserve">qui ont terminé avec succès </w:t>
      </w:r>
      <w:r w:rsidR="002621A6" w:rsidRPr="00731644">
        <w:rPr>
          <w:lang w:val="fr-CH"/>
        </w:rPr>
        <w:t>le programme</w:t>
      </w:r>
      <w:r w:rsidRPr="00731644">
        <w:rPr>
          <w:lang w:val="fr-CH"/>
        </w:rPr>
        <w:t xml:space="preserve"> d</w:t>
      </w:r>
      <w:r w:rsidR="00425386" w:rsidRPr="00731644">
        <w:rPr>
          <w:lang w:val="fr-CH"/>
        </w:rPr>
        <w:t>’</w:t>
      </w:r>
      <w:r w:rsidRPr="00731644">
        <w:rPr>
          <w:lang w:val="fr-CH"/>
        </w:rPr>
        <w:t>alphabétisation fonctionnelle ont acquis po</w:t>
      </w:r>
      <w:r w:rsidR="002621A6" w:rsidRPr="00731644">
        <w:rPr>
          <w:lang w:val="fr-CH"/>
        </w:rPr>
        <w:t>u</w:t>
      </w:r>
      <w:r w:rsidRPr="00731644">
        <w:rPr>
          <w:lang w:val="fr-CH"/>
        </w:rPr>
        <w:t xml:space="preserve">r la plupart </w:t>
      </w:r>
      <w:r w:rsidR="002621A6" w:rsidRPr="00731644">
        <w:rPr>
          <w:lang w:val="fr-CH"/>
        </w:rPr>
        <w:t>une</w:t>
      </w:r>
      <w:r w:rsidRPr="00731644">
        <w:rPr>
          <w:lang w:val="fr-CH"/>
        </w:rPr>
        <w:t xml:space="preserve"> connaissance élémentaire de l</w:t>
      </w:r>
      <w:r w:rsidR="00425386" w:rsidRPr="00731644">
        <w:rPr>
          <w:lang w:val="fr-CH"/>
        </w:rPr>
        <w:t>’</w:t>
      </w:r>
      <w:r w:rsidRPr="00731644">
        <w:rPr>
          <w:lang w:val="fr-CH"/>
        </w:rPr>
        <w:t>informatique</w:t>
      </w:r>
      <w:r w:rsidR="005072A0">
        <w:rPr>
          <w:lang w:val="fr-CH"/>
        </w:rPr>
        <w:t>;</w:t>
      </w:r>
      <w:r w:rsidRPr="00731644">
        <w:rPr>
          <w:lang w:val="fr-CH"/>
        </w:rPr>
        <w:t xml:space="preserve"> </w:t>
      </w:r>
    </w:p>
    <w:p w:rsidR="004C7BF6" w:rsidRPr="00731644" w:rsidRDefault="000D41F1" w:rsidP="006C3DFB">
      <w:pPr>
        <w:pStyle w:val="Bullet1G"/>
        <w:rPr>
          <w:lang w:val="fr-CH"/>
        </w:rPr>
      </w:pPr>
      <w:r w:rsidRPr="00731644">
        <w:rPr>
          <w:lang w:val="fr-CH"/>
        </w:rPr>
        <w:t>Soixante</w:t>
      </w:r>
      <w:r w:rsidR="00D83368" w:rsidRPr="00731644">
        <w:rPr>
          <w:lang w:val="fr-CH"/>
        </w:rPr>
        <w:t xml:space="preserve"> </w:t>
      </w:r>
      <w:r w:rsidRPr="00731644">
        <w:rPr>
          <w:lang w:val="fr-CH"/>
        </w:rPr>
        <w:t>et</w:t>
      </w:r>
      <w:r w:rsidR="00D83368" w:rsidRPr="00731644">
        <w:rPr>
          <w:lang w:val="fr-CH"/>
        </w:rPr>
        <w:t xml:space="preserve"> </w:t>
      </w:r>
      <w:r w:rsidRPr="00731644">
        <w:rPr>
          <w:lang w:val="fr-CH"/>
        </w:rPr>
        <w:t>une</w:t>
      </w:r>
      <w:r w:rsidR="00CB7658" w:rsidRPr="00731644">
        <w:rPr>
          <w:lang w:val="fr-CH"/>
        </w:rPr>
        <w:t> personnes</w:t>
      </w:r>
      <w:r w:rsidRPr="00731644">
        <w:rPr>
          <w:lang w:val="fr-CH"/>
        </w:rPr>
        <w:t xml:space="preserve"> </w:t>
      </w:r>
      <w:r w:rsidR="005B603D" w:rsidRPr="00731644">
        <w:rPr>
          <w:lang w:val="fr-CH"/>
        </w:rPr>
        <w:t>se s</w:t>
      </w:r>
      <w:r w:rsidRPr="00731644">
        <w:rPr>
          <w:lang w:val="fr-CH"/>
        </w:rPr>
        <w:t xml:space="preserve">ont </w:t>
      </w:r>
      <w:r w:rsidR="005B603D" w:rsidRPr="00731644">
        <w:rPr>
          <w:lang w:val="fr-CH"/>
        </w:rPr>
        <w:t>préparées à passer l</w:t>
      </w:r>
      <w:r w:rsidR="00425386" w:rsidRPr="00731644">
        <w:rPr>
          <w:lang w:val="fr-CH"/>
        </w:rPr>
        <w:t>’</w:t>
      </w:r>
      <w:r w:rsidR="005B603D" w:rsidRPr="00731644">
        <w:rPr>
          <w:lang w:val="fr-CH"/>
        </w:rPr>
        <w:t xml:space="preserve">examen du </w:t>
      </w:r>
      <w:r w:rsidRPr="00731644">
        <w:rPr>
          <w:lang w:val="fr-CH"/>
        </w:rPr>
        <w:t xml:space="preserve">permis de conduire </w:t>
      </w:r>
      <w:r w:rsidR="002621A6" w:rsidRPr="00731644">
        <w:rPr>
          <w:lang w:val="fr-CH"/>
        </w:rPr>
        <w:t>l</w:t>
      </w:r>
      <w:r w:rsidRPr="00731644">
        <w:rPr>
          <w:lang w:val="fr-CH"/>
        </w:rPr>
        <w:t xml:space="preserve">es véhicules de la </w:t>
      </w:r>
      <w:r w:rsidR="0083174F" w:rsidRPr="00731644">
        <w:rPr>
          <w:lang w:val="fr-CH"/>
        </w:rPr>
        <w:t>catégorie</w:t>
      </w:r>
      <w:r w:rsidRPr="00731644">
        <w:rPr>
          <w:lang w:val="fr-CH"/>
        </w:rPr>
        <w:t xml:space="preserve"> B ou de quelques autres catégories, et tous les frais à acquitter pour passer </w:t>
      </w:r>
      <w:r w:rsidR="005B603D" w:rsidRPr="00731644">
        <w:rPr>
          <w:lang w:val="fr-CH"/>
        </w:rPr>
        <w:t>l</w:t>
      </w:r>
      <w:r w:rsidR="00425386" w:rsidRPr="00731644">
        <w:rPr>
          <w:lang w:val="fr-CH"/>
        </w:rPr>
        <w:t>’</w:t>
      </w:r>
      <w:r w:rsidR="005B603D" w:rsidRPr="00731644">
        <w:rPr>
          <w:lang w:val="fr-CH"/>
        </w:rPr>
        <w:t>examen</w:t>
      </w:r>
      <w:r w:rsidRPr="00731644">
        <w:rPr>
          <w:lang w:val="fr-CH"/>
        </w:rPr>
        <w:t xml:space="preserve"> ont été payés</w:t>
      </w:r>
      <w:r w:rsidR="005072A0">
        <w:rPr>
          <w:lang w:val="fr-CH"/>
        </w:rPr>
        <w:t>;</w:t>
      </w:r>
      <w:r w:rsidRPr="00731644">
        <w:rPr>
          <w:lang w:val="fr-CH"/>
        </w:rPr>
        <w:t xml:space="preserve"> </w:t>
      </w:r>
    </w:p>
    <w:p w:rsidR="004C7BF6" w:rsidRPr="00731644" w:rsidRDefault="000D41F1" w:rsidP="006C3DFB">
      <w:pPr>
        <w:pStyle w:val="Bullet1G"/>
        <w:rPr>
          <w:lang w:val="fr-CH"/>
        </w:rPr>
      </w:pPr>
      <w:r w:rsidRPr="00731644">
        <w:rPr>
          <w:lang w:val="fr-CH"/>
        </w:rPr>
        <w:t>Onze parti</w:t>
      </w:r>
      <w:r w:rsidR="005B603D" w:rsidRPr="00731644">
        <w:rPr>
          <w:lang w:val="fr-CH"/>
        </w:rPr>
        <w:t>c</w:t>
      </w:r>
      <w:r w:rsidRPr="00731644">
        <w:rPr>
          <w:lang w:val="fr-CH"/>
        </w:rPr>
        <w:t xml:space="preserve">ipants au programme ont trouvé un emploi dans le secteur des services </w:t>
      </w:r>
      <w:r w:rsidR="006075D8" w:rsidRPr="00731644">
        <w:rPr>
          <w:lang w:val="fr-CH"/>
        </w:rPr>
        <w:t xml:space="preserve">collectifs </w:t>
      </w:r>
      <w:r w:rsidR="005B603D" w:rsidRPr="00731644">
        <w:rPr>
          <w:lang w:val="fr-CH"/>
        </w:rPr>
        <w:t>à Podgorica</w:t>
      </w:r>
      <w:r w:rsidR="005072A0">
        <w:rPr>
          <w:lang w:val="fr-CH"/>
        </w:rPr>
        <w:t>;</w:t>
      </w:r>
    </w:p>
    <w:p w:rsidR="004C7BF6" w:rsidRPr="00731644" w:rsidRDefault="006075D8" w:rsidP="006C3DFB">
      <w:pPr>
        <w:pStyle w:val="Bullet1G"/>
        <w:rPr>
          <w:lang w:val="fr-CH"/>
        </w:rPr>
      </w:pPr>
      <w:r w:rsidRPr="00731644">
        <w:rPr>
          <w:lang w:val="fr-CH"/>
        </w:rPr>
        <w:t>Dix</w:t>
      </w:r>
      <w:r w:rsidR="004C7BF6" w:rsidRPr="00731644">
        <w:rPr>
          <w:lang w:val="fr-CH"/>
        </w:rPr>
        <w:t xml:space="preserve"> participants </w:t>
      </w:r>
      <w:r w:rsidRPr="00731644">
        <w:rPr>
          <w:lang w:val="fr-CH"/>
        </w:rPr>
        <w:t>travaillent dans la restauration, la</w:t>
      </w:r>
      <w:r w:rsidR="004C7BF6" w:rsidRPr="00731644">
        <w:rPr>
          <w:lang w:val="fr-CH"/>
        </w:rPr>
        <w:t xml:space="preserve"> construction, </w:t>
      </w:r>
      <w:r w:rsidRPr="00731644">
        <w:rPr>
          <w:lang w:val="fr-CH"/>
        </w:rPr>
        <w:t>l</w:t>
      </w:r>
      <w:r w:rsidR="00425386" w:rsidRPr="00731644">
        <w:rPr>
          <w:lang w:val="fr-CH"/>
        </w:rPr>
        <w:t>’</w:t>
      </w:r>
      <w:r w:rsidRPr="00731644">
        <w:rPr>
          <w:lang w:val="fr-CH"/>
        </w:rPr>
        <w:t>é</w:t>
      </w:r>
      <w:r w:rsidR="004C7BF6" w:rsidRPr="00731644">
        <w:rPr>
          <w:lang w:val="fr-CH"/>
        </w:rPr>
        <w:t xml:space="preserve">ducation </w:t>
      </w:r>
      <w:r w:rsidR="006955D7" w:rsidRPr="00731644">
        <w:rPr>
          <w:lang w:val="fr-CH"/>
        </w:rPr>
        <w:t xml:space="preserve">et la </w:t>
      </w:r>
      <w:r w:rsidR="004C7BF6" w:rsidRPr="00731644">
        <w:rPr>
          <w:lang w:val="fr-CH"/>
        </w:rPr>
        <w:t>maintenance</w:t>
      </w:r>
      <w:r w:rsidR="005072A0">
        <w:rPr>
          <w:lang w:val="fr-CH"/>
        </w:rPr>
        <w:t>;</w:t>
      </w:r>
    </w:p>
    <w:p w:rsidR="004C7BF6" w:rsidRPr="00731644" w:rsidRDefault="006955D7" w:rsidP="006C3DFB">
      <w:pPr>
        <w:pStyle w:val="Bullet1G"/>
        <w:rPr>
          <w:lang w:val="fr-CH"/>
        </w:rPr>
      </w:pPr>
      <w:r w:rsidRPr="00731644">
        <w:rPr>
          <w:lang w:val="fr-CH"/>
        </w:rPr>
        <w:t>Huit</w:t>
      </w:r>
      <w:r w:rsidR="00CB7658" w:rsidRPr="00731644">
        <w:rPr>
          <w:lang w:val="fr-CH"/>
        </w:rPr>
        <w:t> personnes</w:t>
      </w:r>
      <w:r w:rsidR="004C7BF6" w:rsidRPr="00731644">
        <w:rPr>
          <w:lang w:val="fr-CH"/>
        </w:rPr>
        <w:t xml:space="preserve"> </w:t>
      </w:r>
      <w:r w:rsidRPr="00731644">
        <w:rPr>
          <w:lang w:val="fr-CH"/>
        </w:rPr>
        <w:t xml:space="preserve">assurent des services dans leur collectivité locale </w:t>
      </w:r>
    </w:p>
    <w:p w:rsidR="00FE2083" w:rsidRPr="00731644" w:rsidRDefault="00D1210D" w:rsidP="004C7BF6">
      <w:pPr>
        <w:pStyle w:val="SingleTxtG"/>
        <w:rPr>
          <w:lang w:val="fr-CH"/>
        </w:rPr>
      </w:pPr>
      <w:r w:rsidRPr="00731644">
        <w:rPr>
          <w:lang w:val="fr-CH"/>
        </w:rPr>
        <w:t>233.</w:t>
      </w:r>
      <w:r w:rsidRPr="00731644">
        <w:rPr>
          <w:b/>
          <w:lang w:val="fr-CH"/>
        </w:rPr>
        <w:tab/>
      </w:r>
      <w:r w:rsidR="006955D7" w:rsidRPr="00731644">
        <w:rPr>
          <w:lang w:val="fr-CH"/>
        </w:rPr>
        <w:t>Le projet</w:t>
      </w:r>
      <w:r w:rsidR="004C7BF6" w:rsidRPr="00731644">
        <w:rPr>
          <w:lang w:val="fr-CH"/>
        </w:rPr>
        <w:t xml:space="preserve"> </w:t>
      </w:r>
      <w:r w:rsidR="002061AB">
        <w:rPr>
          <w:lang w:val="fr-CH"/>
        </w:rPr>
        <w:t>«</w:t>
      </w:r>
      <w:r w:rsidR="0083174F" w:rsidRPr="00731644">
        <w:rPr>
          <w:lang w:val="fr-CH"/>
        </w:rPr>
        <w:t>Réduire</w:t>
      </w:r>
      <w:r w:rsidR="006955D7" w:rsidRPr="00731644">
        <w:rPr>
          <w:lang w:val="fr-CH"/>
        </w:rPr>
        <w:t xml:space="preserve"> la vulnérabilité </w:t>
      </w:r>
      <w:r w:rsidR="003D63D0" w:rsidRPr="00731644">
        <w:rPr>
          <w:lang w:val="fr-CH"/>
        </w:rPr>
        <w:t xml:space="preserve">des Roms, des </w:t>
      </w:r>
      <w:r w:rsidR="002A5033" w:rsidRPr="00731644">
        <w:rPr>
          <w:lang w:val="fr-CH"/>
        </w:rPr>
        <w:t>Ashkali</w:t>
      </w:r>
      <w:r w:rsidR="003D63D0" w:rsidRPr="00731644">
        <w:rPr>
          <w:lang w:val="fr-CH"/>
        </w:rPr>
        <w:t xml:space="preserve"> et des </w:t>
      </w:r>
      <w:r w:rsidR="005B603D" w:rsidRPr="00731644">
        <w:rPr>
          <w:lang w:val="fr-CH"/>
        </w:rPr>
        <w:t>t</w:t>
      </w:r>
      <w:r w:rsidR="00A95D03" w:rsidRPr="00731644">
        <w:rPr>
          <w:lang w:val="fr-CH"/>
        </w:rPr>
        <w:t>ziganes</w:t>
      </w:r>
      <w:r w:rsidR="003D63D0" w:rsidRPr="00731644">
        <w:rPr>
          <w:lang w:val="fr-CH"/>
        </w:rPr>
        <w:t xml:space="preserve"> </w:t>
      </w:r>
      <w:r w:rsidR="005B603D" w:rsidRPr="00731644">
        <w:rPr>
          <w:lang w:val="fr-CH"/>
        </w:rPr>
        <w:t>domiciliés au</w:t>
      </w:r>
      <w:r w:rsidR="003D63D0" w:rsidRPr="00731644">
        <w:rPr>
          <w:lang w:val="fr-CH"/>
        </w:rPr>
        <w:t xml:space="preserve"> Monténégro</w:t>
      </w:r>
      <w:r w:rsidR="002061AB">
        <w:rPr>
          <w:lang w:val="fr-CH"/>
        </w:rPr>
        <w:t>»</w:t>
      </w:r>
      <w:r w:rsidR="004C7BF6" w:rsidRPr="00731644">
        <w:rPr>
          <w:lang w:val="fr-CH"/>
        </w:rPr>
        <w:t xml:space="preserve"> </w:t>
      </w:r>
      <w:r w:rsidR="003D63D0" w:rsidRPr="00731644">
        <w:rPr>
          <w:lang w:val="fr-CH"/>
        </w:rPr>
        <w:t>a été exécuté par l</w:t>
      </w:r>
      <w:r w:rsidR="00425386" w:rsidRPr="00731644">
        <w:rPr>
          <w:lang w:val="fr-CH"/>
        </w:rPr>
        <w:t>’</w:t>
      </w:r>
      <w:r w:rsidR="003D63D0" w:rsidRPr="00731644">
        <w:rPr>
          <w:lang w:val="fr-CH"/>
        </w:rPr>
        <w:t>Agence pour l</w:t>
      </w:r>
      <w:r w:rsidR="00425386" w:rsidRPr="00731644">
        <w:rPr>
          <w:lang w:val="fr-CH"/>
        </w:rPr>
        <w:t>’</w:t>
      </w:r>
      <w:r w:rsidR="003D63D0" w:rsidRPr="00731644">
        <w:rPr>
          <w:lang w:val="fr-CH"/>
        </w:rPr>
        <w:t>emploi</w:t>
      </w:r>
      <w:r w:rsidR="005B603D" w:rsidRPr="00731644">
        <w:rPr>
          <w:lang w:val="fr-CH"/>
        </w:rPr>
        <w:t>,</w:t>
      </w:r>
      <w:r w:rsidR="00585058" w:rsidRPr="00731644">
        <w:rPr>
          <w:lang w:val="fr-CH"/>
        </w:rPr>
        <w:t xml:space="preserve"> </w:t>
      </w:r>
      <w:r w:rsidR="00FE2083" w:rsidRPr="00731644">
        <w:rPr>
          <w:lang w:val="fr-CH"/>
        </w:rPr>
        <w:t>avec la</w:t>
      </w:r>
      <w:r w:rsidR="00585058" w:rsidRPr="00731644">
        <w:rPr>
          <w:lang w:val="fr-CH"/>
        </w:rPr>
        <w:t xml:space="preserve"> coopération </w:t>
      </w:r>
      <w:r w:rsidR="00FE2083" w:rsidRPr="00731644">
        <w:rPr>
          <w:lang w:val="fr-CH"/>
        </w:rPr>
        <w:t>et le soutien du</w:t>
      </w:r>
      <w:r w:rsidR="00585058" w:rsidRPr="00731644">
        <w:rPr>
          <w:lang w:val="fr-CH"/>
        </w:rPr>
        <w:t xml:space="preserve"> Programme des </w:t>
      </w:r>
      <w:r w:rsidR="005B603D" w:rsidRPr="00731644">
        <w:rPr>
          <w:lang w:val="fr-CH"/>
        </w:rPr>
        <w:t>N</w:t>
      </w:r>
      <w:r w:rsidR="00585058" w:rsidRPr="00731644">
        <w:rPr>
          <w:lang w:val="fr-CH"/>
        </w:rPr>
        <w:t>ations Unies pour le développement (PNUD)</w:t>
      </w:r>
      <w:r w:rsidR="004C7BF6" w:rsidRPr="00731644">
        <w:rPr>
          <w:lang w:val="fr-CH"/>
        </w:rPr>
        <w:t xml:space="preserve">, </w:t>
      </w:r>
      <w:r w:rsidR="00FE2083" w:rsidRPr="00731644">
        <w:rPr>
          <w:lang w:val="fr-CH"/>
        </w:rPr>
        <w:t>pendant</w:t>
      </w:r>
      <w:r w:rsidR="004C7BF6" w:rsidRPr="00731644">
        <w:rPr>
          <w:lang w:val="fr-CH"/>
        </w:rPr>
        <w:t xml:space="preserve"> 27 mo</w:t>
      </w:r>
      <w:r w:rsidR="00FE2083" w:rsidRPr="00731644">
        <w:rPr>
          <w:lang w:val="fr-CH"/>
        </w:rPr>
        <w:t>is</w:t>
      </w:r>
      <w:r w:rsidR="004C7BF6" w:rsidRPr="00731644">
        <w:rPr>
          <w:lang w:val="fr-CH"/>
        </w:rPr>
        <w:t xml:space="preserve">. </w:t>
      </w:r>
      <w:r w:rsidR="00FE2083" w:rsidRPr="00731644">
        <w:rPr>
          <w:lang w:val="fr-CH"/>
        </w:rPr>
        <w:t>Il vis</w:t>
      </w:r>
      <w:r w:rsidR="005B603D" w:rsidRPr="00731644">
        <w:rPr>
          <w:lang w:val="fr-CH"/>
        </w:rPr>
        <w:t>ait</w:t>
      </w:r>
      <w:r w:rsidR="00FE2083" w:rsidRPr="00731644">
        <w:rPr>
          <w:lang w:val="fr-CH"/>
        </w:rPr>
        <w:t xml:space="preserve"> à améliorer les qualifications professionnelles des Roms et </w:t>
      </w:r>
      <w:r w:rsidR="005B603D" w:rsidRPr="00731644">
        <w:rPr>
          <w:lang w:val="fr-CH"/>
        </w:rPr>
        <w:t xml:space="preserve">à </w:t>
      </w:r>
      <w:r w:rsidR="00FE2083" w:rsidRPr="00731644">
        <w:rPr>
          <w:lang w:val="fr-CH"/>
        </w:rPr>
        <w:t>leur</w:t>
      </w:r>
      <w:r w:rsidR="005B603D" w:rsidRPr="00731644">
        <w:rPr>
          <w:lang w:val="fr-CH"/>
        </w:rPr>
        <w:t xml:space="preserve"> donner de meilleures</w:t>
      </w:r>
      <w:r w:rsidR="00FE2083" w:rsidRPr="00731644">
        <w:rPr>
          <w:lang w:val="fr-CH"/>
        </w:rPr>
        <w:t xml:space="preserve"> chances </w:t>
      </w:r>
      <w:r w:rsidR="005B603D" w:rsidRPr="00731644">
        <w:rPr>
          <w:lang w:val="fr-CH"/>
        </w:rPr>
        <w:t xml:space="preserve">de réussir </w:t>
      </w:r>
      <w:r w:rsidR="00FE2083" w:rsidRPr="00731644">
        <w:rPr>
          <w:lang w:val="fr-CH"/>
        </w:rPr>
        <w:t>sur le marché du travail.</w:t>
      </w:r>
      <w:r w:rsidR="00F31DD5" w:rsidRPr="00731644">
        <w:rPr>
          <w:lang w:val="fr-CH"/>
        </w:rPr>
        <w:t xml:space="preserve"> </w:t>
      </w:r>
    </w:p>
    <w:p w:rsidR="004C7BF6" w:rsidRPr="00731644" w:rsidRDefault="00D1210D" w:rsidP="002061AB">
      <w:pPr>
        <w:pStyle w:val="SingleTxtG"/>
        <w:keepNext/>
        <w:rPr>
          <w:bCs/>
          <w:lang w:val="fr-CH"/>
        </w:rPr>
      </w:pPr>
      <w:r w:rsidRPr="00731644">
        <w:rPr>
          <w:bCs/>
          <w:lang w:val="fr-CH"/>
        </w:rPr>
        <w:t>234.</w:t>
      </w:r>
      <w:r w:rsidRPr="00731644">
        <w:rPr>
          <w:bCs/>
          <w:lang w:val="fr-CH"/>
        </w:rPr>
        <w:tab/>
      </w:r>
      <w:r w:rsidR="00FE2083" w:rsidRPr="00731644">
        <w:rPr>
          <w:bCs/>
          <w:lang w:val="fr-CH"/>
        </w:rPr>
        <w:t xml:space="preserve">Les objectifs du projet </w:t>
      </w:r>
      <w:r w:rsidR="005B603D" w:rsidRPr="00731644">
        <w:rPr>
          <w:bCs/>
          <w:lang w:val="fr-CH"/>
        </w:rPr>
        <w:t>étaie</w:t>
      </w:r>
      <w:r w:rsidR="00FE2083" w:rsidRPr="00731644">
        <w:rPr>
          <w:bCs/>
          <w:lang w:val="fr-CH"/>
        </w:rPr>
        <w:t>nt les suivants</w:t>
      </w:r>
      <w:r w:rsidR="00F31DD5" w:rsidRPr="00731644">
        <w:rPr>
          <w:bCs/>
          <w:lang w:val="fr-CH"/>
        </w:rPr>
        <w:t>:</w:t>
      </w:r>
    </w:p>
    <w:p w:rsidR="004C7BF6" w:rsidRPr="00731644" w:rsidRDefault="00FE2083" w:rsidP="006C3DFB">
      <w:pPr>
        <w:pStyle w:val="Bullet1G"/>
        <w:rPr>
          <w:lang w:val="fr-CH"/>
        </w:rPr>
      </w:pPr>
      <w:r w:rsidRPr="00731644">
        <w:rPr>
          <w:lang w:val="fr-CH"/>
        </w:rPr>
        <w:t>Améliorer l</w:t>
      </w:r>
      <w:r w:rsidR="005B603D" w:rsidRPr="00731644">
        <w:rPr>
          <w:lang w:val="fr-CH"/>
        </w:rPr>
        <w:t>es</w:t>
      </w:r>
      <w:r w:rsidRPr="00731644">
        <w:rPr>
          <w:lang w:val="fr-CH"/>
        </w:rPr>
        <w:t xml:space="preserve"> capacité</w:t>
      </w:r>
      <w:r w:rsidR="005B603D" w:rsidRPr="00731644">
        <w:rPr>
          <w:lang w:val="fr-CH"/>
        </w:rPr>
        <w:t>s</w:t>
      </w:r>
      <w:r w:rsidRPr="00731644">
        <w:rPr>
          <w:lang w:val="fr-CH"/>
        </w:rPr>
        <w:t xml:space="preserve"> de l</w:t>
      </w:r>
      <w:r w:rsidR="00425386" w:rsidRPr="00731644">
        <w:rPr>
          <w:lang w:val="fr-CH"/>
        </w:rPr>
        <w:t>’</w:t>
      </w:r>
      <w:r w:rsidRPr="00731644">
        <w:rPr>
          <w:lang w:val="fr-CH"/>
        </w:rPr>
        <w:t>Agence pour l</w:t>
      </w:r>
      <w:r w:rsidR="00425386" w:rsidRPr="00731644">
        <w:rPr>
          <w:lang w:val="fr-CH"/>
        </w:rPr>
        <w:t>’</w:t>
      </w:r>
      <w:r w:rsidRPr="00731644">
        <w:rPr>
          <w:lang w:val="fr-CH"/>
        </w:rPr>
        <w:t>emploi, c</w:t>
      </w:r>
      <w:r w:rsidR="00425386" w:rsidRPr="00731644">
        <w:rPr>
          <w:lang w:val="fr-CH"/>
        </w:rPr>
        <w:t>’</w:t>
      </w:r>
      <w:r w:rsidRPr="00731644">
        <w:rPr>
          <w:lang w:val="fr-CH"/>
        </w:rPr>
        <w:t>est-à-dire des bureaux pour l</w:t>
      </w:r>
      <w:r w:rsidR="00425386" w:rsidRPr="00731644">
        <w:rPr>
          <w:lang w:val="fr-CH"/>
        </w:rPr>
        <w:t>’</w:t>
      </w:r>
      <w:r w:rsidRPr="00731644">
        <w:rPr>
          <w:lang w:val="fr-CH"/>
        </w:rPr>
        <w:t xml:space="preserve">emploi </w:t>
      </w:r>
      <w:r w:rsidR="004C7BF6" w:rsidRPr="00731644">
        <w:rPr>
          <w:lang w:val="fr-CH"/>
        </w:rPr>
        <w:t>(</w:t>
      </w:r>
      <w:r w:rsidRPr="00731644">
        <w:rPr>
          <w:lang w:val="fr-CH"/>
        </w:rPr>
        <w:t>améliorer l</w:t>
      </w:r>
      <w:r w:rsidR="005B603D" w:rsidRPr="00731644">
        <w:rPr>
          <w:lang w:val="fr-CH"/>
        </w:rPr>
        <w:t>es</w:t>
      </w:r>
      <w:r w:rsidRPr="00731644">
        <w:rPr>
          <w:lang w:val="fr-CH"/>
        </w:rPr>
        <w:t xml:space="preserve"> capacité</w:t>
      </w:r>
      <w:r w:rsidR="005B603D" w:rsidRPr="00731644">
        <w:rPr>
          <w:lang w:val="fr-CH"/>
        </w:rPr>
        <w:t>s</w:t>
      </w:r>
      <w:r w:rsidRPr="00731644">
        <w:rPr>
          <w:lang w:val="fr-CH"/>
        </w:rPr>
        <w:t xml:space="preserve"> </w:t>
      </w:r>
      <w:r w:rsidR="0083174F" w:rsidRPr="00731644">
        <w:rPr>
          <w:lang w:val="fr-CH"/>
        </w:rPr>
        <w:t>institutionnelles</w:t>
      </w:r>
      <w:r w:rsidRPr="00731644">
        <w:rPr>
          <w:lang w:val="fr-CH"/>
        </w:rPr>
        <w:t xml:space="preserve"> </w:t>
      </w:r>
      <w:r w:rsidR="00183B3D" w:rsidRPr="00731644">
        <w:rPr>
          <w:lang w:val="fr-CH"/>
        </w:rPr>
        <w:t>ainsi que</w:t>
      </w:r>
      <w:r w:rsidRPr="00731644">
        <w:rPr>
          <w:lang w:val="fr-CH"/>
        </w:rPr>
        <w:t xml:space="preserve"> les connaissances du personnel</w:t>
      </w:r>
      <w:r w:rsidR="00183B3D" w:rsidRPr="00731644">
        <w:rPr>
          <w:lang w:val="fr-CH"/>
        </w:rPr>
        <w:t xml:space="preserve"> et, par là,</w:t>
      </w:r>
      <w:r w:rsidR="00F31DD5" w:rsidRPr="00731644">
        <w:rPr>
          <w:lang w:val="fr-CH"/>
        </w:rPr>
        <w:t xml:space="preserve"> </w:t>
      </w:r>
      <w:r w:rsidRPr="00731644">
        <w:rPr>
          <w:lang w:val="fr-CH"/>
        </w:rPr>
        <w:t xml:space="preserve">la qualité des services rendus </w:t>
      </w:r>
      <w:r w:rsidR="00516407">
        <w:rPr>
          <w:lang w:val="fr-CH"/>
        </w:rPr>
        <w:t>aux personnes</w:t>
      </w:r>
      <w:r w:rsidRPr="00731644">
        <w:rPr>
          <w:lang w:val="fr-CH"/>
        </w:rPr>
        <w:t xml:space="preserve"> relativement difficiles à employer</w:t>
      </w:r>
      <w:r w:rsidR="004C7BF6" w:rsidRPr="00731644">
        <w:rPr>
          <w:lang w:val="fr-CH"/>
        </w:rPr>
        <w:t>)</w:t>
      </w:r>
      <w:r w:rsidR="005072A0">
        <w:rPr>
          <w:lang w:val="fr-CH"/>
        </w:rPr>
        <w:t>;</w:t>
      </w:r>
    </w:p>
    <w:p w:rsidR="004C7BF6" w:rsidRPr="00731644" w:rsidRDefault="00FE2083" w:rsidP="006C3DFB">
      <w:pPr>
        <w:pStyle w:val="Bullet1G"/>
        <w:rPr>
          <w:lang w:val="fr-CH"/>
        </w:rPr>
      </w:pPr>
      <w:r w:rsidRPr="00731644">
        <w:rPr>
          <w:lang w:val="fr-CH"/>
        </w:rPr>
        <w:t xml:space="preserve">Améliorer les services dans le </w:t>
      </w:r>
      <w:r w:rsidR="00183B3D" w:rsidRPr="00731644">
        <w:rPr>
          <w:lang w:val="fr-CH"/>
        </w:rPr>
        <w:t>d</w:t>
      </w:r>
      <w:r w:rsidRPr="00731644">
        <w:rPr>
          <w:lang w:val="fr-CH"/>
        </w:rPr>
        <w:t>omaine de l</w:t>
      </w:r>
      <w:r w:rsidR="00425386" w:rsidRPr="00731644">
        <w:rPr>
          <w:lang w:val="fr-CH"/>
        </w:rPr>
        <w:t>’</w:t>
      </w:r>
      <w:r w:rsidRPr="00731644">
        <w:rPr>
          <w:lang w:val="fr-CH"/>
        </w:rPr>
        <w:t xml:space="preserve">emploi en organisant et en </w:t>
      </w:r>
      <w:r w:rsidR="00183B3D" w:rsidRPr="00731644">
        <w:rPr>
          <w:lang w:val="fr-CH"/>
        </w:rPr>
        <w:t>assurant des formations à l</w:t>
      </w:r>
      <w:r w:rsidR="00425386" w:rsidRPr="00731644">
        <w:rPr>
          <w:lang w:val="fr-CH"/>
        </w:rPr>
        <w:t>’</w:t>
      </w:r>
      <w:r w:rsidR="00183B3D" w:rsidRPr="00731644">
        <w:rPr>
          <w:lang w:val="fr-CH"/>
        </w:rPr>
        <w:t xml:space="preserve">intention des Roms, des </w:t>
      </w:r>
      <w:r w:rsidR="002A5033" w:rsidRPr="00731644">
        <w:rPr>
          <w:lang w:val="fr-CH"/>
        </w:rPr>
        <w:t>Ashkali</w:t>
      </w:r>
      <w:r w:rsidR="00183B3D" w:rsidRPr="00731644">
        <w:rPr>
          <w:lang w:val="fr-CH"/>
        </w:rPr>
        <w:t xml:space="preserve"> et des </w:t>
      </w:r>
      <w:r w:rsidR="005B603D" w:rsidRPr="00731644">
        <w:rPr>
          <w:lang w:val="fr-CH"/>
        </w:rPr>
        <w:t>t</w:t>
      </w:r>
      <w:r w:rsidR="00A95D03" w:rsidRPr="00731644">
        <w:rPr>
          <w:lang w:val="fr-CH"/>
        </w:rPr>
        <w:t>ziganes</w:t>
      </w:r>
      <w:r w:rsidR="00183B3D" w:rsidRPr="00731644">
        <w:rPr>
          <w:lang w:val="fr-CH"/>
        </w:rPr>
        <w:t xml:space="preserve"> qui sont résidents monténégrins</w:t>
      </w:r>
      <w:r w:rsidR="002061AB">
        <w:rPr>
          <w:lang w:val="fr-CH"/>
        </w:rPr>
        <w:t>;</w:t>
      </w:r>
      <w:r w:rsidR="00183B3D" w:rsidRPr="00731644">
        <w:rPr>
          <w:lang w:val="fr-CH"/>
        </w:rPr>
        <w:t xml:space="preserve"> </w:t>
      </w:r>
    </w:p>
    <w:p w:rsidR="004C7BF6" w:rsidRPr="00731644" w:rsidRDefault="00183B3D" w:rsidP="006C3DFB">
      <w:pPr>
        <w:pStyle w:val="Bullet1G"/>
        <w:rPr>
          <w:lang w:val="fr-CH"/>
        </w:rPr>
      </w:pPr>
      <w:r w:rsidRPr="00731644">
        <w:rPr>
          <w:lang w:val="fr-CH"/>
        </w:rPr>
        <w:t>Soutenir le développement d</w:t>
      </w:r>
      <w:r w:rsidR="00425386" w:rsidRPr="00731644">
        <w:rPr>
          <w:lang w:val="fr-CH"/>
        </w:rPr>
        <w:t>’</w:t>
      </w:r>
      <w:r w:rsidR="0083174F" w:rsidRPr="00731644">
        <w:rPr>
          <w:lang w:val="fr-CH"/>
        </w:rPr>
        <w:t>entreprises</w:t>
      </w:r>
      <w:r w:rsidRPr="00731644">
        <w:rPr>
          <w:lang w:val="fr-CH"/>
        </w:rPr>
        <w:t xml:space="preserve"> en identifiant </w:t>
      </w:r>
      <w:r w:rsidR="002243EE" w:rsidRPr="00731644">
        <w:rPr>
          <w:lang w:val="fr-CH"/>
        </w:rPr>
        <w:t>à l</w:t>
      </w:r>
      <w:r w:rsidR="00425386" w:rsidRPr="00731644">
        <w:rPr>
          <w:lang w:val="fr-CH"/>
        </w:rPr>
        <w:t>’</w:t>
      </w:r>
      <w:r w:rsidR="002243EE" w:rsidRPr="00731644">
        <w:rPr>
          <w:lang w:val="fr-CH"/>
        </w:rPr>
        <w:t xml:space="preserve">aide de critères préétablis </w:t>
      </w:r>
      <w:r w:rsidRPr="00731644">
        <w:rPr>
          <w:lang w:val="fr-CH"/>
        </w:rPr>
        <w:t xml:space="preserve">les bénéficiaires potentiels de subventions </w:t>
      </w:r>
      <w:r w:rsidR="002243EE" w:rsidRPr="00731644">
        <w:rPr>
          <w:lang w:val="fr-CH"/>
        </w:rPr>
        <w:t>pour le lancement de</w:t>
      </w:r>
      <w:r w:rsidRPr="00731644">
        <w:rPr>
          <w:lang w:val="fr-CH"/>
        </w:rPr>
        <w:t xml:space="preserve"> leur propre activité économique, et concrétis</w:t>
      </w:r>
      <w:r w:rsidR="002243EE" w:rsidRPr="00731644">
        <w:rPr>
          <w:lang w:val="fr-CH"/>
        </w:rPr>
        <w:t>er l</w:t>
      </w:r>
      <w:r w:rsidRPr="00731644">
        <w:rPr>
          <w:lang w:val="fr-CH"/>
        </w:rPr>
        <w:t>es idées d</w:t>
      </w:r>
      <w:r w:rsidR="00425386" w:rsidRPr="00731644">
        <w:rPr>
          <w:lang w:val="fr-CH"/>
        </w:rPr>
        <w:t>’</w:t>
      </w:r>
      <w:r w:rsidRPr="00731644">
        <w:rPr>
          <w:lang w:val="fr-CH"/>
        </w:rPr>
        <w:t>activité par l</w:t>
      </w:r>
      <w:r w:rsidR="00425386" w:rsidRPr="00731644">
        <w:rPr>
          <w:lang w:val="fr-CH"/>
        </w:rPr>
        <w:t>’</w:t>
      </w:r>
      <w:r w:rsidRPr="00731644">
        <w:rPr>
          <w:lang w:val="fr-CH"/>
        </w:rPr>
        <w:t>attribution de subvention</w:t>
      </w:r>
      <w:r w:rsidR="002243EE" w:rsidRPr="00731644">
        <w:rPr>
          <w:lang w:val="fr-CH"/>
        </w:rPr>
        <w:t>s</w:t>
      </w:r>
      <w:r w:rsidR="002061AB">
        <w:rPr>
          <w:lang w:val="fr-CH"/>
        </w:rPr>
        <w:t>.</w:t>
      </w:r>
      <w:r w:rsidR="006443F6" w:rsidRPr="00731644">
        <w:rPr>
          <w:lang w:val="fr-CH"/>
        </w:rPr>
        <w:t xml:space="preserve"> </w:t>
      </w:r>
    </w:p>
    <w:p w:rsidR="0023155C" w:rsidRPr="00731644" w:rsidRDefault="00D1210D" w:rsidP="00E72EC3">
      <w:pPr>
        <w:pStyle w:val="SingleTxtG"/>
        <w:rPr>
          <w:bCs/>
          <w:lang w:val="fr-CH"/>
        </w:rPr>
      </w:pPr>
      <w:r w:rsidRPr="00731644">
        <w:rPr>
          <w:bCs/>
          <w:lang w:val="fr-CH"/>
        </w:rPr>
        <w:t>235.</w:t>
      </w:r>
      <w:r w:rsidRPr="00731644">
        <w:rPr>
          <w:bCs/>
          <w:lang w:val="fr-CH"/>
        </w:rPr>
        <w:tab/>
      </w:r>
      <w:r w:rsidR="0023155C" w:rsidRPr="00731644">
        <w:rPr>
          <w:bCs/>
          <w:lang w:val="fr-CH"/>
        </w:rPr>
        <w:t>Trois municipalités</w:t>
      </w:r>
      <w:r w:rsidR="00F31DD5" w:rsidRPr="00731644">
        <w:rPr>
          <w:bCs/>
          <w:lang w:val="fr-CH"/>
        </w:rPr>
        <w:t xml:space="preserve"> – </w:t>
      </w:r>
      <w:r w:rsidR="0023155C" w:rsidRPr="00731644">
        <w:rPr>
          <w:bCs/>
          <w:lang w:val="fr-CH"/>
        </w:rPr>
        <w:t xml:space="preserve">Bar, Berane </w:t>
      </w:r>
      <w:r w:rsidR="00F26360" w:rsidRPr="00731644">
        <w:rPr>
          <w:bCs/>
          <w:lang w:val="fr-CH"/>
        </w:rPr>
        <w:t>et</w:t>
      </w:r>
      <w:r w:rsidR="0023155C" w:rsidRPr="00731644">
        <w:rPr>
          <w:bCs/>
          <w:lang w:val="fr-CH"/>
        </w:rPr>
        <w:t xml:space="preserve"> Niksic</w:t>
      </w:r>
      <w:r w:rsidR="00F31DD5" w:rsidRPr="00731644">
        <w:rPr>
          <w:bCs/>
          <w:lang w:val="fr-CH"/>
        </w:rPr>
        <w:t xml:space="preserve"> – </w:t>
      </w:r>
      <w:r w:rsidR="0023155C" w:rsidRPr="00731644">
        <w:rPr>
          <w:bCs/>
          <w:lang w:val="fr-CH"/>
        </w:rPr>
        <w:t>ont été choisies pour l</w:t>
      </w:r>
      <w:r w:rsidR="00425386" w:rsidRPr="00731644">
        <w:rPr>
          <w:bCs/>
          <w:lang w:val="fr-CH"/>
        </w:rPr>
        <w:t>’</w:t>
      </w:r>
      <w:r w:rsidR="0023155C" w:rsidRPr="00731644">
        <w:rPr>
          <w:bCs/>
          <w:lang w:val="fr-CH"/>
        </w:rPr>
        <w:t xml:space="preserve">exécution du projet, </w:t>
      </w:r>
      <w:r w:rsidR="002243EE" w:rsidRPr="00731644">
        <w:rPr>
          <w:bCs/>
          <w:lang w:val="fr-CH"/>
        </w:rPr>
        <w:t>eu égard à</w:t>
      </w:r>
      <w:r w:rsidR="0023155C" w:rsidRPr="00731644">
        <w:rPr>
          <w:bCs/>
          <w:lang w:val="fr-CH"/>
        </w:rPr>
        <w:t xml:space="preserve"> la représentation régionale.</w:t>
      </w:r>
      <w:r w:rsidR="00F31DD5" w:rsidRPr="00731644">
        <w:rPr>
          <w:bCs/>
          <w:lang w:val="fr-CH"/>
        </w:rPr>
        <w:t xml:space="preserve"> </w:t>
      </w:r>
      <w:r w:rsidR="0023155C" w:rsidRPr="00731644">
        <w:rPr>
          <w:bCs/>
          <w:lang w:val="fr-CH"/>
        </w:rPr>
        <w:t>Le groupe cible était constitué de Roms, d</w:t>
      </w:r>
      <w:r w:rsidR="00425386" w:rsidRPr="00731644">
        <w:rPr>
          <w:bCs/>
          <w:lang w:val="fr-CH"/>
        </w:rPr>
        <w:t>’</w:t>
      </w:r>
      <w:r w:rsidR="002A5033" w:rsidRPr="00731644">
        <w:rPr>
          <w:bCs/>
          <w:lang w:val="fr-CH"/>
        </w:rPr>
        <w:t>Ashkali</w:t>
      </w:r>
      <w:r w:rsidR="0023155C" w:rsidRPr="00731644">
        <w:rPr>
          <w:bCs/>
          <w:lang w:val="fr-CH"/>
        </w:rPr>
        <w:t xml:space="preserve"> et d</w:t>
      </w:r>
      <w:r w:rsidR="002243EE" w:rsidRPr="00731644">
        <w:rPr>
          <w:bCs/>
          <w:lang w:val="fr-CH"/>
        </w:rPr>
        <w:t>e t</w:t>
      </w:r>
      <w:r w:rsidR="00A95D03" w:rsidRPr="00731644">
        <w:rPr>
          <w:bCs/>
          <w:lang w:val="fr-CH"/>
        </w:rPr>
        <w:t>ziganes</w:t>
      </w:r>
      <w:r w:rsidR="0023155C" w:rsidRPr="00731644">
        <w:rPr>
          <w:bCs/>
          <w:lang w:val="fr-CH"/>
        </w:rPr>
        <w:t xml:space="preserve"> inscrits dans les bureaux pour l</w:t>
      </w:r>
      <w:r w:rsidR="00425386" w:rsidRPr="00731644">
        <w:rPr>
          <w:bCs/>
          <w:lang w:val="fr-CH"/>
        </w:rPr>
        <w:t>’</w:t>
      </w:r>
      <w:r w:rsidR="0023155C" w:rsidRPr="00731644">
        <w:rPr>
          <w:bCs/>
          <w:lang w:val="fr-CH"/>
        </w:rPr>
        <w:t xml:space="preserve">emploi des municipalités où le projet était mis en œuvre et qui </w:t>
      </w:r>
      <w:r w:rsidR="002243EE" w:rsidRPr="00731644">
        <w:rPr>
          <w:bCs/>
          <w:lang w:val="fr-CH"/>
        </w:rPr>
        <w:t>satisfaisaient aux</w:t>
      </w:r>
      <w:r w:rsidR="0023155C" w:rsidRPr="00731644">
        <w:rPr>
          <w:bCs/>
          <w:lang w:val="fr-CH"/>
        </w:rPr>
        <w:t xml:space="preserve"> critères fixés pour</w:t>
      </w:r>
      <w:r w:rsidR="00F31DD5" w:rsidRPr="00731644">
        <w:rPr>
          <w:bCs/>
          <w:lang w:val="fr-CH"/>
        </w:rPr>
        <w:t xml:space="preserve"> </w:t>
      </w:r>
      <w:r w:rsidR="0023155C" w:rsidRPr="00731644">
        <w:rPr>
          <w:bCs/>
          <w:lang w:val="fr-CH"/>
        </w:rPr>
        <w:t>son exécution</w:t>
      </w:r>
      <w:r w:rsidR="004C7BF6" w:rsidRPr="00731644">
        <w:rPr>
          <w:bCs/>
          <w:lang w:val="fr-CH"/>
        </w:rPr>
        <w:t xml:space="preserve">. </w:t>
      </w:r>
    </w:p>
    <w:p w:rsidR="004C7BF6" w:rsidRPr="00731644" w:rsidRDefault="00D1210D" w:rsidP="00E72EC3">
      <w:pPr>
        <w:pStyle w:val="SingleTxtG"/>
        <w:rPr>
          <w:lang w:val="fr-CH"/>
        </w:rPr>
      </w:pPr>
      <w:r w:rsidRPr="00731644">
        <w:rPr>
          <w:lang w:val="fr-CH"/>
        </w:rPr>
        <w:t>236.</w:t>
      </w:r>
      <w:r w:rsidRPr="00731644">
        <w:rPr>
          <w:lang w:val="fr-CH"/>
        </w:rPr>
        <w:tab/>
      </w:r>
      <w:r w:rsidR="0023155C" w:rsidRPr="00731644">
        <w:rPr>
          <w:lang w:val="fr-CH"/>
        </w:rPr>
        <w:t>Aux fins de l</w:t>
      </w:r>
      <w:r w:rsidR="00425386" w:rsidRPr="00731644">
        <w:rPr>
          <w:lang w:val="fr-CH"/>
        </w:rPr>
        <w:t>’</w:t>
      </w:r>
      <w:r w:rsidR="0023155C" w:rsidRPr="00731644">
        <w:rPr>
          <w:lang w:val="fr-CH"/>
        </w:rPr>
        <w:t>amélioration des capacités institutionnelles de l</w:t>
      </w:r>
      <w:r w:rsidR="00425386" w:rsidRPr="00731644">
        <w:rPr>
          <w:lang w:val="fr-CH"/>
        </w:rPr>
        <w:t>’</w:t>
      </w:r>
      <w:r w:rsidR="0023155C" w:rsidRPr="00731644">
        <w:rPr>
          <w:lang w:val="fr-CH"/>
        </w:rPr>
        <w:t>Agence pour l</w:t>
      </w:r>
      <w:r w:rsidR="00425386" w:rsidRPr="00731644">
        <w:rPr>
          <w:lang w:val="fr-CH"/>
        </w:rPr>
        <w:t>’</w:t>
      </w:r>
      <w:r w:rsidR="0023155C" w:rsidRPr="00731644">
        <w:rPr>
          <w:lang w:val="fr-CH"/>
        </w:rPr>
        <w:t>emploi, un groupe de travail chargé de suivre l</w:t>
      </w:r>
      <w:r w:rsidR="00425386" w:rsidRPr="00731644">
        <w:rPr>
          <w:lang w:val="fr-CH"/>
        </w:rPr>
        <w:t>’</w:t>
      </w:r>
      <w:r w:rsidR="0023155C" w:rsidRPr="00731644">
        <w:rPr>
          <w:lang w:val="fr-CH"/>
        </w:rPr>
        <w:t>exécution du projet</w:t>
      </w:r>
      <w:r w:rsidR="00F31DD5" w:rsidRPr="00731644">
        <w:rPr>
          <w:lang w:val="fr-CH"/>
        </w:rPr>
        <w:t xml:space="preserve"> </w:t>
      </w:r>
      <w:r w:rsidR="0023155C" w:rsidRPr="00731644">
        <w:rPr>
          <w:lang w:val="fr-CH"/>
        </w:rPr>
        <w:t>a été mis en place</w:t>
      </w:r>
      <w:r w:rsidR="002061AB">
        <w:rPr>
          <w:lang w:val="fr-CH"/>
        </w:rPr>
        <w:t xml:space="preserve"> en octobre </w:t>
      </w:r>
      <w:r w:rsidR="004C7BF6" w:rsidRPr="00731644">
        <w:rPr>
          <w:lang w:val="fr-CH"/>
        </w:rPr>
        <w:t>2007</w:t>
      </w:r>
      <w:r w:rsidR="00662B23" w:rsidRPr="00731644">
        <w:rPr>
          <w:lang w:val="fr-CH"/>
        </w:rPr>
        <w:t>. Dans chacun des trois bureaux pour l</w:t>
      </w:r>
      <w:r w:rsidR="00425386" w:rsidRPr="00731644">
        <w:rPr>
          <w:lang w:val="fr-CH"/>
        </w:rPr>
        <w:t>’</w:t>
      </w:r>
      <w:r w:rsidR="00662B23" w:rsidRPr="00731644">
        <w:rPr>
          <w:lang w:val="fr-CH"/>
        </w:rPr>
        <w:t xml:space="preserve">emploi, le coordonnateur local </w:t>
      </w:r>
      <w:r w:rsidR="002243EE" w:rsidRPr="00731644">
        <w:rPr>
          <w:lang w:val="fr-CH"/>
        </w:rPr>
        <w:t>a mené</w:t>
      </w:r>
      <w:r w:rsidR="00662B23" w:rsidRPr="00731644">
        <w:rPr>
          <w:lang w:val="fr-CH"/>
        </w:rPr>
        <w:t xml:space="preserve"> </w:t>
      </w:r>
      <w:r w:rsidR="00153E5E" w:rsidRPr="00731644">
        <w:rPr>
          <w:lang w:val="fr-CH"/>
        </w:rPr>
        <w:t>l</w:t>
      </w:r>
      <w:r w:rsidR="00662B23" w:rsidRPr="00731644">
        <w:rPr>
          <w:lang w:val="fr-CH"/>
        </w:rPr>
        <w:t>es activités définies par les responsables du projet</w:t>
      </w:r>
      <w:r w:rsidR="006137CD" w:rsidRPr="00731644">
        <w:rPr>
          <w:lang w:val="fr-CH"/>
        </w:rPr>
        <w:t>,</w:t>
      </w:r>
      <w:r w:rsidR="00662B23" w:rsidRPr="00731644">
        <w:rPr>
          <w:lang w:val="fr-CH"/>
        </w:rPr>
        <w:t xml:space="preserve"> </w:t>
      </w:r>
      <w:r w:rsidR="006137CD" w:rsidRPr="00731644">
        <w:rPr>
          <w:lang w:val="fr-CH"/>
        </w:rPr>
        <w:t>consista</w:t>
      </w:r>
      <w:r w:rsidR="00153E5E" w:rsidRPr="00731644">
        <w:rPr>
          <w:lang w:val="fr-CH"/>
        </w:rPr>
        <w:t>nt à analyser</w:t>
      </w:r>
      <w:r w:rsidR="00F31DD5" w:rsidRPr="00731644">
        <w:rPr>
          <w:lang w:val="fr-CH"/>
        </w:rPr>
        <w:t xml:space="preserve"> </w:t>
      </w:r>
      <w:r w:rsidR="00662B23" w:rsidRPr="00731644">
        <w:rPr>
          <w:lang w:val="fr-CH"/>
        </w:rPr>
        <w:t xml:space="preserve">la motivation des membres des communautés rom, ashkali et </w:t>
      </w:r>
      <w:r w:rsidR="00153E5E" w:rsidRPr="00731644">
        <w:rPr>
          <w:lang w:val="fr-CH"/>
        </w:rPr>
        <w:t>tziga</w:t>
      </w:r>
      <w:r w:rsidR="00662B23" w:rsidRPr="00731644">
        <w:rPr>
          <w:lang w:val="fr-CH"/>
        </w:rPr>
        <w:t>ne</w:t>
      </w:r>
      <w:r w:rsidR="00153E5E" w:rsidRPr="00731644">
        <w:rPr>
          <w:lang w:val="fr-CH"/>
        </w:rPr>
        <w:t>, à sélectionner ceux qui étaient</w:t>
      </w:r>
      <w:r w:rsidR="00662B23" w:rsidRPr="00731644">
        <w:rPr>
          <w:lang w:val="fr-CH"/>
        </w:rPr>
        <w:t xml:space="preserve"> en mesure de participer aux programmes de formation, à </w:t>
      </w:r>
      <w:r w:rsidR="00153E5E" w:rsidRPr="00731644">
        <w:rPr>
          <w:lang w:val="fr-CH"/>
        </w:rPr>
        <w:t>prendre</w:t>
      </w:r>
      <w:r w:rsidR="00662B23" w:rsidRPr="00731644">
        <w:rPr>
          <w:lang w:val="fr-CH"/>
        </w:rPr>
        <w:t xml:space="preserve"> de</w:t>
      </w:r>
      <w:r w:rsidR="00153E5E" w:rsidRPr="00731644">
        <w:rPr>
          <w:lang w:val="fr-CH"/>
        </w:rPr>
        <w:t>s</w:t>
      </w:r>
      <w:r w:rsidR="00662B23" w:rsidRPr="00731644">
        <w:rPr>
          <w:lang w:val="fr-CH"/>
        </w:rPr>
        <w:t xml:space="preserve"> contact</w:t>
      </w:r>
      <w:r w:rsidR="006D05E6" w:rsidRPr="00731644">
        <w:rPr>
          <w:lang w:val="fr-CH"/>
        </w:rPr>
        <w:t>s</w:t>
      </w:r>
      <w:r w:rsidR="00662B23" w:rsidRPr="00731644">
        <w:rPr>
          <w:lang w:val="fr-CH"/>
        </w:rPr>
        <w:t xml:space="preserve"> avec des </w:t>
      </w:r>
      <w:r w:rsidR="00662B23" w:rsidRPr="002061AB">
        <w:rPr>
          <w:lang w:val="fr-CH"/>
        </w:rPr>
        <w:t xml:space="preserve">partenaires locaux, </w:t>
      </w:r>
      <w:r w:rsidR="00153E5E" w:rsidRPr="002061AB">
        <w:rPr>
          <w:lang w:val="fr-CH"/>
        </w:rPr>
        <w:t xml:space="preserve">à apporter un </w:t>
      </w:r>
      <w:r w:rsidR="00662B23" w:rsidRPr="002061AB">
        <w:rPr>
          <w:lang w:val="fr-CH"/>
        </w:rPr>
        <w:t>so</w:t>
      </w:r>
      <w:r w:rsidR="006D05E6" w:rsidRPr="002061AB">
        <w:rPr>
          <w:lang w:val="fr-CH"/>
        </w:rPr>
        <w:t>u</w:t>
      </w:r>
      <w:r w:rsidR="00662B23" w:rsidRPr="002061AB">
        <w:rPr>
          <w:lang w:val="fr-CH"/>
        </w:rPr>
        <w:t>tien à l</w:t>
      </w:r>
      <w:r w:rsidR="00425386" w:rsidRPr="002061AB">
        <w:rPr>
          <w:lang w:val="fr-CH"/>
        </w:rPr>
        <w:t>’</w:t>
      </w:r>
      <w:r w:rsidR="00662B23" w:rsidRPr="002061AB">
        <w:rPr>
          <w:lang w:val="fr-CH"/>
        </w:rPr>
        <w:t xml:space="preserve">emploi </w:t>
      </w:r>
      <w:r w:rsidR="00B569C5" w:rsidRPr="002061AB">
        <w:rPr>
          <w:lang w:val="fr-CH"/>
        </w:rPr>
        <w:t>des personnes</w:t>
      </w:r>
      <w:r w:rsidR="00662B23" w:rsidRPr="002061AB">
        <w:rPr>
          <w:lang w:val="fr-CH"/>
        </w:rPr>
        <w:t xml:space="preserve"> formées, </w:t>
      </w:r>
      <w:r w:rsidR="00153E5E" w:rsidRPr="002061AB">
        <w:rPr>
          <w:lang w:val="fr-CH"/>
        </w:rPr>
        <w:t>à</w:t>
      </w:r>
      <w:r w:rsidR="002061AB" w:rsidRPr="002061AB">
        <w:rPr>
          <w:lang w:val="fr-CH"/>
        </w:rPr>
        <w:t xml:space="preserve"> </w:t>
      </w:r>
      <w:r w:rsidR="00153E5E" w:rsidRPr="002061AB">
        <w:rPr>
          <w:lang w:val="fr-CH"/>
        </w:rPr>
        <w:t>assurer</w:t>
      </w:r>
      <w:r w:rsidR="006137CD" w:rsidRPr="002061AB">
        <w:rPr>
          <w:lang w:val="fr-CH"/>
        </w:rPr>
        <w:t xml:space="preserve"> </w:t>
      </w:r>
      <w:r w:rsidR="00153E5E" w:rsidRPr="002061AB">
        <w:rPr>
          <w:lang w:val="fr-CH"/>
        </w:rPr>
        <w:t>le</w:t>
      </w:r>
      <w:r w:rsidR="00662B23" w:rsidRPr="002061AB">
        <w:rPr>
          <w:lang w:val="fr-CH"/>
        </w:rPr>
        <w:t xml:space="preserve"> suivi de </w:t>
      </w:r>
      <w:r w:rsidR="00662B23" w:rsidRPr="00731644">
        <w:rPr>
          <w:lang w:val="fr-CH"/>
        </w:rPr>
        <w:t>l</w:t>
      </w:r>
      <w:r w:rsidR="00425386" w:rsidRPr="00731644">
        <w:rPr>
          <w:lang w:val="fr-CH"/>
        </w:rPr>
        <w:t>’</w:t>
      </w:r>
      <w:r w:rsidR="00662B23" w:rsidRPr="00731644">
        <w:rPr>
          <w:lang w:val="fr-CH"/>
        </w:rPr>
        <w:t>exécution du projet</w:t>
      </w:r>
      <w:r w:rsidR="00F31DD5" w:rsidRPr="00731644">
        <w:rPr>
          <w:lang w:val="fr-CH"/>
        </w:rPr>
        <w:t xml:space="preserve"> </w:t>
      </w:r>
      <w:r w:rsidR="00662B23" w:rsidRPr="00731644">
        <w:rPr>
          <w:lang w:val="fr-CH"/>
        </w:rPr>
        <w:t xml:space="preserve">et </w:t>
      </w:r>
      <w:r w:rsidR="00153E5E" w:rsidRPr="00731644">
        <w:rPr>
          <w:lang w:val="fr-CH"/>
        </w:rPr>
        <w:t>en rendre compte</w:t>
      </w:r>
      <w:r w:rsidR="006D05E6" w:rsidRPr="00731644">
        <w:rPr>
          <w:lang w:val="fr-CH"/>
        </w:rPr>
        <w:t>.</w:t>
      </w:r>
      <w:r w:rsidR="00F31DD5" w:rsidRPr="00731644">
        <w:rPr>
          <w:lang w:val="fr-CH"/>
        </w:rPr>
        <w:t xml:space="preserve"> </w:t>
      </w:r>
    </w:p>
    <w:p w:rsidR="004C7BF6" w:rsidRPr="00731644" w:rsidRDefault="00D1210D" w:rsidP="004C7BF6">
      <w:pPr>
        <w:pStyle w:val="SingleTxtG"/>
        <w:rPr>
          <w:bCs/>
          <w:lang w:val="fr-CH"/>
        </w:rPr>
      </w:pPr>
      <w:r w:rsidRPr="00731644">
        <w:rPr>
          <w:bCs/>
          <w:lang w:val="fr-CH"/>
        </w:rPr>
        <w:t>237.</w:t>
      </w:r>
      <w:r w:rsidRPr="00731644">
        <w:rPr>
          <w:bCs/>
          <w:lang w:val="fr-CH"/>
        </w:rPr>
        <w:tab/>
      </w:r>
      <w:r w:rsidR="006D05E6" w:rsidRPr="00731644">
        <w:rPr>
          <w:bCs/>
          <w:lang w:val="fr-CH"/>
        </w:rPr>
        <w:t>Afin d</w:t>
      </w:r>
      <w:r w:rsidR="00425386" w:rsidRPr="00731644">
        <w:rPr>
          <w:bCs/>
          <w:lang w:val="fr-CH"/>
        </w:rPr>
        <w:t>’</w:t>
      </w:r>
      <w:r w:rsidR="006D05E6" w:rsidRPr="00731644">
        <w:rPr>
          <w:bCs/>
          <w:lang w:val="fr-CH"/>
        </w:rPr>
        <w:t>améliorer les capacités des institutions qui ont affaire aux communautés rom, a</w:t>
      </w:r>
      <w:r w:rsidR="0083174F" w:rsidRPr="00731644">
        <w:rPr>
          <w:bCs/>
          <w:lang w:val="fr-CH"/>
        </w:rPr>
        <w:t>shkali</w:t>
      </w:r>
      <w:r w:rsidR="006D05E6" w:rsidRPr="00731644">
        <w:rPr>
          <w:bCs/>
          <w:lang w:val="fr-CH"/>
        </w:rPr>
        <w:t xml:space="preserve"> et </w:t>
      </w:r>
      <w:r w:rsidR="00153E5E" w:rsidRPr="00731644">
        <w:rPr>
          <w:bCs/>
          <w:lang w:val="fr-CH"/>
        </w:rPr>
        <w:t>tziga</w:t>
      </w:r>
      <w:r w:rsidR="006D05E6" w:rsidRPr="00731644">
        <w:rPr>
          <w:bCs/>
          <w:lang w:val="fr-CH"/>
        </w:rPr>
        <w:t xml:space="preserve">ne, plusieurs séminaires ont été organisés dans les municipalités où le projet </w:t>
      </w:r>
      <w:r w:rsidR="00153E5E" w:rsidRPr="00731644">
        <w:rPr>
          <w:bCs/>
          <w:lang w:val="fr-CH"/>
        </w:rPr>
        <w:t xml:space="preserve">a été mis en </w:t>
      </w:r>
      <w:r w:rsidR="0083174F" w:rsidRPr="00731644">
        <w:rPr>
          <w:bCs/>
          <w:lang w:val="fr-CH"/>
        </w:rPr>
        <w:t>œuvre</w:t>
      </w:r>
      <w:r w:rsidR="006D05E6" w:rsidRPr="00731644">
        <w:rPr>
          <w:bCs/>
          <w:lang w:val="fr-CH"/>
        </w:rPr>
        <w:t>. Des représentants des bureaux pour l</w:t>
      </w:r>
      <w:r w:rsidR="00425386" w:rsidRPr="00731644">
        <w:rPr>
          <w:bCs/>
          <w:lang w:val="fr-CH"/>
        </w:rPr>
        <w:t>’</w:t>
      </w:r>
      <w:r w:rsidR="006D05E6" w:rsidRPr="00731644">
        <w:rPr>
          <w:bCs/>
          <w:lang w:val="fr-CH"/>
        </w:rPr>
        <w:t>emploi</w:t>
      </w:r>
      <w:r w:rsidR="00F301A4" w:rsidRPr="00731644">
        <w:rPr>
          <w:bCs/>
          <w:lang w:val="fr-CH"/>
        </w:rPr>
        <w:t xml:space="preserve"> et </w:t>
      </w:r>
      <w:r w:rsidR="006D05E6" w:rsidRPr="00731644">
        <w:rPr>
          <w:bCs/>
          <w:lang w:val="fr-CH"/>
        </w:rPr>
        <w:t>des cent</w:t>
      </w:r>
      <w:r w:rsidR="00153E5E" w:rsidRPr="00731644">
        <w:rPr>
          <w:bCs/>
          <w:lang w:val="fr-CH"/>
        </w:rPr>
        <w:t>r</w:t>
      </w:r>
      <w:r w:rsidR="006D05E6" w:rsidRPr="00731644">
        <w:rPr>
          <w:bCs/>
          <w:lang w:val="fr-CH"/>
        </w:rPr>
        <w:t>es d</w:t>
      </w:r>
      <w:r w:rsidR="00425386" w:rsidRPr="00731644">
        <w:rPr>
          <w:bCs/>
          <w:lang w:val="fr-CH"/>
        </w:rPr>
        <w:t>’</w:t>
      </w:r>
      <w:r w:rsidR="006D05E6" w:rsidRPr="00731644">
        <w:rPr>
          <w:bCs/>
          <w:lang w:val="fr-CH"/>
        </w:rPr>
        <w:t xml:space="preserve">action sociale </w:t>
      </w:r>
      <w:r w:rsidR="00F301A4" w:rsidRPr="00731644">
        <w:rPr>
          <w:bCs/>
          <w:lang w:val="fr-CH"/>
        </w:rPr>
        <w:t>ainsi que des représentants</w:t>
      </w:r>
      <w:r w:rsidR="006D05E6" w:rsidRPr="00731644">
        <w:rPr>
          <w:bCs/>
          <w:lang w:val="fr-CH"/>
        </w:rPr>
        <w:t xml:space="preserve"> </w:t>
      </w:r>
      <w:r w:rsidR="00153E5E" w:rsidRPr="00731644">
        <w:rPr>
          <w:bCs/>
          <w:lang w:val="fr-CH"/>
        </w:rPr>
        <w:t xml:space="preserve">des </w:t>
      </w:r>
      <w:r w:rsidR="006D05E6" w:rsidRPr="00731644">
        <w:rPr>
          <w:bCs/>
          <w:lang w:val="fr-CH"/>
        </w:rPr>
        <w:t>communautés rom, a</w:t>
      </w:r>
      <w:r w:rsidR="0083174F" w:rsidRPr="00731644">
        <w:rPr>
          <w:bCs/>
          <w:lang w:val="fr-CH"/>
        </w:rPr>
        <w:t>s</w:t>
      </w:r>
      <w:r w:rsidR="006D05E6" w:rsidRPr="00731644">
        <w:rPr>
          <w:bCs/>
          <w:lang w:val="fr-CH"/>
        </w:rPr>
        <w:t xml:space="preserve">hkali et </w:t>
      </w:r>
      <w:r w:rsidR="00153E5E" w:rsidRPr="00731644">
        <w:rPr>
          <w:bCs/>
          <w:lang w:val="fr-CH"/>
        </w:rPr>
        <w:t>tziga</w:t>
      </w:r>
      <w:r w:rsidR="006D05E6" w:rsidRPr="00731644">
        <w:rPr>
          <w:bCs/>
          <w:lang w:val="fr-CH"/>
        </w:rPr>
        <w:t xml:space="preserve">ne </w:t>
      </w:r>
      <w:r w:rsidR="00F301A4" w:rsidRPr="00731644">
        <w:rPr>
          <w:bCs/>
          <w:lang w:val="fr-CH"/>
        </w:rPr>
        <w:t>faisant partie des</w:t>
      </w:r>
      <w:r w:rsidR="006D05E6" w:rsidRPr="00731644">
        <w:rPr>
          <w:bCs/>
          <w:lang w:val="fr-CH"/>
        </w:rPr>
        <w:t xml:space="preserve"> organisations non gouvernementales locales y ont pris p</w:t>
      </w:r>
      <w:r w:rsidR="002061AB">
        <w:rPr>
          <w:bCs/>
          <w:lang w:val="fr-CH"/>
        </w:rPr>
        <w:t xml:space="preserve">art. </w:t>
      </w:r>
      <w:r w:rsidR="006D05E6" w:rsidRPr="00731644">
        <w:rPr>
          <w:bCs/>
          <w:lang w:val="fr-CH"/>
        </w:rPr>
        <w:t xml:space="preserve">Outre les conférences sur les caractéristiques de ces communautés, </w:t>
      </w:r>
      <w:r w:rsidR="004A7858" w:rsidRPr="00731644">
        <w:rPr>
          <w:bCs/>
          <w:lang w:val="fr-CH"/>
        </w:rPr>
        <w:t>sur les relations entre les institutions qui interviennent auprès d</w:t>
      </w:r>
      <w:r w:rsidR="00425386" w:rsidRPr="00731644">
        <w:rPr>
          <w:bCs/>
          <w:lang w:val="fr-CH"/>
        </w:rPr>
        <w:t>’</w:t>
      </w:r>
      <w:r w:rsidR="004A7858" w:rsidRPr="00731644">
        <w:rPr>
          <w:bCs/>
          <w:lang w:val="fr-CH"/>
        </w:rPr>
        <w:t xml:space="preserve">elles et </w:t>
      </w:r>
      <w:r w:rsidR="006D05E6" w:rsidRPr="00731644">
        <w:rPr>
          <w:bCs/>
          <w:lang w:val="fr-CH"/>
        </w:rPr>
        <w:t xml:space="preserve">sur les enseignements tirés </w:t>
      </w:r>
      <w:r w:rsidR="004A7858" w:rsidRPr="00731644">
        <w:rPr>
          <w:bCs/>
          <w:lang w:val="fr-CH"/>
        </w:rPr>
        <w:t>des actions déjà menées</w:t>
      </w:r>
      <w:r w:rsidR="00F301A4" w:rsidRPr="00731644">
        <w:rPr>
          <w:bCs/>
          <w:lang w:val="fr-CH"/>
        </w:rPr>
        <w:t>, ces séminaires</w:t>
      </w:r>
      <w:r w:rsidR="006D05E6" w:rsidRPr="00731644">
        <w:rPr>
          <w:bCs/>
          <w:lang w:val="fr-CH"/>
        </w:rPr>
        <w:t xml:space="preserve"> ont permis de mettre en commun l</w:t>
      </w:r>
      <w:r w:rsidR="00425386" w:rsidRPr="00731644">
        <w:rPr>
          <w:bCs/>
          <w:lang w:val="fr-CH"/>
        </w:rPr>
        <w:t>’</w:t>
      </w:r>
      <w:r w:rsidR="006D05E6" w:rsidRPr="00731644">
        <w:rPr>
          <w:bCs/>
          <w:lang w:val="fr-CH"/>
        </w:rPr>
        <w:t>expérience acquise, l</w:t>
      </w:r>
      <w:r w:rsidR="00425386" w:rsidRPr="00731644">
        <w:rPr>
          <w:bCs/>
          <w:lang w:val="fr-CH"/>
        </w:rPr>
        <w:t>’</w:t>
      </w:r>
      <w:r w:rsidR="006D05E6" w:rsidRPr="00731644">
        <w:rPr>
          <w:bCs/>
          <w:lang w:val="fr-CH"/>
        </w:rPr>
        <w:t>information disponible et les méthodes de travail, ainsi que d</w:t>
      </w:r>
      <w:r w:rsidR="00425386" w:rsidRPr="00731644">
        <w:rPr>
          <w:bCs/>
          <w:lang w:val="fr-CH"/>
        </w:rPr>
        <w:t>’</w:t>
      </w:r>
      <w:r w:rsidR="006D05E6" w:rsidRPr="00731644">
        <w:rPr>
          <w:bCs/>
          <w:lang w:val="fr-CH"/>
        </w:rPr>
        <w:t xml:space="preserve">exposer les principaux objectifs de la </w:t>
      </w:r>
      <w:r w:rsidR="004C7BF6" w:rsidRPr="00731644">
        <w:rPr>
          <w:bCs/>
          <w:lang w:val="fr-CH"/>
        </w:rPr>
        <w:t>Strat</w:t>
      </w:r>
      <w:r w:rsidR="007704DA" w:rsidRPr="00731644">
        <w:rPr>
          <w:bCs/>
          <w:lang w:val="fr-CH"/>
        </w:rPr>
        <w:t xml:space="preserve">égie </w:t>
      </w:r>
      <w:r w:rsidR="00ED593D" w:rsidRPr="00731644">
        <w:rPr>
          <w:bCs/>
          <w:lang w:val="fr-CH"/>
        </w:rPr>
        <w:t>d</w:t>
      </w:r>
      <w:r w:rsidR="00425386" w:rsidRPr="00731644">
        <w:rPr>
          <w:bCs/>
          <w:lang w:val="fr-CH"/>
        </w:rPr>
        <w:t>’</w:t>
      </w:r>
      <w:r w:rsidR="007704DA" w:rsidRPr="00731644">
        <w:rPr>
          <w:bCs/>
          <w:lang w:val="fr-CH"/>
        </w:rPr>
        <w:t xml:space="preserve">amélioration de la situation des Roms, des </w:t>
      </w:r>
      <w:r w:rsidR="002A5033" w:rsidRPr="00731644">
        <w:rPr>
          <w:bCs/>
          <w:lang w:val="fr-CH"/>
        </w:rPr>
        <w:t>Ashkali</w:t>
      </w:r>
      <w:r w:rsidR="007704DA" w:rsidRPr="00731644">
        <w:rPr>
          <w:bCs/>
          <w:lang w:val="fr-CH"/>
        </w:rPr>
        <w:t xml:space="preserve"> et des </w:t>
      </w:r>
      <w:r w:rsidR="00F301A4" w:rsidRPr="00731644">
        <w:rPr>
          <w:bCs/>
          <w:lang w:val="fr-CH"/>
        </w:rPr>
        <w:t>t</w:t>
      </w:r>
      <w:r w:rsidR="00A95D03" w:rsidRPr="00731644">
        <w:rPr>
          <w:bCs/>
          <w:lang w:val="fr-CH"/>
        </w:rPr>
        <w:t>ziganes</w:t>
      </w:r>
      <w:r w:rsidR="007704DA" w:rsidRPr="00731644">
        <w:rPr>
          <w:bCs/>
          <w:lang w:val="fr-CH"/>
        </w:rPr>
        <w:t xml:space="preserve"> au Monténégro</w:t>
      </w:r>
      <w:r w:rsidR="00F31DD5" w:rsidRPr="00731644">
        <w:rPr>
          <w:bCs/>
          <w:lang w:val="fr-CH"/>
        </w:rPr>
        <w:t xml:space="preserve"> </w:t>
      </w:r>
      <w:r w:rsidR="004C7BF6" w:rsidRPr="00731644">
        <w:rPr>
          <w:bCs/>
          <w:lang w:val="fr-CH"/>
        </w:rPr>
        <w:t>2008-2012.</w:t>
      </w:r>
    </w:p>
    <w:p w:rsidR="00F13D37" w:rsidRPr="00731644" w:rsidRDefault="00D1210D" w:rsidP="004C7BF6">
      <w:pPr>
        <w:pStyle w:val="SingleTxtG"/>
        <w:rPr>
          <w:bCs/>
          <w:lang w:val="fr-CH"/>
        </w:rPr>
      </w:pPr>
      <w:r w:rsidRPr="00731644">
        <w:rPr>
          <w:bCs/>
          <w:lang w:val="fr-CH"/>
        </w:rPr>
        <w:t>238.</w:t>
      </w:r>
      <w:r w:rsidRPr="00731644">
        <w:rPr>
          <w:bCs/>
          <w:lang w:val="fr-CH"/>
        </w:rPr>
        <w:tab/>
      </w:r>
      <w:r w:rsidR="007704DA" w:rsidRPr="00731644">
        <w:rPr>
          <w:bCs/>
          <w:lang w:val="fr-CH"/>
        </w:rPr>
        <w:t>Entre o</w:t>
      </w:r>
      <w:r w:rsidR="004C7BF6" w:rsidRPr="00731644">
        <w:rPr>
          <w:bCs/>
          <w:lang w:val="fr-CH"/>
        </w:rPr>
        <w:t>ctob</w:t>
      </w:r>
      <w:r w:rsidR="007704DA" w:rsidRPr="00731644">
        <w:rPr>
          <w:bCs/>
          <w:lang w:val="fr-CH"/>
        </w:rPr>
        <w:t>re</w:t>
      </w:r>
      <w:r w:rsidR="004C7BF6" w:rsidRPr="00731644">
        <w:rPr>
          <w:bCs/>
          <w:lang w:val="fr-CH"/>
        </w:rPr>
        <w:t xml:space="preserve"> 2007</w:t>
      </w:r>
      <w:r w:rsidR="007704DA" w:rsidRPr="00731644">
        <w:rPr>
          <w:bCs/>
          <w:lang w:val="fr-CH"/>
        </w:rPr>
        <w:t xml:space="preserve"> et décembre</w:t>
      </w:r>
      <w:r w:rsidR="004C7BF6" w:rsidRPr="00731644">
        <w:rPr>
          <w:bCs/>
          <w:lang w:val="fr-CH"/>
        </w:rPr>
        <w:t xml:space="preserve"> 2009, 75 memb</w:t>
      </w:r>
      <w:r w:rsidR="007704DA" w:rsidRPr="00731644">
        <w:rPr>
          <w:bCs/>
          <w:lang w:val="fr-CH"/>
        </w:rPr>
        <w:t>res</w:t>
      </w:r>
      <w:r w:rsidR="002A5033" w:rsidRPr="00731644">
        <w:rPr>
          <w:bCs/>
          <w:lang w:val="fr-CH"/>
        </w:rPr>
        <w:t xml:space="preserve"> des communautés rom, ashkali</w:t>
      </w:r>
      <w:r w:rsidR="007704DA" w:rsidRPr="00731644">
        <w:rPr>
          <w:bCs/>
          <w:lang w:val="fr-CH"/>
        </w:rPr>
        <w:t xml:space="preserve"> et </w:t>
      </w:r>
      <w:r w:rsidR="00F301A4" w:rsidRPr="00731644">
        <w:rPr>
          <w:bCs/>
          <w:lang w:val="fr-CH"/>
        </w:rPr>
        <w:t>tziga</w:t>
      </w:r>
      <w:r w:rsidR="007704DA" w:rsidRPr="00731644">
        <w:rPr>
          <w:bCs/>
          <w:lang w:val="fr-CH"/>
        </w:rPr>
        <w:t>ne ont été formés. Sept d</w:t>
      </w:r>
      <w:r w:rsidR="00425386" w:rsidRPr="00731644">
        <w:rPr>
          <w:bCs/>
          <w:lang w:val="fr-CH"/>
        </w:rPr>
        <w:t>’</w:t>
      </w:r>
      <w:r w:rsidR="007704DA" w:rsidRPr="00731644">
        <w:rPr>
          <w:bCs/>
          <w:lang w:val="fr-CH"/>
        </w:rPr>
        <w:t>ent</w:t>
      </w:r>
      <w:r w:rsidR="004A7858" w:rsidRPr="00731644">
        <w:rPr>
          <w:bCs/>
          <w:lang w:val="fr-CH"/>
        </w:rPr>
        <w:t>r</w:t>
      </w:r>
      <w:r w:rsidR="007704DA" w:rsidRPr="00731644">
        <w:rPr>
          <w:bCs/>
          <w:lang w:val="fr-CH"/>
        </w:rPr>
        <w:t xml:space="preserve">e eux ont trouvé du travail </w:t>
      </w:r>
      <w:r w:rsidR="006137CD" w:rsidRPr="00731644">
        <w:rPr>
          <w:bCs/>
          <w:lang w:val="fr-CH"/>
        </w:rPr>
        <w:t xml:space="preserve">dans des </w:t>
      </w:r>
      <w:r w:rsidR="009519D4" w:rsidRPr="00731644">
        <w:rPr>
          <w:bCs/>
          <w:lang w:val="fr-CH"/>
        </w:rPr>
        <w:t>entreprises à</w:t>
      </w:r>
      <w:r w:rsidR="007704DA" w:rsidRPr="00731644">
        <w:rPr>
          <w:bCs/>
          <w:lang w:val="fr-CH"/>
        </w:rPr>
        <w:t xml:space="preserve"> la fin de leur formation</w:t>
      </w:r>
      <w:r w:rsidR="004C7BF6" w:rsidRPr="00731644">
        <w:rPr>
          <w:bCs/>
          <w:lang w:val="fr-CH"/>
        </w:rPr>
        <w:t xml:space="preserve">. </w:t>
      </w:r>
      <w:r w:rsidR="009519D4" w:rsidRPr="00731644">
        <w:rPr>
          <w:bCs/>
          <w:lang w:val="fr-CH"/>
        </w:rPr>
        <w:t>Trente-neuf des participants étaient des femmes</w:t>
      </w:r>
      <w:r w:rsidR="00F31DD5" w:rsidRPr="00731644">
        <w:rPr>
          <w:bCs/>
          <w:lang w:val="fr-CH"/>
        </w:rPr>
        <w:t>;</w:t>
      </w:r>
      <w:r w:rsidR="004A7858" w:rsidRPr="00731644">
        <w:rPr>
          <w:bCs/>
          <w:lang w:val="fr-CH"/>
        </w:rPr>
        <w:t xml:space="preserve"> cela correspond à un taux de 52</w:t>
      </w:r>
      <w:r w:rsidR="006443F6" w:rsidRPr="00731644">
        <w:rPr>
          <w:bCs/>
          <w:lang w:val="fr-CH"/>
        </w:rPr>
        <w:t>%</w:t>
      </w:r>
      <w:r w:rsidR="004A7858" w:rsidRPr="00731644">
        <w:rPr>
          <w:bCs/>
          <w:lang w:val="fr-CH"/>
        </w:rPr>
        <w:t>,</w:t>
      </w:r>
      <w:r w:rsidR="00F31DD5" w:rsidRPr="00731644">
        <w:rPr>
          <w:bCs/>
          <w:lang w:val="fr-CH"/>
        </w:rPr>
        <w:t xml:space="preserve"> </w:t>
      </w:r>
      <w:r w:rsidR="009519D4" w:rsidRPr="00731644">
        <w:rPr>
          <w:bCs/>
          <w:lang w:val="fr-CH"/>
        </w:rPr>
        <w:t>alors qu</w:t>
      </w:r>
      <w:r w:rsidR="004A7858" w:rsidRPr="00731644">
        <w:rPr>
          <w:bCs/>
          <w:lang w:val="fr-CH"/>
        </w:rPr>
        <w:t xml:space="preserve">e la proportion escomptée au stade de la planification du projet était comprise entre </w:t>
      </w:r>
      <w:r w:rsidR="004C7BF6" w:rsidRPr="00731644">
        <w:rPr>
          <w:bCs/>
          <w:lang w:val="fr-CH"/>
        </w:rPr>
        <w:t>30</w:t>
      </w:r>
      <w:r w:rsidR="00286F92" w:rsidRPr="00731644">
        <w:rPr>
          <w:bCs/>
          <w:lang w:val="fr-CH"/>
        </w:rPr>
        <w:t xml:space="preserve"> </w:t>
      </w:r>
      <w:r w:rsidR="004A7858" w:rsidRPr="00731644">
        <w:rPr>
          <w:bCs/>
          <w:lang w:val="fr-CH"/>
        </w:rPr>
        <w:t>et</w:t>
      </w:r>
      <w:r w:rsidR="00F31DD5" w:rsidRPr="00731644">
        <w:rPr>
          <w:bCs/>
          <w:lang w:val="fr-CH"/>
        </w:rPr>
        <w:t xml:space="preserve"> </w:t>
      </w:r>
      <w:r w:rsidR="004C7BF6" w:rsidRPr="00731644">
        <w:rPr>
          <w:bCs/>
          <w:lang w:val="fr-CH"/>
        </w:rPr>
        <w:t>40</w:t>
      </w:r>
      <w:r w:rsidR="006443F6" w:rsidRPr="00731644">
        <w:rPr>
          <w:bCs/>
          <w:lang w:val="fr-CH"/>
        </w:rPr>
        <w:t>%</w:t>
      </w:r>
      <w:r w:rsidR="004C7BF6" w:rsidRPr="00731644">
        <w:rPr>
          <w:bCs/>
          <w:lang w:val="fr-CH"/>
        </w:rPr>
        <w:t xml:space="preserve">. </w:t>
      </w:r>
      <w:r w:rsidR="009519D4" w:rsidRPr="00731644">
        <w:rPr>
          <w:bCs/>
          <w:lang w:val="fr-CH"/>
        </w:rPr>
        <w:t>Qu</w:t>
      </w:r>
      <w:r w:rsidR="004A7858" w:rsidRPr="00731644">
        <w:rPr>
          <w:bCs/>
          <w:lang w:val="fr-CH"/>
        </w:rPr>
        <w:t>e les femmes</w:t>
      </w:r>
      <w:r w:rsidR="009519D4" w:rsidRPr="00731644">
        <w:rPr>
          <w:bCs/>
          <w:lang w:val="fr-CH"/>
        </w:rPr>
        <w:t xml:space="preserve"> aient constitué plus de la moitié des candidats est </w:t>
      </w:r>
      <w:r w:rsidR="00F13D37" w:rsidRPr="00731644">
        <w:rPr>
          <w:bCs/>
          <w:lang w:val="fr-CH"/>
        </w:rPr>
        <w:t xml:space="preserve">positif </w:t>
      </w:r>
      <w:r w:rsidR="009519D4" w:rsidRPr="00731644">
        <w:rPr>
          <w:bCs/>
          <w:lang w:val="fr-CH"/>
        </w:rPr>
        <w:t>à plusieurs ég</w:t>
      </w:r>
      <w:r w:rsidR="00F13D37" w:rsidRPr="00731644">
        <w:rPr>
          <w:bCs/>
          <w:lang w:val="fr-CH"/>
        </w:rPr>
        <w:t>a</w:t>
      </w:r>
      <w:r w:rsidR="009519D4" w:rsidRPr="00731644">
        <w:rPr>
          <w:bCs/>
          <w:lang w:val="fr-CH"/>
        </w:rPr>
        <w:t>rd</w:t>
      </w:r>
      <w:r w:rsidR="00F13D37" w:rsidRPr="00731644">
        <w:rPr>
          <w:bCs/>
          <w:lang w:val="fr-CH"/>
        </w:rPr>
        <w:t>s</w:t>
      </w:r>
      <w:r w:rsidR="00F31DD5" w:rsidRPr="00731644">
        <w:rPr>
          <w:bCs/>
          <w:lang w:val="fr-CH"/>
        </w:rPr>
        <w:t>:</w:t>
      </w:r>
      <w:r w:rsidR="00F13D37" w:rsidRPr="00731644">
        <w:rPr>
          <w:bCs/>
          <w:lang w:val="fr-CH"/>
        </w:rPr>
        <w:t xml:space="preserve"> appartenant à une catégorie qui est à la fois l</w:t>
      </w:r>
      <w:r w:rsidR="00425386" w:rsidRPr="00731644">
        <w:rPr>
          <w:bCs/>
          <w:lang w:val="fr-CH"/>
        </w:rPr>
        <w:t>’</w:t>
      </w:r>
      <w:r w:rsidR="00F13D37" w:rsidRPr="00731644">
        <w:rPr>
          <w:bCs/>
          <w:lang w:val="fr-CH"/>
        </w:rPr>
        <w:t>objet de discriminations et relativement difficile à employer, elles sont doublement pénalisées</w:t>
      </w:r>
      <w:r w:rsidR="00F31DD5" w:rsidRPr="00731644">
        <w:rPr>
          <w:bCs/>
          <w:lang w:val="fr-CH"/>
        </w:rPr>
        <w:t>;</w:t>
      </w:r>
      <w:r w:rsidR="00F13D37" w:rsidRPr="00731644">
        <w:rPr>
          <w:bCs/>
          <w:lang w:val="fr-CH"/>
        </w:rPr>
        <w:t xml:space="preserve"> l</w:t>
      </w:r>
      <w:r w:rsidR="00425386" w:rsidRPr="00731644">
        <w:rPr>
          <w:bCs/>
          <w:lang w:val="fr-CH"/>
        </w:rPr>
        <w:t>’</w:t>
      </w:r>
      <w:r w:rsidR="00F13D37" w:rsidRPr="00731644">
        <w:rPr>
          <w:bCs/>
          <w:lang w:val="fr-CH"/>
        </w:rPr>
        <w:t>analphabétisme, le manque d</w:t>
      </w:r>
      <w:r w:rsidR="00425386" w:rsidRPr="00731644">
        <w:rPr>
          <w:bCs/>
          <w:lang w:val="fr-CH"/>
        </w:rPr>
        <w:t>’</w:t>
      </w:r>
      <w:r w:rsidR="00F13D37" w:rsidRPr="00731644">
        <w:rPr>
          <w:bCs/>
          <w:lang w:val="fr-CH"/>
        </w:rPr>
        <w:t>instruction et un taux d</w:t>
      </w:r>
      <w:r w:rsidR="00425386" w:rsidRPr="00731644">
        <w:rPr>
          <w:bCs/>
          <w:lang w:val="fr-CH"/>
        </w:rPr>
        <w:t>’</w:t>
      </w:r>
      <w:r w:rsidR="00F13D37" w:rsidRPr="00731644">
        <w:rPr>
          <w:bCs/>
          <w:lang w:val="fr-CH"/>
        </w:rPr>
        <w:t>emploi très bas se conjuguent avec le poids des traditions roms</w:t>
      </w:r>
      <w:r w:rsidR="004C7BF6" w:rsidRPr="00731644">
        <w:rPr>
          <w:bCs/>
          <w:lang w:val="fr-CH"/>
        </w:rPr>
        <w:t xml:space="preserve">. </w:t>
      </w:r>
      <w:r w:rsidR="00F13D37" w:rsidRPr="00731644">
        <w:rPr>
          <w:bCs/>
          <w:lang w:val="fr-CH"/>
        </w:rPr>
        <w:t xml:space="preserve">Les dirigeants et les personnalités </w:t>
      </w:r>
      <w:r w:rsidR="004A7858" w:rsidRPr="00731644">
        <w:rPr>
          <w:bCs/>
          <w:lang w:val="fr-CH"/>
        </w:rPr>
        <w:t xml:space="preserve">influentes </w:t>
      </w:r>
      <w:r w:rsidR="00F13D37" w:rsidRPr="00731644">
        <w:rPr>
          <w:bCs/>
          <w:lang w:val="fr-CH"/>
        </w:rPr>
        <w:t xml:space="preserve">de la communauté rom ne </w:t>
      </w:r>
      <w:r w:rsidR="004A7858" w:rsidRPr="00731644">
        <w:rPr>
          <w:bCs/>
          <w:lang w:val="fr-CH"/>
        </w:rPr>
        <w:t>combatt</w:t>
      </w:r>
      <w:r w:rsidR="00F13D37" w:rsidRPr="00731644">
        <w:rPr>
          <w:bCs/>
          <w:lang w:val="fr-CH"/>
        </w:rPr>
        <w:t xml:space="preserve">ent pas suffisamment </w:t>
      </w:r>
      <w:r w:rsidR="006137CD" w:rsidRPr="00731644">
        <w:rPr>
          <w:bCs/>
          <w:lang w:val="fr-CH"/>
        </w:rPr>
        <w:t>les aspects</w:t>
      </w:r>
      <w:r w:rsidR="00F13D37" w:rsidRPr="00731644">
        <w:rPr>
          <w:bCs/>
          <w:lang w:val="fr-CH"/>
        </w:rPr>
        <w:t xml:space="preserve"> </w:t>
      </w:r>
      <w:r w:rsidR="00392A35" w:rsidRPr="00731644">
        <w:rPr>
          <w:bCs/>
          <w:lang w:val="fr-CH"/>
        </w:rPr>
        <w:t>négati</w:t>
      </w:r>
      <w:r w:rsidR="007E5FBA" w:rsidRPr="00731644">
        <w:rPr>
          <w:bCs/>
          <w:lang w:val="fr-CH"/>
        </w:rPr>
        <w:t>f</w:t>
      </w:r>
      <w:r w:rsidR="00F26360" w:rsidRPr="00731644">
        <w:rPr>
          <w:bCs/>
          <w:lang w:val="fr-CH"/>
        </w:rPr>
        <w:t>s</w:t>
      </w:r>
      <w:r w:rsidR="007E5FBA" w:rsidRPr="00731644">
        <w:rPr>
          <w:bCs/>
          <w:lang w:val="fr-CH"/>
        </w:rPr>
        <w:t xml:space="preserve"> d</w:t>
      </w:r>
      <w:r w:rsidR="006137CD" w:rsidRPr="00731644">
        <w:rPr>
          <w:bCs/>
          <w:lang w:val="fr-CH"/>
        </w:rPr>
        <w:t>e</w:t>
      </w:r>
      <w:r w:rsidR="00F13D37" w:rsidRPr="00731644">
        <w:rPr>
          <w:bCs/>
          <w:lang w:val="fr-CH"/>
        </w:rPr>
        <w:t xml:space="preserve"> ces traditions. </w:t>
      </w:r>
    </w:p>
    <w:p w:rsidR="004C7BF6" w:rsidRPr="00731644" w:rsidRDefault="000F0319" w:rsidP="004C7BF6">
      <w:pPr>
        <w:pStyle w:val="SingleTxtG"/>
        <w:rPr>
          <w:lang w:val="fr-CH"/>
        </w:rPr>
      </w:pPr>
      <w:r w:rsidRPr="00731644">
        <w:rPr>
          <w:lang w:val="fr-CH"/>
        </w:rPr>
        <w:t>239.</w:t>
      </w:r>
      <w:r w:rsidRPr="00731644">
        <w:rPr>
          <w:lang w:val="fr-CH"/>
        </w:rPr>
        <w:tab/>
      </w:r>
      <w:r w:rsidR="00F13D37" w:rsidRPr="00731644">
        <w:rPr>
          <w:lang w:val="fr-CH"/>
        </w:rPr>
        <w:t xml:space="preserve">En règle générale, </w:t>
      </w:r>
      <w:r w:rsidR="000F4B0D" w:rsidRPr="00731644">
        <w:rPr>
          <w:lang w:val="fr-CH"/>
        </w:rPr>
        <w:t xml:space="preserve">les femmes roms ne participent que très peu aux mesures de politique </w:t>
      </w:r>
      <w:r w:rsidR="007E5FBA" w:rsidRPr="00731644">
        <w:rPr>
          <w:lang w:val="fr-CH"/>
        </w:rPr>
        <w:t>dynamique</w:t>
      </w:r>
      <w:r w:rsidR="000F4B0D" w:rsidRPr="00731644">
        <w:rPr>
          <w:lang w:val="fr-CH"/>
        </w:rPr>
        <w:t xml:space="preserve"> de l</w:t>
      </w:r>
      <w:r w:rsidR="00425386" w:rsidRPr="00731644">
        <w:rPr>
          <w:lang w:val="fr-CH"/>
        </w:rPr>
        <w:t>’</w:t>
      </w:r>
      <w:r w:rsidR="000F4B0D" w:rsidRPr="00731644">
        <w:rPr>
          <w:lang w:val="fr-CH"/>
        </w:rPr>
        <w:t>emploi qui leur sont proposées. Les causes en sont diverses</w:t>
      </w:r>
      <w:r w:rsidR="00F31DD5" w:rsidRPr="00731644">
        <w:rPr>
          <w:lang w:val="fr-CH"/>
        </w:rPr>
        <w:t xml:space="preserve"> – </w:t>
      </w:r>
      <w:r w:rsidR="000F4B0D" w:rsidRPr="00731644">
        <w:rPr>
          <w:lang w:val="fr-CH"/>
        </w:rPr>
        <w:t xml:space="preserve">mariage précoce, autorité considérable du mari, manque de temps </w:t>
      </w:r>
      <w:r w:rsidR="007E5FBA" w:rsidRPr="00731644">
        <w:rPr>
          <w:lang w:val="fr-CH"/>
        </w:rPr>
        <w:t>en raison du grand nombre d</w:t>
      </w:r>
      <w:r w:rsidR="00425386" w:rsidRPr="00731644">
        <w:rPr>
          <w:lang w:val="fr-CH"/>
        </w:rPr>
        <w:t>’</w:t>
      </w:r>
      <w:r w:rsidR="007E5FBA" w:rsidRPr="00731644">
        <w:rPr>
          <w:lang w:val="fr-CH"/>
        </w:rPr>
        <w:t>enfants par foyer</w:t>
      </w:r>
      <w:r w:rsidR="000F4B0D" w:rsidRPr="00731644">
        <w:rPr>
          <w:lang w:val="fr-CH"/>
        </w:rPr>
        <w:t>, analphabétisme. Il est fréquent que les pères n</w:t>
      </w:r>
      <w:r w:rsidR="00425386" w:rsidRPr="00731644">
        <w:rPr>
          <w:lang w:val="fr-CH"/>
        </w:rPr>
        <w:t>’</w:t>
      </w:r>
      <w:r w:rsidR="000F4B0D" w:rsidRPr="00731644">
        <w:rPr>
          <w:lang w:val="fr-CH"/>
        </w:rPr>
        <w:t>autorisent pas leurs filles à s</w:t>
      </w:r>
      <w:r w:rsidR="00425386" w:rsidRPr="00731644">
        <w:rPr>
          <w:lang w:val="fr-CH"/>
        </w:rPr>
        <w:t>’</w:t>
      </w:r>
      <w:r w:rsidR="000F4B0D" w:rsidRPr="00731644">
        <w:rPr>
          <w:lang w:val="fr-CH"/>
        </w:rPr>
        <w:t>instruire et à se former.</w:t>
      </w:r>
      <w:r w:rsidR="00F31DD5" w:rsidRPr="00731644">
        <w:rPr>
          <w:lang w:val="fr-CH"/>
        </w:rPr>
        <w:t xml:space="preserve"> </w:t>
      </w:r>
    </w:p>
    <w:p w:rsidR="006C2CAC" w:rsidRPr="00731644" w:rsidRDefault="000F0319" w:rsidP="004C7BF6">
      <w:pPr>
        <w:pStyle w:val="SingleTxtG"/>
        <w:rPr>
          <w:lang w:val="fr-CH"/>
        </w:rPr>
      </w:pPr>
      <w:r w:rsidRPr="00731644">
        <w:rPr>
          <w:lang w:val="fr-CH"/>
        </w:rPr>
        <w:t>240.</w:t>
      </w:r>
      <w:r w:rsidRPr="00731644">
        <w:rPr>
          <w:lang w:val="fr-CH"/>
        </w:rPr>
        <w:tab/>
      </w:r>
      <w:r w:rsidR="006C2CAC" w:rsidRPr="00731644">
        <w:rPr>
          <w:lang w:val="fr-CH"/>
        </w:rPr>
        <w:t>L</w:t>
      </w:r>
      <w:r w:rsidR="00425386" w:rsidRPr="00731644">
        <w:rPr>
          <w:lang w:val="fr-CH"/>
        </w:rPr>
        <w:t>’</w:t>
      </w:r>
      <w:r w:rsidR="006C2CAC" w:rsidRPr="00731644">
        <w:rPr>
          <w:lang w:val="fr-CH"/>
        </w:rPr>
        <w:t>embauche des femmes ayant acquis une formation professionnelle se heurte non seulement à la discrimination exercée par les employeurs, mais aussi aux contraintes découlant de la tradition rom, qui veut que les parents n</w:t>
      </w:r>
      <w:r w:rsidR="00425386" w:rsidRPr="00731644">
        <w:rPr>
          <w:lang w:val="fr-CH"/>
        </w:rPr>
        <w:t>’</w:t>
      </w:r>
      <w:r w:rsidR="006C2CAC" w:rsidRPr="00731644">
        <w:rPr>
          <w:lang w:val="fr-CH"/>
        </w:rPr>
        <w:t>autorisent pas le</w:t>
      </w:r>
      <w:r w:rsidR="007E5FBA" w:rsidRPr="00731644">
        <w:rPr>
          <w:lang w:val="fr-CH"/>
        </w:rPr>
        <w:t>s</w:t>
      </w:r>
      <w:r w:rsidR="006C2CAC" w:rsidRPr="00731644">
        <w:rPr>
          <w:lang w:val="fr-CH"/>
        </w:rPr>
        <w:t xml:space="preserve"> jeunes femmes</w:t>
      </w:r>
      <w:r w:rsidR="007E5FBA" w:rsidRPr="00731644">
        <w:rPr>
          <w:lang w:val="fr-CH"/>
        </w:rPr>
        <w:t xml:space="preserve"> à travailler</w:t>
      </w:r>
      <w:r w:rsidR="006C2CAC" w:rsidRPr="00731644">
        <w:rPr>
          <w:lang w:val="fr-CH"/>
        </w:rPr>
        <w:t>.</w:t>
      </w:r>
      <w:r w:rsidR="00F31DD5" w:rsidRPr="00731644">
        <w:rPr>
          <w:lang w:val="fr-CH"/>
        </w:rPr>
        <w:t xml:space="preserve"> </w:t>
      </w:r>
    </w:p>
    <w:p w:rsidR="004C7BF6" w:rsidRPr="00731644" w:rsidRDefault="000F0319" w:rsidP="004C7BF6">
      <w:pPr>
        <w:pStyle w:val="SingleTxtG"/>
        <w:rPr>
          <w:bCs/>
          <w:lang w:val="fr-CH"/>
        </w:rPr>
      </w:pPr>
      <w:r w:rsidRPr="00731644">
        <w:rPr>
          <w:bCs/>
          <w:lang w:val="fr-CH"/>
        </w:rPr>
        <w:t>241.</w:t>
      </w:r>
      <w:r w:rsidRPr="00731644">
        <w:rPr>
          <w:bCs/>
          <w:lang w:val="fr-CH"/>
        </w:rPr>
        <w:tab/>
      </w:r>
      <w:r w:rsidR="00520555" w:rsidRPr="00731644">
        <w:rPr>
          <w:bCs/>
          <w:lang w:val="fr-CH"/>
        </w:rPr>
        <w:t>Aussi</w:t>
      </w:r>
      <w:r w:rsidR="006C2CAC" w:rsidRPr="00731644">
        <w:rPr>
          <w:bCs/>
          <w:lang w:val="fr-CH"/>
        </w:rPr>
        <w:t xml:space="preserve"> le fait que, dans ce projet, les femmes roms aient participé à égalité avec les hommes à des activités </w:t>
      </w:r>
      <w:r w:rsidR="0083174F" w:rsidRPr="00731644">
        <w:rPr>
          <w:bCs/>
          <w:lang w:val="fr-CH"/>
        </w:rPr>
        <w:t>destinées</w:t>
      </w:r>
      <w:r w:rsidR="006C2CAC" w:rsidRPr="00731644">
        <w:rPr>
          <w:bCs/>
          <w:lang w:val="fr-CH"/>
        </w:rPr>
        <w:t xml:space="preserve"> à </w:t>
      </w:r>
      <w:r w:rsidR="007E5FBA" w:rsidRPr="00731644">
        <w:rPr>
          <w:bCs/>
          <w:lang w:val="fr-CH"/>
        </w:rPr>
        <w:t>améliorer</w:t>
      </w:r>
      <w:r w:rsidR="006C2CAC" w:rsidRPr="00731644">
        <w:rPr>
          <w:bCs/>
          <w:lang w:val="fr-CH"/>
        </w:rPr>
        <w:t xml:space="preserve"> l</w:t>
      </w:r>
      <w:r w:rsidR="00425386" w:rsidRPr="00731644">
        <w:rPr>
          <w:bCs/>
          <w:lang w:val="fr-CH"/>
        </w:rPr>
        <w:t>’</w:t>
      </w:r>
      <w:r w:rsidR="006C2CAC" w:rsidRPr="00731644">
        <w:rPr>
          <w:bCs/>
          <w:lang w:val="fr-CH"/>
        </w:rPr>
        <w:t xml:space="preserve">employabilité </w:t>
      </w:r>
      <w:r w:rsidR="00520555" w:rsidRPr="00731644">
        <w:rPr>
          <w:bCs/>
          <w:lang w:val="fr-CH"/>
        </w:rPr>
        <w:t>est-il</w:t>
      </w:r>
      <w:r w:rsidR="006C2CAC" w:rsidRPr="00731644">
        <w:rPr>
          <w:bCs/>
          <w:lang w:val="fr-CH"/>
        </w:rPr>
        <w:t xml:space="preserve"> un grand progrès.</w:t>
      </w:r>
    </w:p>
    <w:p w:rsidR="00A07548" w:rsidRPr="00731644" w:rsidRDefault="000F0319" w:rsidP="004C7BF6">
      <w:pPr>
        <w:pStyle w:val="SingleTxtG"/>
        <w:rPr>
          <w:bCs/>
          <w:lang w:val="fr-CH"/>
        </w:rPr>
      </w:pPr>
      <w:r w:rsidRPr="00731644">
        <w:rPr>
          <w:bCs/>
          <w:lang w:val="fr-CH"/>
        </w:rPr>
        <w:t>242.</w:t>
      </w:r>
      <w:r w:rsidRPr="00731644">
        <w:rPr>
          <w:bCs/>
          <w:lang w:val="fr-CH"/>
        </w:rPr>
        <w:tab/>
      </w:r>
      <w:r w:rsidR="006C2CAC" w:rsidRPr="00731644">
        <w:rPr>
          <w:bCs/>
          <w:lang w:val="fr-CH"/>
        </w:rPr>
        <w:t>Compte tenu des besoins du marche du travail ainsi que des compétences et des cent</w:t>
      </w:r>
      <w:r w:rsidR="00520555" w:rsidRPr="00731644">
        <w:rPr>
          <w:bCs/>
          <w:lang w:val="fr-CH"/>
        </w:rPr>
        <w:t>r</w:t>
      </w:r>
      <w:r w:rsidR="006C2CAC" w:rsidRPr="00731644">
        <w:rPr>
          <w:bCs/>
          <w:lang w:val="fr-CH"/>
        </w:rPr>
        <w:t>es d</w:t>
      </w:r>
      <w:r w:rsidR="00425386" w:rsidRPr="00731644">
        <w:rPr>
          <w:bCs/>
          <w:lang w:val="fr-CH"/>
        </w:rPr>
        <w:t>’</w:t>
      </w:r>
      <w:r w:rsidR="006C2CAC" w:rsidRPr="00731644">
        <w:rPr>
          <w:bCs/>
          <w:lang w:val="fr-CH"/>
        </w:rPr>
        <w:t>intérêt des membr</w:t>
      </w:r>
      <w:r w:rsidR="002A5033" w:rsidRPr="00731644">
        <w:rPr>
          <w:bCs/>
          <w:lang w:val="fr-CH"/>
        </w:rPr>
        <w:t>es des communautés rom, ashkali</w:t>
      </w:r>
      <w:r w:rsidR="006C2CAC" w:rsidRPr="00731644">
        <w:rPr>
          <w:bCs/>
          <w:lang w:val="fr-CH"/>
        </w:rPr>
        <w:t xml:space="preserve"> et </w:t>
      </w:r>
      <w:r w:rsidR="00520555" w:rsidRPr="00731644">
        <w:rPr>
          <w:bCs/>
          <w:lang w:val="fr-CH"/>
        </w:rPr>
        <w:t>tziga</w:t>
      </w:r>
      <w:r w:rsidR="006C2CAC" w:rsidRPr="00731644">
        <w:rPr>
          <w:bCs/>
          <w:lang w:val="fr-CH"/>
        </w:rPr>
        <w:t xml:space="preserve">ne, le projet a financé en 2008 </w:t>
      </w:r>
      <w:r w:rsidR="00520555" w:rsidRPr="00731644">
        <w:rPr>
          <w:bCs/>
          <w:lang w:val="fr-CH"/>
        </w:rPr>
        <w:t>la mise au point</w:t>
      </w:r>
      <w:r w:rsidR="006C2CAC" w:rsidRPr="00731644">
        <w:rPr>
          <w:bCs/>
          <w:lang w:val="fr-CH"/>
        </w:rPr>
        <w:t xml:space="preserve"> de normes et de programmes de formation concernant cinq métiers</w:t>
      </w:r>
      <w:r w:rsidR="00F31DD5" w:rsidRPr="00731644">
        <w:rPr>
          <w:bCs/>
          <w:lang w:val="fr-CH"/>
        </w:rPr>
        <w:t>:</w:t>
      </w:r>
      <w:r w:rsidR="004C7BF6" w:rsidRPr="00731644">
        <w:rPr>
          <w:bCs/>
          <w:lang w:val="fr-CH"/>
        </w:rPr>
        <w:t xml:space="preserve"> </w:t>
      </w:r>
      <w:r w:rsidR="00296FCB" w:rsidRPr="00731644">
        <w:rPr>
          <w:bCs/>
          <w:lang w:val="fr-CH"/>
        </w:rPr>
        <w:t>a</w:t>
      </w:r>
      <w:r w:rsidR="00520555" w:rsidRPr="00731644">
        <w:rPr>
          <w:bCs/>
          <w:lang w:val="fr-CH"/>
        </w:rPr>
        <w:t>ide</w:t>
      </w:r>
      <w:r w:rsidR="00296FCB" w:rsidRPr="00731644">
        <w:rPr>
          <w:bCs/>
          <w:lang w:val="fr-CH"/>
        </w:rPr>
        <w:t xml:space="preserve"> ramoneur, laveur de voiture, réparateur de pneus, blanchisseuse et assistant de peintre carrossier vernisseur</w:t>
      </w:r>
      <w:r w:rsidR="004C7BF6" w:rsidRPr="00731644">
        <w:rPr>
          <w:bCs/>
          <w:lang w:val="fr-CH"/>
        </w:rPr>
        <w:t xml:space="preserve">. </w:t>
      </w:r>
      <w:r w:rsidR="00296FCB" w:rsidRPr="00731644">
        <w:rPr>
          <w:bCs/>
          <w:lang w:val="fr-CH"/>
        </w:rPr>
        <w:t xml:space="preserve">Le projet a financé six </w:t>
      </w:r>
      <w:r w:rsidR="00A07548" w:rsidRPr="00731644">
        <w:rPr>
          <w:bCs/>
          <w:lang w:val="fr-CH"/>
        </w:rPr>
        <w:t>subventions</w:t>
      </w:r>
      <w:r w:rsidR="00296FCB" w:rsidRPr="00731644">
        <w:rPr>
          <w:bCs/>
          <w:lang w:val="fr-CH"/>
        </w:rPr>
        <w:t xml:space="preserve"> </w:t>
      </w:r>
      <w:r w:rsidR="004C7BF6" w:rsidRPr="00731644">
        <w:rPr>
          <w:bCs/>
          <w:lang w:val="fr-CH"/>
        </w:rPr>
        <w:t>(</w:t>
      </w:r>
      <w:r w:rsidR="00741A72" w:rsidRPr="00731644">
        <w:rPr>
          <w:bCs/>
          <w:lang w:val="fr-CH"/>
        </w:rPr>
        <w:t>une</w:t>
      </w:r>
      <w:r w:rsidR="00A07548" w:rsidRPr="00731644">
        <w:rPr>
          <w:bCs/>
          <w:lang w:val="fr-CH"/>
        </w:rPr>
        <w:t xml:space="preserve"> </w:t>
      </w:r>
      <w:r w:rsidR="00296FCB" w:rsidRPr="00731644">
        <w:rPr>
          <w:bCs/>
          <w:lang w:val="fr-CH"/>
        </w:rPr>
        <w:t>dans la municipalité de</w:t>
      </w:r>
      <w:r w:rsidR="004C7BF6" w:rsidRPr="00731644">
        <w:rPr>
          <w:bCs/>
          <w:lang w:val="fr-CH"/>
        </w:rPr>
        <w:t xml:space="preserve"> Bar, </w:t>
      </w:r>
      <w:r w:rsidR="00741A72" w:rsidRPr="00731644">
        <w:rPr>
          <w:bCs/>
          <w:lang w:val="fr-CH"/>
        </w:rPr>
        <w:t xml:space="preserve">trois </w:t>
      </w:r>
      <w:r w:rsidR="00296FCB" w:rsidRPr="00731644">
        <w:rPr>
          <w:bCs/>
          <w:lang w:val="fr-CH"/>
        </w:rPr>
        <w:t>dans celle de</w:t>
      </w:r>
      <w:r w:rsidR="004C7BF6" w:rsidRPr="00731644">
        <w:rPr>
          <w:bCs/>
          <w:lang w:val="fr-CH"/>
        </w:rPr>
        <w:t xml:space="preserve"> Niksic </w:t>
      </w:r>
      <w:r w:rsidR="00296FCB" w:rsidRPr="00731644">
        <w:rPr>
          <w:bCs/>
          <w:lang w:val="fr-CH"/>
        </w:rPr>
        <w:t xml:space="preserve">et </w:t>
      </w:r>
      <w:r w:rsidR="00741A72" w:rsidRPr="00731644">
        <w:rPr>
          <w:bCs/>
          <w:lang w:val="fr-CH"/>
        </w:rPr>
        <w:t xml:space="preserve">deux </w:t>
      </w:r>
      <w:r w:rsidR="00296FCB" w:rsidRPr="00731644">
        <w:rPr>
          <w:bCs/>
          <w:lang w:val="fr-CH"/>
        </w:rPr>
        <w:t xml:space="preserve">dans celle de </w:t>
      </w:r>
      <w:r w:rsidR="004C7BF6" w:rsidRPr="00731644">
        <w:rPr>
          <w:bCs/>
          <w:lang w:val="fr-CH"/>
        </w:rPr>
        <w:t xml:space="preserve">Berane). </w:t>
      </w:r>
      <w:r w:rsidR="00296FCB" w:rsidRPr="00731644">
        <w:rPr>
          <w:bCs/>
          <w:lang w:val="fr-CH"/>
        </w:rPr>
        <w:t>Les bénéficiaires ont acquis une connaissance élémentaire de l</w:t>
      </w:r>
      <w:r w:rsidR="00425386" w:rsidRPr="00731644">
        <w:rPr>
          <w:bCs/>
          <w:lang w:val="fr-CH"/>
        </w:rPr>
        <w:t>’</w:t>
      </w:r>
      <w:r w:rsidR="0083174F" w:rsidRPr="00731644">
        <w:rPr>
          <w:bCs/>
          <w:lang w:val="fr-CH"/>
        </w:rPr>
        <w:t>entrepreneuriat</w:t>
      </w:r>
      <w:r w:rsidR="00296FCB" w:rsidRPr="00731644">
        <w:rPr>
          <w:bCs/>
          <w:lang w:val="fr-CH"/>
        </w:rPr>
        <w:t xml:space="preserve"> </w:t>
      </w:r>
      <w:r w:rsidR="00A07548" w:rsidRPr="00731644">
        <w:rPr>
          <w:bCs/>
          <w:lang w:val="fr-CH"/>
        </w:rPr>
        <w:t>et du monde des affaires</w:t>
      </w:r>
      <w:r w:rsidR="00F31DD5" w:rsidRPr="00731644">
        <w:rPr>
          <w:bCs/>
          <w:lang w:val="fr-CH"/>
        </w:rPr>
        <w:t>;</w:t>
      </w:r>
      <w:r w:rsidR="00EC02E2" w:rsidRPr="00731644">
        <w:rPr>
          <w:bCs/>
          <w:lang w:val="fr-CH"/>
        </w:rPr>
        <w:t xml:space="preserve"> </w:t>
      </w:r>
      <w:r w:rsidR="00A07548" w:rsidRPr="00731644">
        <w:rPr>
          <w:bCs/>
          <w:lang w:val="fr-CH"/>
        </w:rPr>
        <w:t xml:space="preserve">tous les avantages et </w:t>
      </w:r>
      <w:r w:rsidR="00EC02E2" w:rsidRPr="00731644">
        <w:rPr>
          <w:bCs/>
          <w:lang w:val="fr-CH"/>
        </w:rPr>
        <w:t xml:space="preserve">tous </w:t>
      </w:r>
      <w:r w:rsidR="00A07548" w:rsidRPr="00731644">
        <w:rPr>
          <w:bCs/>
          <w:lang w:val="fr-CH"/>
        </w:rPr>
        <w:t>les écueils de l</w:t>
      </w:r>
      <w:r w:rsidR="00425386" w:rsidRPr="00731644">
        <w:rPr>
          <w:bCs/>
          <w:lang w:val="fr-CH"/>
        </w:rPr>
        <w:t>’</w:t>
      </w:r>
      <w:r w:rsidR="0083174F" w:rsidRPr="00731644">
        <w:rPr>
          <w:bCs/>
          <w:lang w:val="fr-CH"/>
        </w:rPr>
        <w:t>activité</w:t>
      </w:r>
      <w:r w:rsidR="00A07548" w:rsidRPr="00731644">
        <w:rPr>
          <w:bCs/>
          <w:lang w:val="fr-CH"/>
        </w:rPr>
        <w:t xml:space="preserve"> économique privée</w:t>
      </w:r>
      <w:r w:rsidR="00EC02E2" w:rsidRPr="00731644">
        <w:rPr>
          <w:bCs/>
          <w:lang w:val="fr-CH"/>
        </w:rPr>
        <w:t xml:space="preserve"> leur ont été exposés</w:t>
      </w:r>
      <w:r w:rsidR="00A07548" w:rsidRPr="00731644">
        <w:rPr>
          <w:bCs/>
          <w:lang w:val="fr-CH"/>
        </w:rPr>
        <w:t>.</w:t>
      </w:r>
      <w:r w:rsidR="004C7BF6" w:rsidRPr="00731644">
        <w:rPr>
          <w:bCs/>
          <w:lang w:val="fr-CH"/>
        </w:rPr>
        <w:t xml:space="preserve"> </w:t>
      </w:r>
      <w:r w:rsidR="00A07548" w:rsidRPr="00731644">
        <w:rPr>
          <w:bCs/>
          <w:lang w:val="fr-CH"/>
        </w:rPr>
        <w:t>Les projets présentés ont conduit à envisager la création de 12 emplois. Des subventions ont été accordées pour permettre l</w:t>
      </w:r>
      <w:r w:rsidR="00425386" w:rsidRPr="00731644">
        <w:rPr>
          <w:bCs/>
          <w:lang w:val="fr-CH"/>
        </w:rPr>
        <w:t>’</w:t>
      </w:r>
      <w:r w:rsidR="00A07548" w:rsidRPr="00731644">
        <w:rPr>
          <w:bCs/>
          <w:lang w:val="fr-CH"/>
        </w:rPr>
        <w:t>exécution des projets suivants</w:t>
      </w:r>
      <w:r w:rsidR="00F31DD5" w:rsidRPr="00731644">
        <w:rPr>
          <w:bCs/>
          <w:lang w:val="fr-CH"/>
        </w:rPr>
        <w:t>:</w:t>
      </w:r>
      <w:r w:rsidR="00A07548" w:rsidRPr="00731644">
        <w:rPr>
          <w:bCs/>
          <w:lang w:val="fr-CH"/>
        </w:rPr>
        <w:t xml:space="preserve"> atelier de serrurerie, salon de coiffure (deux), atelier de confection des costumes traditionnels roms, service de réparation </w:t>
      </w:r>
      <w:r w:rsidR="008C75D4" w:rsidRPr="00731644">
        <w:rPr>
          <w:bCs/>
          <w:lang w:val="fr-CH"/>
        </w:rPr>
        <w:t>de glacières thermoélectriques</w:t>
      </w:r>
      <w:r w:rsidR="00A07548" w:rsidRPr="00731644">
        <w:rPr>
          <w:bCs/>
          <w:lang w:val="fr-CH"/>
        </w:rPr>
        <w:t>, et service de réparation et d</w:t>
      </w:r>
      <w:r w:rsidR="00425386" w:rsidRPr="00731644">
        <w:rPr>
          <w:bCs/>
          <w:lang w:val="fr-CH"/>
        </w:rPr>
        <w:t>’</w:t>
      </w:r>
      <w:r w:rsidR="00A07548" w:rsidRPr="00731644">
        <w:rPr>
          <w:bCs/>
          <w:lang w:val="fr-CH"/>
        </w:rPr>
        <w:t>ent</w:t>
      </w:r>
      <w:r w:rsidR="005841F8" w:rsidRPr="00731644">
        <w:rPr>
          <w:bCs/>
          <w:lang w:val="fr-CH"/>
        </w:rPr>
        <w:t>r</w:t>
      </w:r>
      <w:r w:rsidR="00A07548" w:rsidRPr="00731644">
        <w:rPr>
          <w:bCs/>
          <w:lang w:val="fr-CH"/>
        </w:rPr>
        <w:t>etien de véhicules à moteur.</w:t>
      </w:r>
      <w:r w:rsidR="00F31DD5" w:rsidRPr="00731644">
        <w:rPr>
          <w:bCs/>
          <w:lang w:val="fr-CH"/>
        </w:rPr>
        <w:t xml:space="preserve"> </w:t>
      </w:r>
    </w:p>
    <w:p w:rsidR="00573C5A" w:rsidRPr="00731644" w:rsidRDefault="000F0319" w:rsidP="004C7BF6">
      <w:pPr>
        <w:pStyle w:val="SingleTxtG"/>
        <w:rPr>
          <w:lang w:val="fr-CH"/>
        </w:rPr>
      </w:pPr>
      <w:r w:rsidRPr="00731644">
        <w:rPr>
          <w:lang w:val="fr-CH"/>
        </w:rPr>
        <w:t>243.</w:t>
      </w:r>
      <w:r w:rsidRPr="00731644">
        <w:rPr>
          <w:lang w:val="fr-CH"/>
        </w:rPr>
        <w:tab/>
      </w:r>
      <w:r w:rsidR="003172B2" w:rsidRPr="00731644">
        <w:rPr>
          <w:lang w:val="fr-CH"/>
        </w:rPr>
        <w:t xml:space="preserve">Après avoir reçu les fonds, les bénéficiaires ont enregistré leur entreprise et recruté le nombre </w:t>
      </w:r>
      <w:r w:rsidR="00B569C5" w:rsidRPr="00731644">
        <w:rPr>
          <w:lang w:val="fr-CH"/>
        </w:rPr>
        <w:t>de personnes</w:t>
      </w:r>
      <w:r w:rsidR="003172B2" w:rsidRPr="00731644">
        <w:rPr>
          <w:lang w:val="fr-CH"/>
        </w:rPr>
        <w:t xml:space="preserve"> requis, mais à l</w:t>
      </w:r>
      <w:r w:rsidR="00425386" w:rsidRPr="00731644">
        <w:rPr>
          <w:lang w:val="fr-CH"/>
        </w:rPr>
        <w:t>’</w:t>
      </w:r>
      <w:r w:rsidR="003172B2" w:rsidRPr="00731644">
        <w:rPr>
          <w:lang w:val="fr-CH"/>
        </w:rPr>
        <w:t xml:space="preserve">heure actuelle deux </w:t>
      </w:r>
      <w:r w:rsidR="005841F8" w:rsidRPr="00731644">
        <w:rPr>
          <w:lang w:val="fr-CH"/>
        </w:rPr>
        <w:t>d</w:t>
      </w:r>
      <w:r w:rsidR="00425386" w:rsidRPr="00731644">
        <w:rPr>
          <w:lang w:val="fr-CH"/>
        </w:rPr>
        <w:t>’</w:t>
      </w:r>
      <w:r w:rsidR="005841F8" w:rsidRPr="00731644">
        <w:rPr>
          <w:lang w:val="fr-CH"/>
        </w:rPr>
        <w:t xml:space="preserve">entre eux </w:t>
      </w:r>
      <w:r w:rsidR="003172B2" w:rsidRPr="00731644">
        <w:rPr>
          <w:lang w:val="fr-CH"/>
        </w:rPr>
        <w:t>seulement sont à la tête d</w:t>
      </w:r>
      <w:r w:rsidR="00425386" w:rsidRPr="00731644">
        <w:rPr>
          <w:lang w:val="fr-CH"/>
        </w:rPr>
        <w:t>’</w:t>
      </w:r>
      <w:r w:rsidR="003172B2" w:rsidRPr="00731644">
        <w:rPr>
          <w:lang w:val="fr-CH"/>
        </w:rPr>
        <w:t xml:space="preserve">une entreprise dûment immatriculée, ont embauché le nombre voulu de salariés et mènent leurs </w:t>
      </w:r>
      <w:r w:rsidR="0083174F" w:rsidRPr="00731644">
        <w:rPr>
          <w:lang w:val="fr-CH"/>
        </w:rPr>
        <w:t>activités</w:t>
      </w:r>
      <w:r w:rsidR="003172B2" w:rsidRPr="00731644">
        <w:rPr>
          <w:lang w:val="fr-CH"/>
        </w:rPr>
        <w:t xml:space="preserve"> de manière plus ou moins fructueuse compte tenu de</w:t>
      </w:r>
      <w:r w:rsidR="005841F8" w:rsidRPr="00731644">
        <w:rPr>
          <w:lang w:val="fr-CH"/>
        </w:rPr>
        <w:t xml:space="preserve"> la demande existante</w:t>
      </w:r>
      <w:r w:rsidR="003172B2" w:rsidRPr="00731644">
        <w:rPr>
          <w:lang w:val="fr-CH"/>
        </w:rPr>
        <w:t>.</w:t>
      </w:r>
      <w:r w:rsidR="004C7BF6" w:rsidRPr="00731644">
        <w:rPr>
          <w:lang w:val="fr-CH"/>
        </w:rPr>
        <w:t xml:space="preserve"> </w:t>
      </w:r>
      <w:r w:rsidR="003172B2" w:rsidRPr="00731644">
        <w:rPr>
          <w:lang w:val="fr-CH"/>
        </w:rPr>
        <w:t>Le taux de réussite est de l</w:t>
      </w:r>
      <w:r w:rsidR="00425386" w:rsidRPr="00731644">
        <w:rPr>
          <w:lang w:val="fr-CH"/>
        </w:rPr>
        <w:t>’</w:t>
      </w:r>
      <w:r w:rsidR="003172B2" w:rsidRPr="00731644">
        <w:rPr>
          <w:lang w:val="fr-CH"/>
        </w:rPr>
        <w:t>ordre de 30</w:t>
      </w:r>
      <w:r w:rsidR="006443F6" w:rsidRPr="00731644">
        <w:rPr>
          <w:lang w:val="fr-CH"/>
        </w:rPr>
        <w:t>%</w:t>
      </w:r>
      <w:r w:rsidR="003172B2" w:rsidRPr="00731644">
        <w:rPr>
          <w:lang w:val="fr-CH"/>
        </w:rPr>
        <w:t>. Parmi les entrepreneurs roms qui ont réussi figurent l</w:t>
      </w:r>
      <w:r w:rsidR="00425386" w:rsidRPr="00731644">
        <w:rPr>
          <w:lang w:val="fr-CH"/>
        </w:rPr>
        <w:t>’</w:t>
      </w:r>
      <w:r w:rsidR="003172B2" w:rsidRPr="00731644">
        <w:rPr>
          <w:lang w:val="fr-CH"/>
        </w:rPr>
        <w:t xml:space="preserve">artisan de </w:t>
      </w:r>
      <w:r w:rsidR="004C7BF6" w:rsidRPr="00731644">
        <w:rPr>
          <w:lang w:val="fr-CH"/>
        </w:rPr>
        <w:t>Bar (</w:t>
      </w:r>
      <w:r w:rsidR="003172B2" w:rsidRPr="00731644">
        <w:rPr>
          <w:lang w:val="fr-CH"/>
        </w:rPr>
        <w:t xml:space="preserve">qui </w:t>
      </w:r>
      <w:r w:rsidR="005841F8" w:rsidRPr="00731644">
        <w:rPr>
          <w:lang w:val="fr-CH"/>
        </w:rPr>
        <w:t>s</w:t>
      </w:r>
      <w:r w:rsidR="00425386" w:rsidRPr="00731644">
        <w:rPr>
          <w:lang w:val="fr-CH"/>
        </w:rPr>
        <w:t>’</w:t>
      </w:r>
      <w:r w:rsidR="005841F8" w:rsidRPr="00731644">
        <w:rPr>
          <w:lang w:val="fr-CH"/>
        </w:rPr>
        <w:t>est servi d</w:t>
      </w:r>
      <w:r w:rsidR="003172B2" w:rsidRPr="00731644">
        <w:rPr>
          <w:lang w:val="fr-CH"/>
        </w:rPr>
        <w:t xml:space="preserve">es fonds pour améliorer </w:t>
      </w:r>
      <w:r w:rsidR="005841F8" w:rsidRPr="00731644">
        <w:rPr>
          <w:lang w:val="fr-CH"/>
        </w:rPr>
        <w:t>son atelier de</w:t>
      </w:r>
      <w:r w:rsidR="003172B2" w:rsidRPr="00731644">
        <w:rPr>
          <w:lang w:val="fr-CH"/>
        </w:rPr>
        <w:t xml:space="preserve"> ferblanterie, acheter le matériel nécessaire</w:t>
      </w:r>
      <w:r w:rsidR="005841F8" w:rsidRPr="00731644">
        <w:rPr>
          <w:lang w:val="fr-CH"/>
        </w:rPr>
        <w:t xml:space="preserve"> et</w:t>
      </w:r>
      <w:r w:rsidR="003172B2" w:rsidRPr="00731644">
        <w:rPr>
          <w:lang w:val="fr-CH"/>
        </w:rPr>
        <w:t xml:space="preserve"> former deux</w:t>
      </w:r>
      <w:r w:rsidR="00CB7658" w:rsidRPr="00731644">
        <w:rPr>
          <w:lang w:val="fr-CH"/>
        </w:rPr>
        <w:t> personnes</w:t>
      </w:r>
      <w:r w:rsidR="00CB74C1" w:rsidRPr="00731644">
        <w:rPr>
          <w:lang w:val="fr-CH"/>
        </w:rPr>
        <w:t xml:space="preserve"> qu</w:t>
      </w:r>
      <w:r w:rsidR="00425386" w:rsidRPr="00731644">
        <w:rPr>
          <w:lang w:val="fr-CH"/>
        </w:rPr>
        <w:t>’</w:t>
      </w:r>
      <w:r w:rsidR="00CB74C1" w:rsidRPr="00731644">
        <w:rPr>
          <w:lang w:val="fr-CH"/>
        </w:rPr>
        <w:t>il a ensuite recruté</w:t>
      </w:r>
      <w:r w:rsidR="003172B2" w:rsidRPr="00731644">
        <w:rPr>
          <w:lang w:val="fr-CH"/>
        </w:rPr>
        <w:t>es) et</w:t>
      </w:r>
      <w:r w:rsidR="00741A72" w:rsidRPr="00731644">
        <w:rPr>
          <w:lang w:val="fr-CH"/>
        </w:rPr>
        <w:t xml:space="preserve"> </w:t>
      </w:r>
      <w:r w:rsidR="003172B2" w:rsidRPr="00731644">
        <w:rPr>
          <w:lang w:val="fr-CH"/>
        </w:rPr>
        <w:t>la coopérative de femmes</w:t>
      </w:r>
      <w:r w:rsidR="00741A72" w:rsidRPr="00731644">
        <w:rPr>
          <w:lang w:val="fr-CH"/>
        </w:rPr>
        <w:t xml:space="preserve"> </w:t>
      </w:r>
      <w:r w:rsidR="002061AB">
        <w:rPr>
          <w:lang w:val="fr-CH"/>
        </w:rPr>
        <w:t>«</w:t>
      </w:r>
      <w:r w:rsidR="004C7BF6" w:rsidRPr="00731644">
        <w:rPr>
          <w:lang w:val="fr-CH"/>
        </w:rPr>
        <w:t>Rukatnice</w:t>
      </w:r>
      <w:r w:rsidR="002061AB">
        <w:rPr>
          <w:lang w:val="fr-CH"/>
        </w:rPr>
        <w:t>»</w:t>
      </w:r>
      <w:r w:rsidR="004C7BF6" w:rsidRPr="00731644">
        <w:rPr>
          <w:lang w:val="fr-CH"/>
        </w:rPr>
        <w:t xml:space="preserve"> </w:t>
      </w:r>
      <w:r w:rsidR="00741A72" w:rsidRPr="00731644">
        <w:rPr>
          <w:lang w:val="fr-CH"/>
        </w:rPr>
        <w:t xml:space="preserve">de Niksic, </w:t>
      </w:r>
      <w:r w:rsidR="003172B2" w:rsidRPr="00731644">
        <w:rPr>
          <w:lang w:val="fr-CH"/>
        </w:rPr>
        <w:t>où la bé</w:t>
      </w:r>
      <w:r w:rsidR="00573C5A" w:rsidRPr="00731644">
        <w:rPr>
          <w:lang w:val="fr-CH"/>
        </w:rPr>
        <w:t>n</w:t>
      </w:r>
      <w:r w:rsidR="003172B2" w:rsidRPr="00731644">
        <w:rPr>
          <w:lang w:val="fr-CH"/>
        </w:rPr>
        <w:t xml:space="preserve">éficiaire de la subvention </w:t>
      </w:r>
      <w:r w:rsidR="00741A72" w:rsidRPr="00731644">
        <w:rPr>
          <w:lang w:val="fr-CH"/>
        </w:rPr>
        <w:t>a</w:t>
      </w:r>
      <w:r w:rsidR="00573C5A" w:rsidRPr="00731644">
        <w:rPr>
          <w:lang w:val="fr-CH"/>
        </w:rPr>
        <w:t xml:space="preserve"> ouv</w:t>
      </w:r>
      <w:r w:rsidR="00741A72" w:rsidRPr="00731644">
        <w:rPr>
          <w:lang w:val="fr-CH"/>
        </w:rPr>
        <w:t>ert grâce à elle</w:t>
      </w:r>
      <w:r w:rsidR="00573C5A" w:rsidRPr="00731644">
        <w:rPr>
          <w:lang w:val="fr-CH"/>
        </w:rPr>
        <w:t xml:space="preserve"> un salon de coiffure qui fonctionne dans le cadre de cette coopérative. </w:t>
      </w:r>
    </w:p>
    <w:p w:rsidR="004C7BF6" w:rsidRPr="00731644" w:rsidRDefault="000F0319" w:rsidP="004C7BF6">
      <w:pPr>
        <w:pStyle w:val="SingleTxtG"/>
        <w:rPr>
          <w:lang w:val="fr-CH"/>
        </w:rPr>
      </w:pPr>
      <w:r w:rsidRPr="00731644">
        <w:rPr>
          <w:lang w:val="fr-CH"/>
        </w:rPr>
        <w:t>244.</w:t>
      </w:r>
      <w:r w:rsidRPr="00731644">
        <w:rPr>
          <w:lang w:val="fr-CH"/>
        </w:rPr>
        <w:tab/>
      </w:r>
      <w:r w:rsidR="00573C5A" w:rsidRPr="00731644">
        <w:rPr>
          <w:lang w:val="fr-CH"/>
        </w:rPr>
        <w:t>Bien que la commission de l</w:t>
      </w:r>
      <w:r w:rsidR="00425386" w:rsidRPr="00731644">
        <w:rPr>
          <w:lang w:val="fr-CH"/>
        </w:rPr>
        <w:t>’</w:t>
      </w:r>
      <w:r w:rsidR="00573C5A" w:rsidRPr="00731644">
        <w:rPr>
          <w:lang w:val="fr-CH"/>
        </w:rPr>
        <w:t>Agence pour l</w:t>
      </w:r>
      <w:r w:rsidR="00425386" w:rsidRPr="00731644">
        <w:rPr>
          <w:lang w:val="fr-CH"/>
        </w:rPr>
        <w:t>’</w:t>
      </w:r>
      <w:r w:rsidR="00573C5A" w:rsidRPr="00731644">
        <w:rPr>
          <w:lang w:val="fr-CH"/>
        </w:rPr>
        <w:t>emploi</w:t>
      </w:r>
      <w:r w:rsidR="00741A72" w:rsidRPr="00731644">
        <w:rPr>
          <w:lang w:val="fr-CH"/>
        </w:rPr>
        <w:t>,</w:t>
      </w:r>
      <w:r w:rsidR="00573C5A" w:rsidRPr="00731644">
        <w:rPr>
          <w:lang w:val="fr-CH"/>
        </w:rPr>
        <w:t xml:space="preserve"> le coordonnateur du projet et le </w:t>
      </w:r>
      <w:r w:rsidR="005A7AA5" w:rsidRPr="00731644">
        <w:rPr>
          <w:lang w:val="fr-CH"/>
        </w:rPr>
        <w:t>P</w:t>
      </w:r>
      <w:r w:rsidR="00573C5A" w:rsidRPr="00731644">
        <w:rPr>
          <w:lang w:val="fr-CH"/>
        </w:rPr>
        <w:t>ro</w:t>
      </w:r>
      <w:r w:rsidR="005A7AA5" w:rsidRPr="00731644">
        <w:rPr>
          <w:lang w:val="fr-CH"/>
        </w:rPr>
        <w:t>g</w:t>
      </w:r>
      <w:r w:rsidR="00573C5A" w:rsidRPr="00731644">
        <w:rPr>
          <w:lang w:val="fr-CH"/>
        </w:rPr>
        <w:t xml:space="preserve">ramme </w:t>
      </w:r>
      <w:r w:rsidR="005A7AA5" w:rsidRPr="00731644">
        <w:rPr>
          <w:lang w:val="fr-CH"/>
        </w:rPr>
        <w:t>d</w:t>
      </w:r>
      <w:r w:rsidR="00573C5A" w:rsidRPr="00731644">
        <w:rPr>
          <w:lang w:val="fr-CH"/>
        </w:rPr>
        <w:t>es Nations Unies pour le développement aient contrôlé régulièrement l</w:t>
      </w:r>
      <w:r w:rsidR="00425386" w:rsidRPr="00731644">
        <w:rPr>
          <w:lang w:val="fr-CH"/>
        </w:rPr>
        <w:t>’</w:t>
      </w:r>
      <w:r w:rsidR="00573C5A" w:rsidRPr="00731644">
        <w:rPr>
          <w:lang w:val="fr-CH"/>
        </w:rPr>
        <w:t xml:space="preserve">emploi des </w:t>
      </w:r>
      <w:r w:rsidR="002E337C" w:rsidRPr="00731644">
        <w:rPr>
          <w:lang w:val="fr-CH"/>
        </w:rPr>
        <w:t>moyens</w:t>
      </w:r>
      <w:r w:rsidR="00F31DD5" w:rsidRPr="00731644">
        <w:rPr>
          <w:lang w:val="fr-CH"/>
        </w:rPr>
        <w:t xml:space="preserve"> </w:t>
      </w:r>
      <w:r w:rsidR="00573C5A" w:rsidRPr="00731644">
        <w:rPr>
          <w:lang w:val="fr-CH"/>
        </w:rPr>
        <w:t>fournis, le taux de réussite n</w:t>
      </w:r>
      <w:r w:rsidR="00425386" w:rsidRPr="00731644">
        <w:rPr>
          <w:lang w:val="fr-CH"/>
        </w:rPr>
        <w:t>’</w:t>
      </w:r>
      <w:r w:rsidR="00573C5A" w:rsidRPr="00731644">
        <w:rPr>
          <w:lang w:val="fr-CH"/>
        </w:rPr>
        <w:t xml:space="preserve">est pas </w:t>
      </w:r>
      <w:r w:rsidR="00741A72" w:rsidRPr="00731644">
        <w:rPr>
          <w:lang w:val="fr-CH"/>
        </w:rPr>
        <w:t>plus élevé</w:t>
      </w:r>
      <w:r w:rsidR="00573C5A" w:rsidRPr="00731644">
        <w:rPr>
          <w:lang w:val="fr-CH"/>
        </w:rPr>
        <w:t xml:space="preserve"> en raison du manque de mécanismes de protection (la subvention est irrévocable) et, probablement, </w:t>
      </w:r>
      <w:r w:rsidR="005A7AA5" w:rsidRPr="00731644">
        <w:rPr>
          <w:lang w:val="fr-CH"/>
        </w:rPr>
        <w:t>des impôts et des taxes qui frappent</w:t>
      </w:r>
      <w:r w:rsidR="00573C5A" w:rsidRPr="00731644">
        <w:rPr>
          <w:lang w:val="fr-CH"/>
        </w:rPr>
        <w:t xml:space="preserve"> l</w:t>
      </w:r>
      <w:r w:rsidR="00425386" w:rsidRPr="00731644">
        <w:rPr>
          <w:lang w:val="fr-CH"/>
        </w:rPr>
        <w:t>’</w:t>
      </w:r>
      <w:r w:rsidR="00573C5A" w:rsidRPr="00731644">
        <w:rPr>
          <w:lang w:val="fr-CH"/>
        </w:rPr>
        <w:t xml:space="preserve">activité </w:t>
      </w:r>
      <w:r w:rsidR="005A7AA5" w:rsidRPr="00731644">
        <w:rPr>
          <w:lang w:val="fr-CH"/>
        </w:rPr>
        <w:t xml:space="preserve">économique </w:t>
      </w:r>
      <w:r w:rsidR="002E337C" w:rsidRPr="00731644">
        <w:rPr>
          <w:lang w:val="fr-CH"/>
        </w:rPr>
        <w:t xml:space="preserve">et dont </w:t>
      </w:r>
      <w:r w:rsidR="00741A72" w:rsidRPr="00731644">
        <w:rPr>
          <w:lang w:val="fr-CH"/>
        </w:rPr>
        <w:t>l</w:t>
      </w:r>
      <w:r w:rsidR="00425386" w:rsidRPr="00731644">
        <w:rPr>
          <w:lang w:val="fr-CH"/>
        </w:rPr>
        <w:t>’</w:t>
      </w:r>
      <w:r w:rsidR="00741A72" w:rsidRPr="00731644">
        <w:rPr>
          <w:lang w:val="fr-CH"/>
        </w:rPr>
        <w:t>importance</w:t>
      </w:r>
      <w:r w:rsidR="002E337C" w:rsidRPr="00731644">
        <w:rPr>
          <w:lang w:val="fr-CH"/>
        </w:rPr>
        <w:t xml:space="preserve"> </w:t>
      </w:r>
      <w:r w:rsidR="005A7AA5" w:rsidRPr="00731644">
        <w:rPr>
          <w:lang w:val="fr-CH"/>
        </w:rPr>
        <w:t>explique que la plupart des bénéficiaires n</w:t>
      </w:r>
      <w:r w:rsidR="00425386" w:rsidRPr="00731644">
        <w:rPr>
          <w:lang w:val="fr-CH"/>
        </w:rPr>
        <w:t>’</w:t>
      </w:r>
      <w:r w:rsidR="005A7AA5" w:rsidRPr="00731644">
        <w:rPr>
          <w:lang w:val="fr-CH"/>
        </w:rPr>
        <w:t>aient pas pu faire face à leurs obligations régulièrement.</w:t>
      </w:r>
      <w:r w:rsidR="00F31DD5" w:rsidRPr="00731644">
        <w:rPr>
          <w:lang w:val="fr-CH"/>
        </w:rPr>
        <w:t xml:space="preserve"> </w:t>
      </w:r>
    </w:p>
    <w:p w:rsidR="004C7BF6" w:rsidRPr="00731644" w:rsidRDefault="000F0319" w:rsidP="002061AB">
      <w:pPr>
        <w:pStyle w:val="SingleTxtG"/>
        <w:keepNext/>
        <w:rPr>
          <w:lang w:val="fr-CH"/>
        </w:rPr>
      </w:pPr>
      <w:r w:rsidRPr="00731644">
        <w:rPr>
          <w:lang w:val="fr-CH"/>
        </w:rPr>
        <w:t>245.</w:t>
      </w:r>
      <w:r w:rsidRPr="00731644">
        <w:rPr>
          <w:lang w:val="fr-CH"/>
        </w:rPr>
        <w:tab/>
      </w:r>
      <w:r w:rsidR="00550776" w:rsidRPr="00731644">
        <w:rPr>
          <w:lang w:val="fr-CH"/>
        </w:rPr>
        <w:t>L</w:t>
      </w:r>
      <w:r w:rsidR="002B021B" w:rsidRPr="00731644">
        <w:rPr>
          <w:lang w:val="fr-CH"/>
        </w:rPr>
        <w:t xml:space="preserve">es principaux </w:t>
      </w:r>
      <w:r w:rsidR="0083174F" w:rsidRPr="00731644">
        <w:rPr>
          <w:lang w:val="fr-CH"/>
        </w:rPr>
        <w:t>résultats</w:t>
      </w:r>
      <w:r w:rsidR="002B021B" w:rsidRPr="00731644">
        <w:rPr>
          <w:lang w:val="fr-CH"/>
        </w:rPr>
        <w:t xml:space="preserve"> du projet peuvent se résumer comme suit</w:t>
      </w:r>
      <w:r w:rsidR="00F31DD5" w:rsidRPr="00731644">
        <w:rPr>
          <w:lang w:val="fr-CH"/>
        </w:rPr>
        <w:t>:</w:t>
      </w:r>
    </w:p>
    <w:p w:rsidR="004C7BF6" w:rsidRPr="00731644" w:rsidRDefault="004C7BF6" w:rsidP="00216E96">
      <w:pPr>
        <w:pStyle w:val="Bullet1G"/>
        <w:rPr>
          <w:lang w:val="fr-CH"/>
        </w:rPr>
      </w:pPr>
      <w:r w:rsidRPr="00731644">
        <w:rPr>
          <w:lang w:val="fr-CH"/>
        </w:rPr>
        <w:t>75</w:t>
      </w:r>
      <w:r w:rsidR="00CB7658" w:rsidRPr="00731644">
        <w:rPr>
          <w:lang w:val="fr-CH"/>
        </w:rPr>
        <w:t> personnes</w:t>
      </w:r>
      <w:r w:rsidR="002B021B" w:rsidRPr="00731644">
        <w:rPr>
          <w:lang w:val="fr-CH"/>
        </w:rPr>
        <w:t xml:space="preserve"> (dont 52</w:t>
      </w:r>
      <w:r w:rsidR="006443F6" w:rsidRPr="00731644">
        <w:rPr>
          <w:lang w:val="fr-CH"/>
        </w:rPr>
        <w:t>%</w:t>
      </w:r>
      <w:r w:rsidR="002B021B" w:rsidRPr="00731644">
        <w:rPr>
          <w:lang w:val="fr-CH"/>
        </w:rPr>
        <w:t xml:space="preserve"> de femmes) ont suivi jusqu</w:t>
      </w:r>
      <w:r w:rsidR="00425386" w:rsidRPr="00731644">
        <w:rPr>
          <w:lang w:val="fr-CH"/>
        </w:rPr>
        <w:t>’</w:t>
      </w:r>
      <w:r w:rsidR="002B021B" w:rsidRPr="00731644">
        <w:rPr>
          <w:lang w:val="fr-CH"/>
        </w:rPr>
        <w:t xml:space="preserve">au bout certaines des </w:t>
      </w:r>
      <w:r w:rsidR="0083174F" w:rsidRPr="00731644">
        <w:rPr>
          <w:lang w:val="fr-CH"/>
        </w:rPr>
        <w:t>formations</w:t>
      </w:r>
      <w:r w:rsidR="002B021B" w:rsidRPr="00731644">
        <w:rPr>
          <w:lang w:val="fr-CH"/>
        </w:rPr>
        <w:t xml:space="preserve"> proposées</w:t>
      </w:r>
      <w:r w:rsidR="002061AB">
        <w:rPr>
          <w:lang w:val="fr-CH"/>
        </w:rPr>
        <w:t>;</w:t>
      </w:r>
    </w:p>
    <w:p w:rsidR="004C7BF6" w:rsidRPr="00731644" w:rsidRDefault="002B021B" w:rsidP="00216E96">
      <w:pPr>
        <w:pStyle w:val="Bullet1G"/>
        <w:rPr>
          <w:lang w:val="fr-CH"/>
        </w:rPr>
      </w:pPr>
      <w:r w:rsidRPr="00731644">
        <w:rPr>
          <w:lang w:val="fr-CH"/>
        </w:rPr>
        <w:t xml:space="preserve">Le nombre </w:t>
      </w:r>
      <w:r w:rsidR="00B569C5" w:rsidRPr="00731644">
        <w:rPr>
          <w:lang w:val="fr-CH"/>
        </w:rPr>
        <w:t>des personnes</w:t>
      </w:r>
      <w:r w:rsidRPr="00731644">
        <w:rPr>
          <w:lang w:val="fr-CH"/>
        </w:rPr>
        <w:t xml:space="preserve"> formées constitue </w:t>
      </w:r>
      <w:r w:rsidR="004C7BF6" w:rsidRPr="00731644">
        <w:rPr>
          <w:lang w:val="fr-CH"/>
        </w:rPr>
        <w:t>16</w:t>
      </w:r>
      <w:r w:rsidRPr="00731644">
        <w:rPr>
          <w:lang w:val="fr-CH"/>
        </w:rPr>
        <w:t>,</w:t>
      </w:r>
      <w:r w:rsidR="004C7BF6" w:rsidRPr="00731644">
        <w:rPr>
          <w:lang w:val="fr-CH"/>
        </w:rPr>
        <w:t>5</w:t>
      </w:r>
      <w:r w:rsidR="006443F6" w:rsidRPr="00731644">
        <w:rPr>
          <w:lang w:val="fr-CH"/>
        </w:rPr>
        <w:t>%</w:t>
      </w:r>
      <w:r w:rsidRPr="00731644">
        <w:rPr>
          <w:lang w:val="fr-CH"/>
        </w:rPr>
        <w:t xml:space="preserve"> des Roms, </w:t>
      </w:r>
      <w:r w:rsidR="002A5033" w:rsidRPr="00731644">
        <w:rPr>
          <w:lang w:val="fr-CH"/>
        </w:rPr>
        <w:t>Ashkali</w:t>
      </w:r>
      <w:r w:rsidRPr="00731644">
        <w:rPr>
          <w:lang w:val="fr-CH"/>
        </w:rPr>
        <w:t xml:space="preserve"> et </w:t>
      </w:r>
      <w:r w:rsidR="002E337C" w:rsidRPr="00731644">
        <w:rPr>
          <w:lang w:val="fr-CH"/>
        </w:rPr>
        <w:t>t</w:t>
      </w:r>
      <w:r w:rsidR="00A95D03" w:rsidRPr="00731644">
        <w:rPr>
          <w:lang w:val="fr-CH"/>
        </w:rPr>
        <w:t>ziganes</w:t>
      </w:r>
      <w:r w:rsidRPr="00731644">
        <w:rPr>
          <w:lang w:val="fr-CH"/>
        </w:rPr>
        <w:t xml:space="preserve"> inscrits </w:t>
      </w:r>
      <w:r w:rsidR="002E337C" w:rsidRPr="00731644">
        <w:rPr>
          <w:lang w:val="fr-CH"/>
        </w:rPr>
        <w:t>sur</w:t>
      </w:r>
      <w:r w:rsidRPr="00731644">
        <w:rPr>
          <w:lang w:val="fr-CH"/>
        </w:rPr>
        <w:t xml:space="preserve"> les registres des trois municipalités ciblées</w:t>
      </w:r>
      <w:r w:rsidR="002061AB">
        <w:rPr>
          <w:lang w:val="fr-CH"/>
        </w:rPr>
        <w:t>;</w:t>
      </w:r>
      <w:r w:rsidRPr="00731644">
        <w:rPr>
          <w:lang w:val="fr-CH"/>
        </w:rPr>
        <w:t xml:space="preserve"> </w:t>
      </w:r>
    </w:p>
    <w:p w:rsidR="004C7BF6" w:rsidRPr="00731644" w:rsidRDefault="004C030A" w:rsidP="00216E96">
      <w:pPr>
        <w:pStyle w:val="Bullet1G"/>
        <w:rPr>
          <w:lang w:val="fr-CH"/>
        </w:rPr>
      </w:pPr>
      <w:r w:rsidRPr="00731644">
        <w:rPr>
          <w:lang w:val="fr-CH"/>
        </w:rPr>
        <w:t xml:space="preserve">Le nombre des Roms </w:t>
      </w:r>
      <w:r w:rsidR="00550776" w:rsidRPr="00731644">
        <w:rPr>
          <w:lang w:val="fr-CH"/>
        </w:rPr>
        <w:t xml:space="preserve">domiciliés au Monténégro qui sont inscrits </w:t>
      </w:r>
      <w:r w:rsidR="002E337C" w:rsidRPr="00731644">
        <w:rPr>
          <w:lang w:val="fr-CH"/>
        </w:rPr>
        <w:t>sur les</w:t>
      </w:r>
      <w:r w:rsidR="00550776" w:rsidRPr="00731644">
        <w:rPr>
          <w:lang w:val="fr-CH"/>
        </w:rPr>
        <w:t xml:space="preserve"> registre</w:t>
      </w:r>
      <w:r w:rsidR="002E337C" w:rsidRPr="00731644">
        <w:rPr>
          <w:lang w:val="fr-CH"/>
        </w:rPr>
        <w:t>s</w:t>
      </w:r>
      <w:r w:rsidR="00550776" w:rsidRPr="00731644">
        <w:rPr>
          <w:lang w:val="fr-CH"/>
        </w:rPr>
        <w:t xml:space="preserve"> de l</w:t>
      </w:r>
      <w:r w:rsidR="00425386" w:rsidRPr="00731644">
        <w:rPr>
          <w:lang w:val="fr-CH"/>
        </w:rPr>
        <w:t>’</w:t>
      </w:r>
      <w:r w:rsidR="00550776" w:rsidRPr="00731644">
        <w:rPr>
          <w:lang w:val="fr-CH"/>
        </w:rPr>
        <w:t>état civil a augmenté de</w:t>
      </w:r>
      <w:r w:rsidR="00F31DD5" w:rsidRPr="00731644">
        <w:rPr>
          <w:lang w:val="fr-CH"/>
        </w:rPr>
        <w:t xml:space="preserve"> </w:t>
      </w:r>
      <w:r w:rsidR="004C7BF6" w:rsidRPr="00731644">
        <w:rPr>
          <w:lang w:val="fr-CH"/>
        </w:rPr>
        <w:t>77</w:t>
      </w:r>
      <w:r w:rsidR="00550776" w:rsidRPr="00731644">
        <w:rPr>
          <w:lang w:val="fr-CH"/>
        </w:rPr>
        <w:t>,</w:t>
      </w:r>
      <w:r w:rsidR="004C7BF6" w:rsidRPr="00731644">
        <w:rPr>
          <w:lang w:val="fr-CH"/>
        </w:rPr>
        <w:t>4</w:t>
      </w:r>
      <w:r w:rsidR="006443F6" w:rsidRPr="00731644">
        <w:rPr>
          <w:lang w:val="fr-CH"/>
        </w:rPr>
        <w:t>%</w:t>
      </w:r>
      <w:r w:rsidR="00550776" w:rsidRPr="00731644">
        <w:rPr>
          <w:lang w:val="fr-CH"/>
        </w:rPr>
        <w:t xml:space="preserve"> entre le 1</w:t>
      </w:r>
      <w:r w:rsidR="00550776" w:rsidRPr="00731644">
        <w:rPr>
          <w:vertAlign w:val="superscript"/>
          <w:lang w:val="fr-CH"/>
        </w:rPr>
        <w:t>er</w:t>
      </w:r>
      <w:r w:rsidR="00550776" w:rsidRPr="00731644">
        <w:rPr>
          <w:lang w:val="fr-CH"/>
        </w:rPr>
        <w:t xml:space="preserve"> octobre </w:t>
      </w:r>
      <w:r w:rsidR="004C7BF6" w:rsidRPr="00731644">
        <w:rPr>
          <w:lang w:val="fr-CH"/>
        </w:rPr>
        <w:t xml:space="preserve">2007 </w:t>
      </w:r>
      <w:r w:rsidR="00550776" w:rsidRPr="00731644">
        <w:rPr>
          <w:lang w:val="fr-CH"/>
        </w:rPr>
        <w:t>et le</w:t>
      </w:r>
      <w:r w:rsidR="004C7BF6" w:rsidRPr="00731644">
        <w:rPr>
          <w:lang w:val="fr-CH"/>
        </w:rPr>
        <w:t xml:space="preserve"> 31 </w:t>
      </w:r>
      <w:r w:rsidR="00550776" w:rsidRPr="00731644">
        <w:rPr>
          <w:lang w:val="fr-CH"/>
        </w:rPr>
        <w:t>décembre</w:t>
      </w:r>
      <w:r w:rsidR="004C7BF6" w:rsidRPr="00731644">
        <w:rPr>
          <w:lang w:val="fr-CH"/>
        </w:rPr>
        <w:t xml:space="preserve"> 2009</w:t>
      </w:r>
      <w:r w:rsidR="002061AB">
        <w:rPr>
          <w:lang w:val="fr-CH"/>
        </w:rPr>
        <w:t>;</w:t>
      </w:r>
    </w:p>
    <w:p w:rsidR="004C7BF6" w:rsidRPr="00731644" w:rsidRDefault="004C7BF6" w:rsidP="00216E96">
      <w:pPr>
        <w:pStyle w:val="Bullet1G"/>
        <w:rPr>
          <w:lang w:val="fr-CH"/>
        </w:rPr>
      </w:pPr>
      <w:r w:rsidRPr="00731644">
        <w:rPr>
          <w:lang w:val="fr-CH"/>
        </w:rPr>
        <w:t>107</w:t>
      </w:r>
      <w:r w:rsidR="00CB7658" w:rsidRPr="00731644">
        <w:rPr>
          <w:lang w:val="fr-CH"/>
        </w:rPr>
        <w:t> personnes</w:t>
      </w:r>
      <w:r w:rsidRPr="00731644">
        <w:rPr>
          <w:lang w:val="fr-CH"/>
        </w:rPr>
        <w:t xml:space="preserve"> (</w:t>
      </w:r>
      <w:r w:rsidR="00550776" w:rsidRPr="00731644">
        <w:rPr>
          <w:lang w:val="fr-CH"/>
        </w:rPr>
        <w:t>dont 26</w:t>
      </w:r>
      <w:r w:rsidR="006443F6" w:rsidRPr="00731644">
        <w:rPr>
          <w:lang w:val="fr-CH"/>
        </w:rPr>
        <w:t>%</w:t>
      </w:r>
      <w:r w:rsidR="00550776" w:rsidRPr="00731644">
        <w:rPr>
          <w:lang w:val="fr-CH"/>
        </w:rPr>
        <w:t xml:space="preserve"> de femmes</w:t>
      </w:r>
      <w:r w:rsidRPr="00731644">
        <w:rPr>
          <w:lang w:val="fr-CH"/>
        </w:rPr>
        <w:t>)</w:t>
      </w:r>
      <w:r w:rsidR="00550776" w:rsidRPr="00731644">
        <w:rPr>
          <w:lang w:val="fr-CH"/>
        </w:rPr>
        <w:t>, soit 23,5</w:t>
      </w:r>
      <w:r w:rsidR="006443F6" w:rsidRPr="00731644">
        <w:rPr>
          <w:lang w:val="fr-CH"/>
        </w:rPr>
        <w:t>%</w:t>
      </w:r>
      <w:r w:rsidR="00550776" w:rsidRPr="00731644">
        <w:rPr>
          <w:lang w:val="fr-CH"/>
        </w:rPr>
        <w:t xml:space="preserve"> </w:t>
      </w:r>
      <w:r w:rsidR="00B569C5" w:rsidRPr="00731644">
        <w:rPr>
          <w:lang w:val="fr-CH"/>
        </w:rPr>
        <w:t>des personnes</w:t>
      </w:r>
      <w:r w:rsidR="00550776" w:rsidRPr="00731644">
        <w:rPr>
          <w:lang w:val="fr-CH"/>
        </w:rPr>
        <w:t xml:space="preserve"> inscrites</w:t>
      </w:r>
      <w:r w:rsidR="00F31DD5" w:rsidRPr="00731644">
        <w:rPr>
          <w:lang w:val="fr-CH"/>
        </w:rPr>
        <w:t xml:space="preserve"> </w:t>
      </w:r>
      <w:r w:rsidR="00550776" w:rsidRPr="00731644">
        <w:rPr>
          <w:lang w:val="fr-CH"/>
        </w:rPr>
        <w:t>à l</w:t>
      </w:r>
      <w:r w:rsidR="00425386" w:rsidRPr="00731644">
        <w:rPr>
          <w:lang w:val="fr-CH"/>
        </w:rPr>
        <w:t>’</w:t>
      </w:r>
      <w:r w:rsidR="00550776" w:rsidRPr="00731644">
        <w:rPr>
          <w:lang w:val="fr-CH"/>
        </w:rPr>
        <w:t>état civil dans les municipalités cibl</w:t>
      </w:r>
      <w:r w:rsidR="002E337C" w:rsidRPr="00731644">
        <w:rPr>
          <w:lang w:val="fr-CH"/>
        </w:rPr>
        <w:t>é</w:t>
      </w:r>
      <w:r w:rsidR="00550776" w:rsidRPr="00731644">
        <w:rPr>
          <w:lang w:val="fr-CH"/>
        </w:rPr>
        <w:t>es, ont, d</w:t>
      </w:r>
      <w:r w:rsidR="00425386" w:rsidRPr="00731644">
        <w:rPr>
          <w:lang w:val="fr-CH"/>
        </w:rPr>
        <w:t>’</w:t>
      </w:r>
      <w:r w:rsidR="00550776" w:rsidRPr="00731644">
        <w:rPr>
          <w:lang w:val="fr-CH"/>
        </w:rPr>
        <w:t>une manière ou d</w:t>
      </w:r>
      <w:r w:rsidR="00425386" w:rsidRPr="00731644">
        <w:rPr>
          <w:lang w:val="fr-CH"/>
        </w:rPr>
        <w:t>’</w:t>
      </w:r>
      <w:r w:rsidR="00550776" w:rsidRPr="00731644">
        <w:rPr>
          <w:lang w:val="fr-CH"/>
        </w:rPr>
        <w:t xml:space="preserve">une autre, été employées pendant </w:t>
      </w:r>
      <w:r w:rsidR="002E337C" w:rsidRPr="00731644">
        <w:rPr>
          <w:lang w:val="fr-CH"/>
        </w:rPr>
        <w:t xml:space="preserve">cette période </w:t>
      </w:r>
      <w:r w:rsidR="00550776" w:rsidRPr="00731644">
        <w:rPr>
          <w:lang w:val="fr-CH"/>
        </w:rPr>
        <w:t>(travaux d</w:t>
      </w:r>
      <w:r w:rsidR="00425386" w:rsidRPr="00731644">
        <w:rPr>
          <w:lang w:val="fr-CH"/>
        </w:rPr>
        <w:t>’</w:t>
      </w:r>
      <w:r w:rsidR="00550776" w:rsidRPr="00731644">
        <w:rPr>
          <w:lang w:val="fr-CH"/>
        </w:rPr>
        <w:t xml:space="preserve">intérêt public, emplois saisonniers, </w:t>
      </w:r>
      <w:r w:rsidR="002E337C" w:rsidRPr="00731644">
        <w:rPr>
          <w:lang w:val="fr-CH"/>
        </w:rPr>
        <w:t xml:space="preserve">subventions liées aux </w:t>
      </w:r>
      <w:r w:rsidR="00550776" w:rsidRPr="00731644">
        <w:rPr>
          <w:lang w:val="fr-CH"/>
        </w:rPr>
        <w:t>activités du p</w:t>
      </w:r>
      <w:r w:rsidR="002E337C" w:rsidRPr="00731644">
        <w:rPr>
          <w:lang w:val="fr-CH"/>
        </w:rPr>
        <w:t>rojet</w:t>
      </w:r>
      <w:r w:rsidRPr="00731644">
        <w:rPr>
          <w:lang w:val="fr-CH"/>
        </w:rPr>
        <w:t>)</w:t>
      </w:r>
      <w:r w:rsidR="005072A0">
        <w:rPr>
          <w:lang w:val="fr-CH"/>
        </w:rPr>
        <w:t>;</w:t>
      </w:r>
    </w:p>
    <w:p w:rsidR="004C7BF6" w:rsidRPr="00731644" w:rsidRDefault="00550776" w:rsidP="00216E96">
      <w:pPr>
        <w:pStyle w:val="Bullet1G"/>
        <w:rPr>
          <w:lang w:val="fr-CH"/>
        </w:rPr>
      </w:pPr>
      <w:r w:rsidRPr="00731644">
        <w:rPr>
          <w:lang w:val="fr-CH"/>
        </w:rPr>
        <w:t xml:space="preserve">Le projet a créé et adopté </w:t>
      </w:r>
      <w:r w:rsidR="008E3320" w:rsidRPr="00731644">
        <w:rPr>
          <w:lang w:val="fr-CH"/>
        </w:rPr>
        <w:t>des</w:t>
      </w:r>
      <w:r w:rsidRPr="00731644">
        <w:rPr>
          <w:lang w:val="fr-CH"/>
        </w:rPr>
        <w:t xml:space="preserve"> normes </w:t>
      </w:r>
      <w:r w:rsidR="008E3320" w:rsidRPr="00731644">
        <w:rPr>
          <w:lang w:val="fr-CH"/>
        </w:rPr>
        <w:t xml:space="preserve">professionnelles </w:t>
      </w:r>
      <w:r w:rsidRPr="00731644">
        <w:rPr>
          <w:lang w:val="fr-CH"/>
        </w:rPr>
        <w:t xml:space="preserve">et </w:t>
      </w:r>
      <w:r w:rsidR="008E3320" w:rsidRPr="00731644">
        <w:rPr>
          <w:lang w:val="fr-CH"/>
        </w:rPr>
        <w:t xml:space="preserve">des </w:t>
      </w:r>
      <w:r w:rsidRPr="00731644">
        <w:rPr>
          <w:lang w:val="fr-CH"/>
        </w:rPr>
        <w:t xml:space="preserve">programmes de formation </w:t>
      </w:r>
      <w:r w:rsidR="008E3320" w:rsidRPr="00731644">
        <w:rPr>
          <w:lang w:val="fr-CH"/>
        </w:rPr>
        <w:t>pour cinq</w:t>
      </w:r>
      <w:r w:rsidRPr="00731644">
        <w:rPr>
          <w:lang w:val="fr-CH"/>
        </w:rPr>
        <w:t xml:space="preserve"> </w:t>
      </w:r>
      <w:r w:rsidR="008E3320" w:rsidRPr="00731644">
        <w:rPr>
          <w:lang w:val="fr-CH"/>
        </w:rPr>
        <w:t>métiers</w:t>
      </w:r>
      <w:r w:rsidRPr="00731644">
        <w:rPr>
          <w:lang w:val="fr-CH"/>
        </w:rPr>
        <w:t xml:space="preserve"> qui sont </w:t>
      </w:r>
      <w:r w:rsidR="008E3320" w:rsidRPr="00731644">
        <w:rPr>
          <w:lang w:val="fr-CH"/>
        </w:rPr>
        <w:t>recherché</w:t>
      </w:r>
      <w:r w:rsidRPr="00731644">
        <w:rPr>
          <w:lang w:val="fr-CH"/>
        </w:rPr>
        <w:t xml:space="preserve">s sur le marché du travail et qui répondent aux besoins des Roms, </w:t>
      </w:r>
      <w:r w:rsidR="008E3320" w:rsidRPr="00731644">
        <w:rPr>
          <w:lang w:val="fr-CH"/>
        </w:rPr>
        <w:t xml:space="preserve">des </w:t>
      </w:r>
      <w:r w:rsidR="002A5033" w:rsidRPr="00731644">
        <w:rPr>
          <w:lang w:val="fr-CH"/>
        </w:rPr>
        <w:t>Ashkali</w:t>
      </w:r>
      <w:r w:rsidRPr="00731644">
        <w:rPr>
          <w:lang w:val="fr-CH"/>
        </w:rPr>
        <w:t xml:space="preserve"> et </w:t>
      </w:r>
      <w:r w:rsidR="008E3320" w:rsidRPr="00731644">
        <w:rPr>
          <w:lang w:val="fr-CH"/>
        </w:rPr>
        <w:t>des t</w:t>
      </w:r>
      <w:r w:rsidR="00A95D03" w:rsidRPr="00731644">
        <w:rPr>
          <w:lang w:val="fr-CH"/>
        </w:rPr>
        <w:t>ziganes</w:t>
      </w:r>
      <w:r w:rsidR="002061AB">
        <w:rPr>
          <w:lang w:val="fr-CH"/>
        </w:rPr>
        <w:t>;</w:t>
      </w:r>
      <w:r w:rsidRPr="00731644">
        <w:rPr>
          <w:lang w:val="fr-CH"/>
        </w:rPr>
        <w:t xml:space="preserve"> </w:t>
      </w:r>
    </w:p>
    <w:p w:rsidR="004C7BF6" w:rsidRPr="00731644" w:rsidRDefault="00550776" w:rsidP="00216E96">
      <w:pPr>
        <w:pStyle w:val="Bullet1G"/>
        <w:rPr>
          <w:b/>
          <w:lang w:val="fr-CH"/>
        </w:rPr>
      </w:pPr>
      <w:r w:rsidRPr="00731644">
        <w:rPr>
          <w:lang w:val="fr-CH"/>
        </w:rPr>
        <w:t>Le projet a fourni des financements (subventions) pour six projets d</w:t>
      </w:r>
      <w:r w:rsidR="00425386" w:rsidRPr="00731644">
        <w:rPr>
          <w:lang w:val="fr-CH"/>
        </w:rPr>
        <w:t>’</w:t>
      </w:r>
      <w:r w:rsidRPr="00731644">
        <w:rPr>
          <w:lang w:val="fr-CH"/>
        </w:rPr>
        <w:t>activité économique dans les trois municipalités cibl</w:t>
      </w:r>
      <w:r w:rsidR="008E3320" w:rsidRPr="00731644">
        <w:rPr>
          <w:lang w:val="fr-CH"/>
        </w:rPr>
        <w:t>é</w:t>
      </w:r>
      <w:r w:rsidRPr="00731644">
        <w:rPr>
          <w:lang w:val="fr-CH"/>
        </w:rPr>
        <w:t>es.</w:t>
      </w:r>
      <w:r w:rsidR="00F31DD5" w:rsidRPr="00731644">
        <w:rPr>
          <w:lang w:val="fr-CH"/>
        </w:rPr>
        <w:t xml:space="preserve"> </w:t>
      </w:r>
      <w:r w:rsidRPr="00731644">
        <w:rPr>
          <w:lang w:val="fr-CH"/>
        </w:rPr>
        <w:t>Le taux de réussite est de 30</w:t>
      </w:r>
      <w:r w:rsidR="006443F6" w:rsidRPr="00731644">
        <w:rPr>
          <w:lang w:val="fr-CH"/>
        </w:rPr>
        <w:t>%</w:t>
      </w:r>
      <w:r w:rsidRPr="00731644">
        <w:rPr>
          <w:lang w:val="fr-CH"/>
        </w:rPr>
        <w:t xml:space="preserve">. </w:t>
      </w:r>
    </w:p>
    <w:p w:rsidR="004C7BF6" w:rsidRPr="00731644" w:rsidRDefault="00655F5D" w:rsidP="00386960">
      <w:pPr>
        <w:pStyle w:val="SingleTxtG"/>
        <w:rPr>
          <w:b/>
          <w:lang w:val="fr-CH"/>
        </w:rPr>
      </w:pPr>
      <w:r w:rsidRPr="00731644">
        <w:rPr>
          <w:lang w:val="fr-CH"/>
        </w:rPr>
        <w:t>246.</w:t>
      </w:r>
      <w:r w:rsidRPr="00731644">
        <w:rPr>
          <w:lang w:val="fr-CH"/>
        </w:rPr>
        <w:tab/>
      </w:r>
      <w:r w:rsidR="001160F6" w:rsidRPr="00731644">
        <w:rPr>
          <w:lang w:val="fr-CH"/>
        </w:rPr>
        <w:t>Jointes aux</w:t>
      </w:r>
      <w:r w:rsidR="00550776" w:rsidRPr="00731644">
        <w:rPr>
          <w:lang w:val="fr-CH"/>
        </w:rPr>
        <w:t xml:space="preserve"> informations </w:t>
      </w:r>
      <w:r w:rsidR="001160F6" w:rsidRPr="00731644">
        <w:rPr>
          <w:lang w:val="fr-CH"/>
        </w:rPr>
        <w:t>ci-après relatives au</w:t>
      </w:r>
      <w:r w:rsidR="00550776" w:rsidRPr="00731644">
        <w:rPr>
          <w:lang w:val="fr-CH"/>
        </w:rPr>
        <w:t xml:space="preserve"> droit à l</w:t>
      </w:r>
      <w:r w:rsidR="00425386" w:rsidRPr="00731644">
        <w:rPr>
          <w:lang w:val="fr-CH"/>
        </w:rPr>
        <w:t>’</w:t>
      </w:r>
      <w:r w:rsidR="00550776" w:rsidRPr="00731644">
        <w:rPr>
          <w:lang w:val="fr-CH"/>
        </w:rPr>
        <w:t>éducation, ce</w:t>
      </w:r>
      <w:r w:rsidR="0012158D" w:rsidRPr="00731644">
        <w:rPr>
          <w:lang w:val="fr-CH"/>
        </w:rPr>
        <w:t>s</w:t>
      </w:r>
      <w:r w:rsidR="00550776" w:rsidRPr="00731644">
        <w:rPr>
          <w:lang w:val="fr-CH"/>
        </w:rPr>
        <w:t xml:space="preserve"> données </w:t>
      </w:r>
      <w:r w:rsidR="0012158D" w:rsidRPr="00731644">
        <w:rPr>
          <w:lang w:val="fr-CH"/>
        </w:rPr>
        <w:t xml:space="preserve">offrent un panorama complet des activités </w:t>
      </w:r>
      <w:r w:rsidR="008E3320" w:rsidRPr="00731644">
        <w:rPr>
          <w:lang w:val="fr-CH"/>
        </w:rPr>
        <w:t>qui se rapportent</w:t>
      </w:r>
      <w:r w:rsidR="001160F6" w:rsidRPr="00731644">
        <w:rPr>
          <w:lang w:val="fr-CH"/>
        </w:rPr>
        <w:t xml:space="preserve"> </w:t>
      </w:r>
      <w:r w:rsidR="0012158D" w:rsidRPr="00731644">
        <w:rPr>
          <w:lang w:val="fr-CH"/>
        </w:rPr>
        <w:t>à la rec</w:t>
      </w:r>
      <w:r w:rsidR="001160F6" w:rsidRPr="00731644">
        <w:rPr>
          <w:lang w:val="fr-CH"/>
        </w:rPr>
        <w:t>o</w:t>
      </w:r>
      <w:r w:rsidR="0012158D" w:rsidRPr="00731644">
        <w:rPr>
          <w:lang w:val="fr-CH"/>
        </w:rPr>
        <w:t xml:space="preserve">mmandation contenue au </w:t>
      </w:r>
      <w:r w:rsidR="00CB7658" w:rsidRPr="00731644">
        <w:rPr>
          <w:lang w:val="fr-CH"/>
        </w:rPr>
        <w:t>paragraphe </w:t>
      </w:r>
      <w:r w:rsidR="0012158D" w:rsidRPr="00731644">
        <w:rPr>
          <w:lang w:val="fr-CH"/>
        </w:rPr>
        <w:t xml:space="preserve">17 des observations finales du Comité. </w:t>
      </w:r>
    </w:p>
    <w:p w:rsidR="004C7BF6" w:rsidRPr="00731644" w:rsidRDefault="001160F6" w:rsidP="00AB4B08">
      <w:pPr>
        <w:pStyle w:val="H4G"/>
        <w:rPr>
          <w:lang w:val="fr-CH"/>
        </w:rPr>
      </w:pPr>
      <w:r w:rsidRPr="00731644">
        <w:rPr>
          <w:lang w:val="fr-CH"/>
        </w:rPr>
        <w:tab/>
      </w:r>
      <w:r w:rsidRPr="00731644">
        <w:rPr>
          <w:lang w:val="fr-CH"/>
        </w:rPr>
        <w:tab/>
        <w:t>É</w:t>
      </w:r>
      <w:r w:rsidR="004C7BF6" w:rsidRPr="00731644">
        <w:rPr>
          <w:lang w:val="fr-CH"/>
        </w:rPr>
        <w:t xml:space="preserve">ducation </w:t>
      </w:r>
      <w:r w:rsidRPr="00731644">
        <w:rPr>
          <w:lang w:val="fr-CH"/>
        </w:rPr>
        <w:t>et</w:t>
      </w:r>
      <w:r w:rsidR="004C7BF6" w:rsidRPr="00731644">
        <w:rPr>
          <w:lang w:val="fr-CH"/>
        </w:rPr>
        <w:t xml:space="preserve"> </w:t>
      </w:r>
      <w:r w:rsidR="00AB4B08" w:rsidRPr="00731644">
        <w:rPr>
          <w:lang w:val="fr-CH"/>
        </w:rPr>
        <w:t xml:space="preserve">qualification </w:t>
      </w:r>
      <w:r w:rsidRPr="00731644">
        <w:rPr>
          <w:lang w:val="fr-CH"/>
        </w:rPr>
        <w:t>des adultes</w:t>
      </w:r>
    </w:p>
    <w:p w:rsidR="004C7BF6" w:rsidRPr="00731644" w:rsidRDefault="00655F5D" w:rsidP="004C7BF6">
      <w:pPr>
        <w:pStyle w:val="SingleTxtG"/>
        <w:rPr>
          <w:lang w:val="fr-CH"/>
        </w:rPr>
      </w:pPr>
      <w:r w:rsidRPr="00731644">
        <w:rPr>
          <w:lang w:val="fr-CH"/>
        </w:rPr>
        <w:t>247.</w:t>
      </w:r>
      <w:r w:rsidRPr="00731644">
        <w:rPr>
          <w:lang w:val="fr-CH"/>
        </w:rPr>
        <w:tab/>
      </w:r>
      <w:r w:rsidR="001160F6" w:rsidRPr="00731644">
        <w:rPr>
          <w:lang w:val="fr-CH"/>
        </w:rPr>
        <w:t>Les mesures d</w:t>
      </w:r>
      <w:r w:rsidR="00425386" w:rsidRPr="00731644">
        <w:rPr>
          <w:lang w:val="fr-CH"/>
        </w:rPr>
        <w:t>’</w:t>
      </w:r>
      <w:r w:rsidR="001160F6" w:rsidRPr="00731644">
        <w:rPr>
          <w:lang w:val="fr-CH"/>
        </w:rPr>
        <w:t>é</w:t>
      </w:r>
      <w:r w:rsidR="004C7BF6" w:rsidRPr="00731644">
        <w:rPr>
          <w:lang w:val="fr-CH"/>
        </w:rPr>
        <w:t xml:space="preserve">ducation </w:t>
      </w:r>
      <w:r w:rsidR="001160F6" w:rsidRPr="00731644">
        <w:rPr>
          <w:lang w:val="fr-CH"/>
        </w:rPr>
        <w:t xml:space="preserve">et de </w:t>
      </w:r>
      <w:r w:rsidR="004C7BF6" w:rsidRPr="00731644">
        <w:rPr>
          <w:lang w:val="fr-CH"/>
        </w:rPr>
        <w:t xml:space="preserve">qualification </w:t>
      </w:r>
      <w:r w:rsidR="001160F6" w:rsidRPr="00731644">
        <w:rPr>
          <w:lang w:val="fr-CH"/>
        </w:rPr>
        <w:t>des</w:t>
      </w:r>
      <w:r w:rsidR="004C7BF6" w:rsidRPr="00731644">
        <w:rPr>
          <w:lang w:val="fr-CH"/>
        </w:rPr>
        <w:t xml:space="preserve"> adult</w:t>
      </w:r>
      <w:r w:rsidR="001160F6" w:rsidRPr="00731644">
        <w:rPr>
          <w:lang w:val="fr-CH"/>
        </w:rPr>
        <w:t>e</w:t>
      </w:r>
      <w:r w:rsidR="004C7BF6" w:rsidRPr="00731644">
        <w:rPr>
          <w:lang w:val="fr-CH"/>
        </w:rPr>
        <w:t xml:space="preserve">s </w:t>
      </w:r>
      <w:r w:rsidR="001160F6" w:rsidRPr="00731644">
        <w:rPr>
          <w:lang w:val="fr-CH"/>
        </w:rPr>
        <w:t xml:space="preserve">font partie de la politique </w:t>
      </w:r>
      <w:r w:rsidR="00E14B17" w:rsidRPr="00731644">
        <w:rPr>
          <w:lang w:val="fr-CH"/>
        </w:rPr>
        <w:t>dynamique</w:t>
      </w:r>
      <w:r w:rsidR="001160F6" w:rsidRPr="00731644">
        <w:rPr>
          <w:lang w:val="fr-CH"/>
        </w:rPr>
        <w:t xml:space="preserve"> de l</w:t>
      </w:r>
      <w:r w:rsidR="00425386" w:rsidRPr="00731644">
        <w:rPr>
          <w:lang w:val="fr-CH"/>
        </w:rPr>
        <w:t>’</w:t>
      </w:r>
      <w:r w:rsidR="001160F6" w:rsidRPr="00731644">
        <w:rPr>
          <w:lang w:val="fr-CH"/>
        </w:rPr>
        <w:t>emploi</w:t>
      </w:r>
      <w:r w:rsidR="00F31DD5" w:rsidRPr="00731644">
        <w:rPr>
          <w:lang w:val="fr-CH"/>
        </w:rPr>
        <w:t>;</w:t>
      </w:r>
      <w:r w:rsidR="001160F6" w:rsidRPr="00731644">
        <w:rPr>
          <w:lang w:val="fr-CH"/>
        </w:rPr>
        <w:t xml:space="preserve"> ce sont des programmes de préparation au premier emploi, de r</w:t>
      </w:r>
      <w:r w:rsidR="00BF3240" w:rsidRPr="00731644">
        <w:rPr>
          <w:lang w:val="fr-CH"/>
        </w:rPr>
        <w:t>ecyclage</w:t>
      </w:r>
      <w:r w:rsidR="001160F6" w:rsidRPr="00731644">
        <w:rPr>
          <w:lang w:val="fr-CH"/>
        </w:rPr>
        <w:t>, d</w:t>
      </w:r>
      <w:r w:rsidR="00425386" w:rsidRPr="00731644">
        <w:rPr>
          <w:lang w:val="fr-CH"/>
        </w:rPr>
        <w:t>’</w:t>
      </w:r>
      <w:r w:rsidR="002061AB">
        <w:rPr>
          <w:lang w:val="fr-CH"/>
        </w:rPr>
        <w:t xml:space="preserve">acquisition de qualifications </w:t>
      </w:r>
      <w:r w:rsidR="001160F6" w:rsidRPr="00731644">
        <w:rPr>
          <w:lang w:val="fr-CH"/>
        </w:rPr>
        <w:t xml:space="preserve">supplémentaires, de perfectionnement des </w:t>
      </w:r>
      <w:r w:rsidR="00A332AD" w:rsidRPr="00731644">
        <w:rPr>
          <w:lang w:val="fr-CH"/>
        </w:rPr>
        <w:t>connaissances</w:t>
      </w:r>
      <w:r w:rsidR="001160F6" w:rsidRPr="00731644">
        <w:rPr>
          <w:lang w:val="fr-CH"/>
        </w:rPr>
        <w:t xml:space="preserve"> </w:t>
      </w:r>
      <w:r w:rsidR="00E14B17" w:rsidRPr="00731644">
        <w:rPr>
          <w:lang w:val="fr-CH"/>
        </w:rPr>
        <w:t>au même niveau d</w:t>
      </w:r>
      <w:r w:rsidR="00425386" w:rsidRPr="00731644">
        <w:rPr>
          <w:lang w:val="fr-CH"/>
        </w:rPr>
        <w:t>’</w:t>
      </w:r>
      <w:r w:rsidR="00E14B17" w:rsidRPr="00731644">
        <w:rPr>
          <w:lang w:val="fr-CH"/>
        </w:rPr>
        <w:t xml:space="preserve">instruction et </w:t>
      </w:r>
      <w:r w:rsidR="001160F6" w:rsidRPr="00731644">
        <w:rPr>
          <w:lang w:val="fr-CH"/>
        </w:rPr>
        <w:t>pour</w:t>
      </w:r>
      <w:r w:rsidR="00E14B17" w:rsidRPr="00731644">
        <w:rPr>
          <w:lang w:val="fr-CH"/>
        </w:rPr>
        <w:t xml:space="preserve"> l</w:t>
      </w:r>
      <w:r w:rsidR="00425386" w:rsidRPr="00731644">
        <w:rPr>
          <w:lang w:val="fr-CH"/>
        </w:rPr>
        <w:t>’</w:t>
      </w:r>
      <w:r w:rsidR="00E14B17" w:rsidRPr="00731644">
        <w:rPr>
          <w:lang w:val="fr-CH"/>
        </w:rPr>
        <w:t>exercice des mêmes fonctions</w:t>
      </w:r>
      <w:r w:rsidR="001160F6" w:rsidRPr="00731644">
        <w:rPr>
          <w:lang w:val="fr-CH"/>
        </w:rPr>
        <w:t>, ou d</w:t>
      </w:r>
      <w:r w:rsidR="00425386" w:rsidRPr="00731644">
        <w:rPr>
          <w:lang w:val="fr-CH"/>
        </w:rPr>
        <w:t>’</w:t>
      </w:r>
      <w:r w:rsidR="001160F6" w:rsidRPr="00731644">
        <w:rPr>
          <w:lang w:val="fr-CH"/>
        </w:rPr>
        <w:t>acquisition de savoir fair</w:t>
      </w:r>
      <w:r w:rsidR="00E14B17" w:rsidRPr="00731644">
        <w:rPr>
          <w:lang w:val="fr-CH"/>
        </w:rPr>
        <w:t>e</w:t>
      </w:r>
      <w:r w:rsidR="001160F6" w:rsidRPr="00731644">
        <w:rPr>
          <w:lang w:val="fr-CH"/>
        </w:rPr>
        <w:t xml:space="preserve"> clés.</w:t>
      </w:r>
      <w:r w:rsidR="00BF3240" w:rsidRPr="00731644">
        <w:rPr>
          <w:lang w:val="fr-CH"/>
        </w:rPr>
        <w:t xml:space="preserve"> Conçus conformément à la </w:t>
      </w:r>
      <w:r w:rsidR="00BF3240" w:rsidRPr="00CD7AFB">
        <w:rPr>
          <w:iCs/>
          <w:lang w:val="fr-CH"/>
        </w:rPr>
        <w:t>loi relative à l</w:t>
      </w:r>
      <w:r w:rsidR="00425386" w:rsidRPr="00CD7AFB">
        <w:rPr>
          <w:iCs/>
          <w:lang w:val="fr-CH"/>
        </w:rPr>
        <w:t>’</w:t>
      </w:r>
      <w:r w:rsidR="00BF3240" w:rsidRPr="00CD7AFB">
        <w:rPr>
          <w:iCs/>
          <w:lang w:val="fr-CH"/>
        </w:rPr>
        <w:t xml:space="preserve">emploi et </w:t>
      </w:r>
      <w:r w:rsidR="00E42688" w:rsidRPr="00CD7AFB">
        <w:rPr>
          <w:iCs/>
          <w:lang w:val="fr-CH"/>
        </w:rPr>
        <w:t>aux</w:t>
      </w:r>
      <w:r w:rsidR="00BF3240" w:rsidRPr="00CD7AFB">
        <w:rPr>
          <w:iCs/>
          <w:lang w:val="fr-CH"/>
        </w:rPr>
        <w:t xml:space="preserve"> droits </w:t>
      </w:r>
      <w:r w:rsidR="000439A0" w:rsidRPr="00CD7AFB">
        <w:rPr>
          <w:iCs/>
          <w:lang w:val="fr-CH"/>
        </w:rPr>
        <w:t xml:space="preserve">aux </w:t>
      </w:r>
      <w:r w:rsidR="00D853F8" w:rsidRPr="00CD7AFB">
        <w:rPr>
          <w:iCs/>
          <w:lang w:val="fr-CH"/>
        </w:rPr>
        <w:t>prest</w:t>
      </w:r>
      <w:r w:rsidR="000439A0" w:rsidRPr="00CD7AFB">
        <w:rPr>
          <w:iCs/>
          <w:lang w:val="fr-CH"/>
        </w:rPr>
        <w:t>ations de</w:t>
      </w:r>
      <w:r w:rsidR="00BF3240" w:rsidRPr="00CD7AFB">
        <w:rPr>
          <w:iCs/>
          <w:lang w:val="fr-CH"/>
        </w:rPr>
        <w:t xml:space="preserve"> l</w:t>
      </w:r>
      <w:r w:rsidR="00425386" w:rsidRPr="00CD7AFB">
        <w:rPr>
          <w:iCs/>
          <w:lang w:val="fr-CH"/>
        </w:rPr>
        <w:t>’</w:t>
      </w:r>
      <w:r w:rsidR="00BF3240" w:rsidRPr="00CD7AFB">
        <w:rPr>
          <w:iCs/>
          <w:lang w:val="fr-CH"/>
        </w:rPr>
        <w:t>assurance chômage</w:t>
      </w:r>
      <w:r w:rsidR="00BF3240" w:rsidRPr="00731644">
        <w:rPr>
          <w:lang w:val="fr-CH"/>
        </w:rPr>
        <w:t xml:space="preserve">, ces programmes </w:t>
      </w:r>
      <w:r w:rsidR="004D2A9E" w:rsidRPr="00731644">
        <w:rPr>
          <w:lang w:val="fr-CH"/>
        </w:rPr>
        <w:t>sont</w:t>
      </w:r>
      <w:r w:rsidR="00BF3240" w:rsidRPr="00731644">
        <w:rPr>
          <w:lang w:val="fr-CH"/>
        </w:rPr>
        <w:t xml:space="preserve"> appliqués pour répondre aux besoins de l</w:t>
      </w:r>
      <w:r w:rsidR="00425386" w:rsidRPr="00731644">
        <w:rPr>
          <w:lang w:val="fr-CH"/>
        </w:rPr>
        <w:t>’</w:t>
      </w:r>
      <w:r w:rsidR="00BF3240" w:rsidRPr="00731644">
        <w:rPr>
          <w:lang w:val="fr-CH"/>
        </w:rPr>
        <w:t>employeur ou à ceux du marché du travail.</w:t>
      </w:r>
    </w:p>
    <w:p w:rsidR="004C7BF6" w:rsidRPr="00731644" w:rsidRDefault="00655F5D" w:rsidP="004C7BF6">
      <w:pPr>
        <w:pStyle w:val="SingleTxtG"/>
        <w:rPr>
          <w:lang w:val="fr-CH"/>
        </w:rPr>
      </w:pPr>
      <w:r w:rsidRPr="00731644">
        <w:rPr>
          <w:lang w:val="fr-CH"/>
        </w:rPr>
        <w:t>248.</w:t>
      </w:r>
      <w:r w:rsidRPr="00731644">
        <w:rPr>
          <w:lang w:val="fr-CH"/>
        </w:rPr>
        <w:tab/>
      </w:r>
      <w:r w:rsidR="00BF3240" w:rsidRPr="00731644">
        <w:rPr>
          <w:lang w:val="fr-CH"/>
        </w:rPr>
        <w:t>Pour faire correspondre l</w:t>
      </w:r>
      <w:r w:rsidR="00425386" w:rsidRPr="00731644">
        <w:rPr>
          <w:lang w:val="fr-CH"/>
        </w:rPr>
        <w:t>’</w:t>
      </w:r>
      <w:r w:rsidR="00BF3240" w:rsidRPr="00731644">
        <w:rPr>
          <w:lang w:val="fr-CH"/>
        </w:rPr>
        <w:t>offre et la demande su</w:t>
      </w:r>
      <w:r w:rsidR="00E14B17" w:rsidRPr="00731644">
        <w:rPr>
          <w:lang w:val="fr-CH"/>
        </w:rPr>
        <w:t>r</w:t>
      </w:r>
      <w:r w:rsidR="00BF3240" w:rsidRPr="00731644">
        <w:rPr>
          <w:lang w:val="fr-CH"/>
        </w:rPr>
        <w:t xml:space="preserve"> le marché du travail, l</w:t>
      </w:r>
      <w:r w:rsidR="00425386" w:rsidRPr="00731644">
        <w:rPr>
          <w:lang w:val="fr-CH"/>
        </w:rPr>
        <w:t>’</w:t>
      </w:r>
      <w:r w:rsidR="00BF3240" w:rsidRPr="00731644">
        <w:rPr>
          <w:lang w:val="fr-CH"/>
        </w:rPr>
        <w:t>Agence pour l</w:t>
      </w:r>
      <w:r w:rsidR="00425386" w:rsidRPr="00731644">
        <w:rPr>
          <w:lang w:val="fr-CH"/>
        </w:rPr>
        <w:t>’</w:t>
      </w:r>
      <w:r w:rsidR="00BF3240" w:rsidRPr="00731644">
        <w:rPr>
          <w:lang w:val="fr-CH"/>
        </w:rPr>
        <w:t xml:space="preserve">emploi, se fondant sur les besoins exprimés par les employeurs </w:t>
      </w:r>
      <w:r w:rsidR="001F6FD4" w:rsidRPr="00731644">
        <w:rPr>
          <w:lang w:val="fr-CH"/>
        </w:rPr>
        <w:t xml:space="preserve">et </w:t>
      </w:r>
      <w:r w:rsidR="004D2A9E" w:rsidRPr="00731644">
        <w:rPr>
          <w:lang w:val="fr-CH"/>
        </w:rPr>
        <w:t xml:space="preserve">sur </w:t>
      </w:r>
      <w:r w:rsidR="001F6FD4" w:rsidRPr="00731644">
        <w:rPr>
          <w:lang w:val="fr-CH"/>
        </w:rPr>
        <w:t>ceux que révèlent ses études de suivi, organise différentes formes d</w:t>
      </w:r>
      <w:r w:rsidR="00425386" w:rsidRPr="00731644">
        <w:rPr>
          <w:lang w:val="fr-CH"/>
        </w:rPr>
        <w:t>’</w:t>
      </w:r>
      <w:r w:rsidR="001F6FD4" w:rsidRPr="00731644">
        <w:rPr>
          <w:lang w:val="fr-CH"/>
        </w:rPr>
        <w:t>éducation et de qualification des adultes.</w:t>
      </w:r>
      <w:r w:rsidR="00F31DD5" w:rsidRPr="00731644">
        <w:rPr>
          <w:lang w:val="fr-CH"/>
        </w:rPr>
        <w:t xml:space="preserve"> </w:t>
      </w:r>
      <w:r w:rsidR="001F6FD4" w:rsidRPr="00731644">
        <w:rPr>
          <w:lang w:val="fr-CH"/>
        </w:rPr>
        <w:t>Les objectifs sont</w:t>
      </w:r>
      <w:r w:rsidR="00F31DD5" w:rsidRPr="00731644">
        <w:rPr>
          <w:lang w:val="fr-CH"/>
        </w:rPr>
        <w:t>:</w:t>
      </w:r>
      <w:r w:rsidR="001F6FD4" w:rsidRPr="00731644">
        <w:rPr>
          <w:lang w:val="fr-CH"/>
        </w:rPr>
        <w:t xml:space="preserve"> de réduire le chômage et d</w:t>
      </w:r>
      <w:r w:rsidR="00425386" w:rsidRPr="00731644">
        <w:rPr>
          <w:lang w:val="fr-CH"/>
        </w:rPr>
        <w:t>’</w:t>
      </w:r>
      <w:r w:rsidR="001F6FD4" w:rsidRPr="00731644">
        <w:rPr>
          <w:lang w:val="fr-CH"/>
        </w:rPr>
        <w:t>accroître l</w:t>
      </w:r>
      <w:r w:rsidR="00425386" w:rsidRPr="00731644">
        <w:rPr>
          <w:lang w:val="fr-CH"/>
        </w:rPr>
        <w:t>’</w:t>
      </w:r>
      <w:r w:rsidR="001F6FD4" w:rsidRPr="00731644">
        <w:rPr>
          <w:lang w:val="fr-CH"/>
        </w:rPr>
        <w:t>employabilité des demandeurs d</w:t>
      </w:r>
      <w:r w:rsidR="00425386" w:rsidRPr="00731644">
        <w:rPr>
          <w:lang w:val="fr-CH"/>
        </w:rPr>
        <w:t>’</w:t>
      </w:r>
      <w:r w:rsidR="001F6FD4" w:rsidRPr="00731644">
        <w:rPr>
          <w:lang w:val="fr-CH"/>
        </w:rPr>
        <w:t>emploi en améliorant la qualité de l</w:t>
      </w:r>
      <w:r w:rsidR="00425386" w:rsidRPr="00731644">
        <w:rPr>
          <w:lang w:val="fr-CH"/>
        </w:rPr>
        <w:t>’</w:t>
      </w:r>
      <w:r w:rsidR="001F6FD4" w:rsidRPr="00731644">
        <w:rPr>
          <w:lang w:val="fr-CH"/>
        </w:rPr>
        <w:t xml:space="preserve">offre, de </w:t>
      </w:r>
      <w:r w:rsidR="004D2A9E" w:rsidRPr="00731644">
        <w:rPr>
          <w:lang w:val="fr-CH"/>
        </w:rPr>
        <w:t>répondre</w:t>
      </w:r>
      <w:r w:rsidR="001F6FD4" w:rsidRPr="00731644">
        <w:rPr>
          <w:lang w:val="fr-CH"/>
        </w:rPr>
        <w:t xml:space="preserve"> aux besoins</w:t>
      </w:r>
      <w:r w:rsidR="004D2A9E" w:rsidRPr="00731644">
        <w:rPr>
          <w:lang w:val="fr-CH"/>
        </w:rPr>
        <w:t xml:space="preserve"> de main d</w:t>
      </w:r>
      <w:r w:rsidR="00425386" w:rsidRPr="00731644">
        <w:rPr>
          <w:lang w:val="fr-CH"/>
        </w:rPr>
        <w:t>’</w:t>
      </w:r>
      <w:r w:rsidR="004D2A9E" w:rsidRPr="00731644">
        <w:rPr>
          <w:lang w:val="fr-CH"/>
        </w:rPr>
        <w:t xml:space="preserve">œuvre </w:t>
      </w:r>
      <w:r w:rsidR="001F6FD4" w:rsidRPr="00731644">
        <w:rPr>
          <w:lang w:val="fr-CH"/>
        </w:rPr>
        <w:t xml:space="preserve">et aux conditions </w:t>
      </w:r>
      <w:r w:rsidR="004D2A9E" w:rsidRPr="00731644">
        <w:rPr>
          <w:lang w:val="fr-CH"/>
        </w:rPr>
        <w:t>de travail</w:t>
      </w:r>
      <w:r w:rsidR="001F6FD4" w:rsidRPr="00731644">
        <w:rPr>
          <w:lang w:val="fr-CH"/>
        </w:rPr>
        <w:t xml:space="preserve"> </w:t>
      </w:r>
      <w:r w:rsidR="004D2A9E" w:rsidRPr="00731644">
        <w:rPr>
          <w:lang w:val="fr-CH"/>
        </w:rPr>
        <w:t>du</w:t>
      </w:r>
      <w:r w:rsidR="001F6FD4" w:rsidRPr="00731644">
        <w:rPr>
          <w:lang w:val="fr-CH"/>
        </w:rPr>
        <w:t xml:space="preserve"> moment, et de combler l</w:t>
      </w:r>
      <w:r w:rsidR="00425386" w:rsidRPr="00731644">
        <w:rPr>
          <w:lang w:val="fr-CH"/>
        </w:rPr>
        <w:t>’</w:t>
      </w:r>
      <w:r w:rsidR="001F6FD4" w:rsidRPr="00731644">
        <w:rPr>
          <w:lang w:val="fr-CH"/>
        </w:rPr>
        <w:t>écart entre l</w:t>
      </w:r>
      <w:r w:rsidR="00425386" w:rsidRPr="00731644">
        <w:rPr>
          <w:lang w:val="fr-CH"/>
        </w:rPr>
        <w:t>’</w:t>
      </w:r>
      <w:r w:rsidR="001F6FD4" w:rsidRPr="00731644">
        <w:rPr>
          <w:lang w:val="fr-CH"/>
        </w:rPr>
        <w:t>offre et la demande d</w:t>
      </w:r>
      <w:r w:rsidR="00425386" w:rsidRPr="00731644">
        <w:rPr>
          <w:lang w:val="fr-CH"/>
        </w:rPr>
        <w:t>’</w:t>
      </w:r>
      <w:r w:rsidR="001F6FD4" w:rsidRPr="00731644">
        <w:rPr>
          <w:lang w:val="fr-CH"/>
        </w:rPr>
        <w:t>emplois.</w:t>
      </w:r>
      <w:r w:rsidR="006443F6" w:rsidRPr="00731644">
        <w:rPr>
          <w:lang w:val="fr-CH"/>
        </w:rPr>
        <w:t xml:space="preserve"> </w:t>
      </w:r>
    </w:p>
    <w:p w:rsidR="004C7BF6" w:rsidRPr="00731644" w:rsidRDefault="00655F5D" w:rsidP="004C7BF6">
      <w:pPr>
        <w:pStyle w:val="SingleTxtG"/>
        <w:rPr>
          <w:bCs/>
          <w:lang w:val="fr-CH"/>
        </w:rPr>
      </w:pPr>
      <w:r w:rsidRPr="00731644">
        <w:rPr>
          <w:lang w:val="fr-CH"/>
        </w:rPr>
        <w:t>249.</w:t>
      </w:r>
      <w:r w:rsidRPr="00731644">
        <w:rPr>
          <w:lang w:val="fr-CH"/>
        </w:rPr>
        <w:tab/>
      </w:r>
      <w:r w:rsidR="00E14B17" w:rsidRPr="00731644">
        <w:rPr>
          <w:lang w:val="fr-CH"/>
        </w:rPr>
        <w:t>Après avoir suivi des cours d</w:t>
      </w:r>
      <w:r w:rsidR="00425386" w:rsidRPr="00731644">
        <w:rPr>
          <w:lang w:val="fr-CH"/>
        </w:rPr>
        <w:t>’</w:t>
      </w:r>
      <w:r w:rsidR="00E14B17" w:rsidRPr="00731644">
        <w:rPr>
          <w:lang w:val="fr-CH"/>
        </w:rPr>
        <w:t>alphabétisation fonctionnelle, l</w:t>
      </w:r>
      <w:r w:rsidR="001F6FD4" w:rsidRPr="00731644">
        <w:rPr>
          <w:lang w:val="fr-CH"/>
        </w:rPr>
        <w:t xml:space="preserve">es Roms, les </w:t>
      </w:r>
      <w:r w:rsidR="002A5033" w:rsidRPr="00731644">
        <w:rPr>
          <w:lang w:val="fr-CH"/>
        </w:rPr>
        <w:t>Ashkali</w:t>
      </w:r>
      <w:r w:rsidR="001F6FD4" w:rsidRPr="00731644">
        <w:rPr>
          <w:lang w:val="fr-CH"/>
        </w:rPr>
        <w:t xml:space="preserve"> et les </w:t>
      </w:r>
      <w:r w:rsidR="00E14B17" w:rsidRPr="00731644">
        <w:rPr>
          <w:lang w:val="fr-CH"/>
        </w:rPr>
        <w:t>tzigane</w:t>
      </w:r>
      <w:r w:rsidR="001F6FD4" w:rsidRPr="00731644">
        <w:rPr>
          <w:lang w:val="fr-CH"/>
        </w:rPr>
        <w:t>s</w:t>
      </w:r>
      <w:r w:rsidR="00F31DD5" w:rsidRPr="00731644">
        <w:rPr>
          <w:lang w:val="fr-CH"/>
        </w:rPr>
        <w:t xml:space="preserve"> </w:t>
      </w:r>
      <w:r w:rsidR="001F6FD4" w:rsidRPr="00731644">
        <w:rPr>
          <w:lang w:val="fr-CH"/>
        </w:rPr>
        <w:t xml:space="preserve">participent essentiellement aux </w:t>
      </w:r>
      <w:r w:rsidR="002C6E4A" w:rsidRPr="00731644">
        <w:rPr>
          <w:lang w:val="fr-CH"/>
        </w:rPr>
        <w:t>activité</w:t>
      </w:r>
      <w:r w:rsidR="001F6FD4" w:rsidRPr="00731644">
        <w:rPr>
          <w:lang w:val="fr-CH"/>
        </w:rPr>
        <w:t xml:space="preserve">s de formation </w:t>
      </w:r>
      <w:r w:rsidR="002C6E4A" w:rsidRPr="00731644">
        <w:rPr>
          <w:lang w:val="fr-CH"/>
        </w:rPr>
        <w:t>à des</w:t>
      </w:r>
      <w:r w:rsidR="001F6FD4" w:rsidRPr="00731644">
        <w:rPr>
          <w:lang w:val="fr-CH"/>
        </w:rPr>
        <w:t xml:space="preserve"> postes peu qualifiés </w:t>
      </w:r>
      <w:r w:rsidR="002C6E4A" w:rsidRPr="00731644">
        <w:rPr>
          <w:lang w:val="fr-CH"/>
        </w:rPr>
        <w:t>en vue de l</w:t>
      </w:r>
      <w:r w:rsidR="00425386" w:rsidRPr="00731644">
        <w:rPr>
          <w:lang w:val="fr-CH"/>
        </w:rPr>
        <w:t>’</w:t>
      </w:r>
      <w:r w:rsidR="002C6E4A" w:rsidRPr="00731644">
        <w:rPr>
          <w:lang w:val="fr-CH"/>
        </w:rPr>
        <w:t>obtention d</w:t>
      </w:r>
      <w:r w:rsidR="00425386" w:rsidRPr="00731644">
        <w:rPr>
          <w:lang w:val="fr-CH"/>
        </w:rPr>
        <w:t>’</w:t>
      </w:r>
      <w:r w:rsidR="002C6E4A" w:rsidRPr="00731644">
        <w:rPr>
          <w:lang w:val="fr-CH"/>
        </w:rPr>
        <w:t xml:space="preserve">un </w:t>
      </w:r>
      <w:r w:rsidR="00A332AD" w:rsidRPr="00731644">
        <w:rPr>
          <w:lang w:val="fr-CH"/>
        </w:rPr>
        <w:t>premier</w:t>
      </w:r>
      <w:r w:rsidR="002C6E4A" w:rsidRPr="00731644">
        <w:rPr>
          <w:lang w:val="fr-CH"/>
        </w:rPr>
        <w:t xml:space="preserve"> emploi </w:t>
      </w:r>
      <w:r w:rsidR="004C7BF6" w:rsidRPr="00731644">
        <w:rPr>
          <w:lang w:val="fr-CH"/>
        </w:rPr>
        <w:t>(</w:t>
      </w:r>
      <w:r w:rsidR="001F6FD4" w:rsidRPr="00731644">
        <w:rPr>
          <w:lang w:val="fr-CH"/>
        </w:rPr>
        <w:t>il s</w:t>
      </w:r>
      <w:r w:rsidR="00425386" w:rsidRPr="00731644">
        <w:rPr>
          <w:lang w:val="fr-CH"/>
        </w:rPr>
        <w:t>’</w:t>
      </w:r>
      <w:r w:rsidR="001F6FD4" w:rsidRPr="00731644">
        <w:rPr>
          <w:lang w:val="fr-CH"/>
        </w:rPr>
        <w:t>agit d</w:t>
      </w:r>
      <w:r w:rsidR="00425386" w:rsidRPr="00731644">
        <w:rPr>
          <w:lang w:val="fr-CH"/>
        </w:rPr>
        <w:t>’</w:t>
      </w:r>
      <w:r w:rsidR="001F6FD4" w:rsidRPr="00731644">
        <w:rPr>
          <w:lang w:val="fr-CH"/>
        </w:rPr>
        <w:t>emplois d</w:t>
      </w:r>
      <w:r w:rsidR="00425386" w:rsidRPr="00731644">
        <w:rPr>
          <w:lang w:val="fr-CH"/>
        </w:rPr>
        <w:t>’</w:t>
      </w:r>
      <w:r w:rsidR="001F6FD4" w:rsidRPr="00731644">
        <w:rPr>
          <w:lang w:val="fr-CH"/>
        </w:rPr>
        <w:t>auxiliaires tels que ceux d</w:t>
      </w:r>
      <w:r w:rsidR="00425386" w:rsidRPr="00731644">
        <w:rPr>
          <w:lang w:val="fr-CH"/>
        </w:rPr>
        <w:t>’</w:t>
      </w:r>
      <w:r w:rsidR="001F6FD4" w:rsidRPr="00731644">
        <w:rPr>
          <w:lang w:val="fr-CH"/>
        </w:rPr>
        <w:t>aide mécanicien, d</w:t>
      </w:r>
      <w:r w:rsidR="00425386" w:rsidRPr="00731644">
        <w:rPr>
          <w:lang w:val="fr-CH"/>
        </w:rPr>
        <w:t>’</w:t>
      </w:r>
      <w:r w:rsidR="005F11A4" w:rsidRPr="00731644">
        <w:rPr>
          <w:lang w:val="fr-CH"/>
        </w:rPr>
        <w:t>assistant</w:t>
      </w:r>
      <w:r w:rsidR="001F6FD4" w:rsidRPr="00731644">
        <w:rPr>
          <w:lang w:val="fr-CH"/>
        </w:rPr>
        <w:t xml:space="preserve"> coiffeu</w:t>
      </w:r>
      <w:r w:rsidR="005F11A4" w:rsidRPr="00731644">
        <w:rPr>
          <w:lang w:val="fr-CH"/>
        </w:rPr>
        <w:t>r</w:t>
      </w:r>
      <w:r w:rsidR="001F6FD4" w:rsidRPr="00731644">
        <w:rPr>
          <w:lang w:val="fr-CH"/>
        </w:rPr>
        <w:t>, d</w:t>
      </w:r>
      <w:r w:rsidR="00425386" w:rsidRPr="00731644">
        <w:rPr>
          <w:lang w:val="fr-CH"/>
        </w:rPr>
        <w:t>’</w:t>
      </w:r>
      <w:r w:rsidR="001F6FD4" w:rsidRPr="00731644">
        <w:rPr>
          <w:lang w:val="fr-CH"/>
        </w:rPr>
        <w:t>aide couturière, d</w:t>
      </w:r>
      <w:r w:rsidR="00425386" w:rsidRPr="00731644">
        <w:rPr>
          <w:lang w:val="fr-CH"/>
        </w:rPr>
        <w:t>’</w:t>
      </w:r>
      <w:r w:rsidR="001F6FD4" w:rsidRPr="00731644">
        <w:rPr>
          <w:lang w:val="fr-CH"/>
        </w:rPr>
        <w:t xml:space="preserve">aide </w:t>
      </w:r>
      <w:r w:rsidR="00A332AD" w:rsidRPr="00731644">
        <w:rPr>
          <w:lang w:val="fr-CH"/>
        </w:rPr>
        <w:t>cuisinier</w:t>
      </w:r>
      <w:r w:rsidR="002C6E4A" w:rsidRPr="00731644">
        <w:rPr>
          <w:lang w:val="fr-CH"/>
        </w:rPr>
        <w:t>,</w:t>
      </w:r>
      <w:r w:rsidR="001F6FD4" w:rsidRPr="00731644">
        <w:rPr>
          <w:lang w:val="fr-CH"/>
        </w:rPr>
        <w:t xml:space="preserve"> d</w:t>
      </w:r>
      <w:r w:rsidR="00425386" w:rsidRPr="00731644">
        <w:rPr>
          <w:lang w:val="fr-CH"/>
        </w:rPr>
        <w:t>’</w:t>
      </w:r>
      <w:r w:rsidR="001F6FD4" w:rsidRPr="00731644">
        <w:rPr>
          <w:lang w:val="fr-CH"/>
        </w:rPr>
        <w:t>aide serveur, d</w:t>
      </w:r>
      <w:r w:rsidR="00425386" w:rsidRPr="00731644">
        <w:rPr>
          <w:lang w:val="fr-CH"/>
        </w:rPr>
        <w:t>’</w:t>
      </w:r>
      <w:r w:rsidR="001F6FD4" w:rsidRPr="00731644">
        <w:rPr>
          <w:lang w:val="fr-CH"/>
        </w:rPr>
        <w:t xml:space="preserve">aide </w:t>
      </w:r>
      <w:r w:rsidR="00900575" w:rsidRPr="00731644">
        <w:rPr>
          <w:lang w:val="fr-CH"/>
        </w:rPr>
        <w:t>carreleur</w:t>
      </w:r>
      <w:r w:rsidR="004C7BF6" w:rsidRPr="00731644">
        <w:rPr>
          <w:lang w:val="fr-CH"/>
        </w:rPr>
        <w:t xml:space="preserve">, </w:t>
      </w:r>
      <w:r w:rsidR="00900575" w:rsidRPr="00731644">
        <w:rPr>
          <w:lang w:val="fr-CH"/>
        </w:rPr>
        <w:t>de réparateur de pneus, de mécanicien, etc.</w:t>
      </w:r>
      <w:r w:rsidR="004C7BF6" w:rsidRPr="00731644">
        <w:rPr>
          <w:lang w:val="fr-CH"/>
        </w:rPr>
        <w:t xml:space="preserve">). </w:t>
      </w:r>
      <w:r w:rsidR="00900575" w:rsidRPr="00731644">
        <w:rPr>
          <w:lang w:val="fr-CH"/>
        </w:rPr>
        <w:t>Après avoir passé l</w:t>
      </w:r>
      <w:r w:rsidR="00425386" w:rsidRPr="00731644">
        <w:rPr>
          <w:lang w:val="fr-CH"/>
        </w:rPr>
        <w:t>’</w:t>
      </w:r>
      <w:r w:rsidR="00900575" w:rsidRPr="00731644">
        <w:rPr>
          <w:lang w:val="fr-CH"/>
        </w:rPr>
        <w:t xml:space="preserve">examen, ils acquièrent une </w:t>
      </w:r>
      <w:r w:rsidR="002C6E4A" w:rsidRPr="00731644">
        <w:rPr>
          <w:lang w:val="fr-CH"/>
        </w:rPr>
        <w:t>qualification</w:t>
      </w:r>
      <w:r w:rsidR="00900575" w:rsidRPr="00731644">
        <w:rPr>
          <w:lang w:val="fr-CH"/>
        </w:rPr>
        <w:t xml:space="preserve"> professionnelle pour leur premier emploi, ce qui accroît leur employabilité et leur permet de mieux se placer sur le marché de l</w:t>
      </w:r>
      <w:r w:rsidR="00425386" w:rsidRPr="00731644">
        <w:rPr>
          <w:lang w:val="fr-CH"/>
        </w:rPr>
        <w:t>’</w:t>
      </w:r>
      <w:r w:rsidR="00900575" w:rsidRPr="00731644">
        <w:rPr>
          <w:lang w:val="fr-CH"/>
        </w:rPr>
        <w:t xml:space="preserve">emploi. </w:t>
      </w:r>
    </w:p>
    <w:p w:rsidR="004C7BF6" w:rsidRPr="00731644" w:rsidRDefault="00655F5D" w:rsidP="004C7BF6">
      <w:pPr>
        <w:pStyle w:val="SingleTxtG"/>
        <w:rPr>
          <w:lang w:val="fr-CH"/>
        </w:rPr>
      </w:pPr>
      <w:r w:rsidRPr="00731644">
        <w:rPr>
          <w:lang w:val="fr-CH"/>
        </w:rPr>
        <w:t>250.</w:t>
      </w:r>
      <w:r w:rsidRPr="00731644">
        <w:rPr>
          <w:lang w:val="fr-CH"/>
        </w:rPr>
        <w:tab/>
      </w:r>
      <w:r w:rsidR="002C6E4A" w:rsidRPr="00731644">
        <w:rPr>
          <w:lang w:val="fr-CH"/>
        </w:rPr>
        <w:t>L</w:t>
      </w:r>
      <w:r w:rsidR="00900575" w:rsidRPr="00731644">
        <w:rPr>
          <w:lang w:val="fr-CH"/>
        </w:rPr>
        <w:t xml:space="preserve">a principale difficulté à laquelle se heurte la participation des Roms, des </w:t>
      </w:r>
      <w:r w:rsidR="002A5033" w:rsidRPr="00731644">
        <w:rPr>
          <w:lang w:val="fr-CH"/>
        </w:rPr>
        <w:t>Ashkali</w:t>
      </w:r>
      <w:r w:rsidR="00900575" w:rsidRPr="00731644">
        <w:rPr>
          <w:lang w:val="fr-CH"/>
        </w:rPr>
        <w:t xml:space="preserve"> et des </w:t>
      </w:r>
      <w:r w:rsidR="002C6E4A" w:rsidRPr="00731644">
        <w:rPr>
          <w:lang w:val="fr-CH"/>
        </w:rPr>
        <w:t>tziganes</w:t>
      </w:r>
      <w:r w:rsidR="00900575" w:rsidRPr="00731644">
        <w:rPr>
          <w:lang w:val="fr-CH"/>
        </w:rPr>
        <w:t xml:space="preserve"> aux programmes d</w:t>
      </w:r>
      <w:r w:rsidR="00425386" w:rsidRPr="00731644">
        <w:rPr>
          <w:lang w:val="fr-CH"/>
        </w:rPr>
        <w:t>’</w:t>
      </w:r>
      <w:r w:rsidR="00900575" w:rsidRPr="00731644">
        <w:rPr>
          <w:lang w:val="fr-CH"/>
        </w:rPr>
        <w:t xml:space="preserve">éducation et de qualification </w:t>
      </w:r>
      <w:r w:rsidR="002C6E4A" w:rsidRPr="00731644">
        <w:rPr>
          <w:lang w:val="fr-CH"/>
        </w:rPr>
        <w:t>tient à</w:t>
      </w:r>
      <w:r w:rsidR="00900575" w:rsidRPr="00731644">
        <w:rPr>
          <w:lang w:val="fr-CH"/>
        </w:rPr>
        <w:t xml:space="preserve"> leur </w:t>
      </w:r>
      <w:r w:rsidR="00B0774F" w:rsidRPr="00731644">
        <w:rPr>
          <w:lang w:val="fr-CH"/>
        </w:rPr>
        <w:t xml:space="preserve">faible </w:t>
      </w:r>
      <w:r w:rsidR="00900575" w:rsidRPr="00731644">
        <w:rPr>
          <w:lang w:val="fr-CH"/>
        </w:rPr>
        <w:t>niveau d</w:t>
      </w:r>
      <w:r w:rsidR="00425386" w:rsidRPr="00731644">
        <w:rPr>
          <w:lang w:val="fr-CH"/>
        </w:rPr>
        <w:t>’</w:t>
      </w:r>
      <w:r w:rsidR="00900575" w:rsidRPr="00731644">
        <w:rPr>
          <w:lang w:val="fr-CH"/>
        </w:rPr>
        <w:t>alphabétisme</w:t>
      </w:r>
      <w:r w:rsidR="00F31DD5" w:rsidRPr="00731644">
        <w:rPr>
          <w:lang w:val="fr-CH"/>
        </w:rPr>
        <w:t>:</w:t>
      </w:r>
      <w:r w:rsidR="00900575" w:rsidRPr="00731644">
        <w:rPr>
          <w:lang w:val="fr-CH"/>
        </w:rPr>
        <w:t xml:space="preserve"> bon nombre des participants ne sont pas en mesure de suivre la formation dispensée.</w:t>
      </w:r>
      <w:r w:rsidR="004C7BF6" w:rsidRPr="00731644">
        <w:rPr>
          <w:lang w:val="fr-CH"/>
        </w:rPr>
        <w:t xml:space="preserve"> </w:t>
      </w:r>
      <w:r w:rsidR="00454987" w:rsidRPr="00731644">
        <w:rPr>
          <w:lang w:val="fr-CH"/>
        </w:rPr>
        <w:t>L</w:t>
      </w:r>
      <w:r w:rsidR="00425386" w:rsidRPr="00731644">
        <w:rPr>
          <w:lang w:val="fr-CH"/>
        </w:rPr>
        <w:t>’</w:t>
      </w:r>
      <w:r w:rsidR="00900575" w:rsidRPr="00731644">
        <w:rPr>
          <w:lang w:val="fr-CH"/>
        </w:rPr>
        <w:t xml:space="preserve">obstacle </w:t>
      </w:r>
      <w:r w:rsidR="00454987" w:rsidRPr="00731644">
        <w:rPr>
          <w:lang w:val="fr-CH"/>
        </w:rPr>
        <w:t>tient parfois même à la méconnaissance de</w:t>
      </w:r>
      <w:r w:rsidR="00900575" w:rsidRPr="00731644">
        <w:rPr>
          <w:lang w:val="fr-CH"/>
        </w:rPr>
        <w:t xml:space="preserve"> la langue</w:t>
      </w:r>
      <w:r w:rsidR="00F31DD5" w:rsidRPr="00731644">
        <w:rPr>
          <w:lang w:val="fr-CH"/>
        </w:rPr>
        <w:t>;</w:t>
      </w:r>
      <w:r w:rsidR="00454987" w:rsidRPr="00731644">
        <w:rPr>
          <w:lang w:val="fr-CH"/>
        </w:rPr>
        <w:t xml:space="preserve"> il peut </w:t>
      </w:r>
      <w:r w:rsidR="002C6E4A" w:rsidRPr="00731644">
        <w:rPr>
          <w:lang w:val="fr-CH"/>
        </w:rPr>
        <w:t xml:space="preserve">alors </w:t>
      </w:r>
      <w:r w:rsidR="00454987" w:rsidRPr="00731644">
        <w:rPr>
          <w:lang w:val="fr-CH"/>
        </w:rPr>
        <w:t xml:space="preserve">être surmonté en partie par le </w:t>
      </w:r>
      <w:r w:rsidR="00A332AD" w:rsidRPr="00731644">
        <w:rPr>
          <w:lang w:val="fr-CH"/>
        </w:rPr>
        <w:t>recrutement</w:t>
      </w:r>
      <w:r w:rsidR="00454987" w:rsidRPr="00731644">
        <w:rPr>
          <w:lang w:val="fr-CH"/>
        </w:rPr>
        <w:t xml:space="preserve"> d</w:t>
      </w:r>
      <w:r w:rsidR="00425386" w:rsidRPr="00731644">
        <w:rPr>
          <w:lang w:val="fr-CH"/>
        </w:rPr>
        <w:t>’</w:t>
      </w:r>
      <w:r w:rsidR="00454987" w:rsidRPr="00731644">
        <w:rPr>
          <w:lang w:val="fr-CH"/>
        </w:rPr>
        <w:t>assistants</w:t>
      </w:r>
      <w:r w:rsidR="004C7BF6" w:rsidRPr="00731644">
        <w:rPr>
          <w:lang w:val="fr-CH"/>
        </w:rPr>
        <w:t xml:space="preserve">, </w:t>
      </w:r>
      <w:r w:rsidR="00454987" w:rsidRPr="00731644">
        <w:rPr>
          <w:lang w:val="fr-CH"/>
        </w:rPr>
        <w:t>essentiellement avec le soutien d</w:t>
      </w:r>
      <w:r w:rsidR="00425386" w:rsidRPr="00731644">
        <w:rPr>
          <w:lang w:val="fr-CH"/>
        </w:rPr>
        <w:t>’</w:t>
      </w:r>
      <w:r w:rsidR="00454987" w:rsidRPr="00731644">
        <w:rPr>
          <w:lang w:val="fr-CH"/>
        </w:rPr>
        <w:t>organisation</w:t>
      </w:r>
      <w:r w:rsidR="002C6E4A" w:rsidRPr="00731644">
        <w:rPr>
          <w:lang w:val="fr-CH"/>
        </w:rPr>
        <w:t>s</w:t>
      </w:r>
      <w:r w:rsidR="00454987" w:rsidRPr="00731644">
        <w:rPr>
          <w:lang w:val="fr-CH"/>
        </w:rPr>
        <w:t xml:space="preserve"> non gouvernementale</w:t>
      </w:r>
      <w:r w:rsidR="002C6E4A" w:rsidRPr="00731644">
        <w:rPr>
          <w:lang w:val="fr-CH"/>
        </w:rPr>
        <w:t>s</w:t>
      </w:r>
      <w:r w:rsidR="00454987" w:rsidRPr="00731644">
        <w:rPr>
          <w:lang w:val="fr-CH"/>
        </w:rPr>
        <w:t xml:space="preserve"> roms. Un certain nombre de Roms, </w:t>
      </w:r>
      <w:r w:rsidR="002C6E4A" w:rsidRPr="00731644">
        <w:rPr>
          <w:lang w:val="fr-CH"/>
        </w:rPr>
        <w:t>d</w:t>
      </w:r>
      <w:r w:rsidR="00425386" w:rsidRPr="00731644">
        <w:rPr>
          <w:lang w:val="fr-CH"/>
        </w:rPr>
        <w:t>’</w:t>
      </w:r>
      <w:r w:rsidR="002A5033" w:rsidRPr="00731644">
        <w:rPr>
          <w:lang w:val="fr-CH"/>
        </w:rPr>
        <w:t>Ashkali</w:t>
      </w:r>
      <w:r w:rsidR="00454987" w:rsidRPr="00731644">
        <w:rPr>
          <w:lang w:val="fr-CH"/>
        </w:rPr>
        <w:t xml:space="preserve"> et </w:t>
      </w:r>
      <w:r w:rsidR="002C6E4A" w:rsidRPr="00731644">
        <w:rPr>
          <w:lang w:val="fr-CH"/>
        </w:rPr>
        <w:t xml:space="preserve">de tziganes </w:t>
      </w:r>
      <w:r w:rsidR="00454987" w:rsidRPr="00731644">
        <w:rPr>
          <w:lang w:val="fr-CH"/>
        </w:rPr>
        <w:t>travaillent dans l</w:t>
      </w:r>
      <w:r w:rsidR="00425386" w:rsidRPr="00731644">
        <w:rPr>
          <w:lang w:val="fr-CH"/>
        </w:rPr>
        <w:t>’</w:t>
      </w:r>
      <w:r w:rsidR="00454987" w:rsidRPr="00731644">
        <w:rPr>
          <w:lang w:val="fr-CH"/>
        </w:rPr>
        <w:t>économie souterraine, et n</w:t>
      </w:r>
      <w:r w:rsidR="00425386" w:rsidRPr="00731644">
        <w:rPr>
          <w:lang w:val="fr-CH"/>
        </w:rPr>
        <w:t>’</w:t>
      </w:r>
      <w:r w:rsidR="00454987" w:rsidRPr="00731644">
        <w:rPr>
          <w:lang w:val="fr-CH"/>
        </w:rPr>
        <w:t>ont pas le désir ou pas le temps de consacrer deux ou trois mois à l</w:t>
      </w:r>
      <w:r w:rsidR="00425386" w:rsidRPr="00731644">
        <w:rPr>
          <w:lang w:val="fr-CH"/>
        </w:rPr>
        <w:t>’</w:t>
      </w:r>
      <w:r w:rsidR="00A332AD" w:rsidRPr="00731644">
        <w:rPr>
          <w:lang w:val="fr-CH"/>
        </w:rPr>
        <w:t>acquisition</w:t>
      </w:r>
      <w:r w:rsidR="00454987" w:rsidRPr="00731644">
        <w:rPr>
          <w:lang w:val="fr-CH"/>
        </w:rPr>
        <w:t xml:space="preserve"> de qualifications</w:t>
      </w:r>
      <w:r w:rsidR="004C7BF6" w:rsidRPr="00731644">
        <w:rPr>
          <w:lang w:val="fr-CH"/>
        </w:rPr>
        <w:t xml:space="preserve">. </w:t>
      </w:r>
      <w:r w:rsidR="00454987" w:rsidRPr="00731644">
        <w:rPr>
          <w:lang w:val="fr-CH"/>
        </w:rPr>
        <w:t>De surcroît, les bénéficiaires d</w:t>
      </w:r>
      <w:r w:rsidR="00425386" w:rsidRPr="00731644">
        <w:rPr>
          <w:lang w:val="fr-CH"/>
        </w:rPr>
        <w:t>’</w:t>
      </w:r>
      <w:r w:rsidR="00454987" w:rsidRPr="00731644">
        <w:rPr>
          <w:lang w:val="fr-CH"/>
        </w:rPr>
        <w:t>une aide financière craignent de perdre les avantages auxquels ils ont droit.</w:t>
      </w:r>
      <w:r w:rsidR="00F31DD5" w:rsidRPr="00731644">
        <w:rPr>
          <w:lang w:val="fr-CH"/>
        </w:rPr>
        <w:t xml:space="preserve"> </w:t>
      </w:r>
      <w:r w:rsidR="00454987" w:rsidRPr="00731644">
        <w:rPr>
          <w:lang w:val="fr-CH"/>
        </w:rPr>
        <w:t>Autre difficulté</w:t>
      </w:r>
      <w:r w:rsidR="00F31DD5" w:rsidRPr="00731644">
        <w:rPr>
          <w:lang w:val="fr-CH"/>
        </w:rPr>
        <w:t>:</w:t>
      </w:r>
      <w:r w:rsidR="00454987" w:rsidRPr="00731644">
        <w:rPr>
          <w:lang w:val="fr-CH"/>
        </w:rPr>
        <w:t xml:space="preserve"> le manque de formateurs agré</w:t>
      </w:r>
      <w:r w:rsidR="00A332AD" w:rsidRPr="00731644">
        <w:rPr>
          <w:lang w:val="fr-CH"/>
        </w:rPr>
        <w:t>é</w:t>
      </w:r>
      <w:r w:rsidR="00454987" w:rsidRPr="00731644">
        <w:rPr>
          <w:lang w:val="fr-CH"/>
        </w:rPr>
        <w:t xml:space="preserve">s pour </w:t>
      </w:r>
      <w:r w:rsidR="00956ECE" w:rsidRPr="00731644">
        <w:rPr>
          <w:lang w:val="fr-CH"/>
        </w:rPr>
        <w:t xml:space="preserve">assurer </w:t>
      </w:r>
      <w:r w:rsidR="00454987" w:rsidRPr="00731644">
        <w:rPr>
          <w:lang w:val="fr-CH"/>
        </w:rPr>
        <w:t>certains programmes.</w:t>
      </w:r>
      <w:r w:rsidR="00F31DD5" w:rsidRPr="00731644">
        <w:rPr>
          <w:lang w:val="fr-CH"/>
        </w:rPr>
        <w:t xml:space="preserve"> </w:t>
      </w:r>
    </w:p>
    <w:p w:rsidR="004C7BF6" w:rsidRPr="00731644" w:rsidRDefault="00655F5D" w:rsidP="0054597A">
      <w:pPr>
        <w:pStyle w:val="SingleTxtG"/>
        <w:rPr>
          <w:lang w:val="fr-CH"/>
        </w:rPr>
      </w:pPr>
      <w:r w:rsidRPr="00731644">
        <w:rPr>
          <w:lang w:val="fr-CH"/>
        </w:rPr>
        <w:t>251.</w:t>
      </w:r>
      <w:r w:rsidRPr="00731644">
        <w:rPr>
          <w:lang w:val="fr-CH"/>
        </w:rPr>
        <w:tab/>
      </w:r>
      <w:r w:rsidR="001315AA" w:rsidRPr="00731644">
        <w:rPr>
          <w:lang w:val="fr-CH"/>
        </w:rPr>
        <w:t>Plusieurs projets ont permis de financer la mise au point de p</w:t>
      </w:r>
      <w:r w:rsidR="00956ECE" w:rsidRPr="00731644">
        <w:rPr>
          <w:lang w:val="fr-CH"/>
        </w:rPr>
        <w:t>ro</w:t>
      </w:r>
      <w:r w:rsidR="001315AA" w:rsidRPr="00731644">
        <w:rPr>
          <w:lang w:val="fr-CH"/>
        </w:rPr>
        <w:t xml:space="preserve">grammes de formation et de normes professionnelles qui pourraient convenir à un plus grand nombre de Roms, </w:t>
      </w:r>
      <w:r w:rsidR="00956ECE" w:rsidRPr="00731644">
        <w:rPr>
          <w:lang w:val="fr-CH"/>
        </w:rPr>
        <w:t>d</w:t>
      </w:r>
      <w:r w:rsidR="00425386" w:rsidRPr="00731644">
        <w:rPr>
          <w:lang w:val="fr-CH"/>
        </w:rPr>
        <w:t>’</w:t>
      </w:r>
      <w:r w:rsidR="002A5033" w:rsidRPr="00731644">
        <w:rPr>
          <w:lang w:val="fr-CH"/>
        </w:rPr>
        <w:t>Ashkali</w:t>
      </w:r>
      <w:r w:rsidR="001315AA" w:rsidRPr="00731644">
        <w:rPr>
          <w:lang w:val="fr-CH"/>
        </w:rPr>
        <w:t xml:space="preserve"> et </w:t>
      </w:r>
      <w:r w:rsidR="00956ECE" w:rsidRPr="00731644">
        <w:rPr>
          <w:lang w:val="fr-CH"/>
        </w:rPr>
        <w:t>de tziganes</w:t>
      </w:r>
      <w:r w:rsidR="001315AA" w:rsidRPr="00731644">
        <w:rPr>
          <w:lang w:val="fr-CH"/>
        </w:rPr>
        <w:t xml:space="preserve"> (</w:t>
      </w:r>
      <w:r w:rsidR="00956ECE" w:rsidRPr="00731644">
        <w:rPr>
          <w:lang w:val="fr-CH"/>
        </w:rPr>
        <w:t>aide</w:t>
      </w:r>
      <w:r w:rsidR="001315AA" w:rsidRPr="00731644">
        <w:rPr>
          <w:lang w:val="fr-CH"/>
        </w:rPr>
        <w:t xml:space="preserve"> peintre carrossier vernisseur, </w:t>
      </w:r>
      <w:r w:rsidR="001315AA" w:rsidRPr="00731644">
        <w:rPr>
          <w:bCs/>
          <w:lang w:val="fr-CH"/>
        </w:rPr>
        <w:t>a</w:t>
      </w:r>
      <w:r w:rsidR="00956ECE" w:rsidRPr="00731644">
        <w:rPr>
          <w:bCs/>
          <w:lang w:val="fr-CH"/>
        </w:rPr>
        <w:t>ide</w:t>
      </w:r>
      <w:r w:rsidR="001315AA" w:rsidRPr="00731644">
        <w:rPr>
          <w:bCs/>
          <w:lang w:val="fr-CH"/>
        </w:rPr>
        <w:t xml:space="preserve"> ramoneur, blanchisseuse, a</w:t>
      </w:r>
      <w:r w:rsidR="00956ECE" w:rsidRPr="00731644">
        <w:rPr>
          <w:bCs/>
          <w:lang w:val="fr-CH"/>
        </w:rPr>
        <w:t>ide</w:t>
      </w:r>
      <w:r w:rsidR="001315AA" w:rsidRPr="00731644">
        <w:rPr>
          <w:bCs/>
          <w:lang w:val="fr-CH"/>
        </w:rPr>
        <w:t xml:space="preserve"> réparateur de pneus, employé(e) de maison, </w:t>
      </w:r>
      <w:r w:rsidR="002C6E4A" w:rsidRPr="00731644">
        <w:rPr>
          <w:bCs/>
          <w:lang w:val="fr-CH"/>
        </w:rPr>
        <w:t>agent de propreté dans des servies collectifs</w:t>
      </w:r>
      <w:r w:rsidR="004C7BF6" w:rsidRPr="00731644">
        <w:rPr>
          <w:lang w:val="fr-CH"/>
        </w:rPr>
        <w:t>).</w:t>
      </w:r>
    </w:p>
    <w:p w:rsidR="004C7BF6" w:rsidRPr="00731644" w:rsidRDefault="001315AA" w:rsidP="00655F5D">
      <w:pPr>
        <w:pStyle w:val="H4G"/>
        <w:rPr>
          <w:lang w:val="fr-CH"/>
        </w:rPr>
      </w:pPr>
      <w:r w:rsidRPr="00731644">
        <w:rPr>
          <w:lang w:val="fr-CH"/>
        </w:rPr>
        <w:tab/>
      </w:r>
      <w:r w:rsidRPr="00731644">
        <w:rPr>
          <w:lang w:val="fr-CH"/>
        </w:rPr>
        <w:tab/>
      </w:r>
      <w:r w:rsidR="00423EFF" w:rsidRPr="00731644">
        <w:rPr>
          <w:lang w:val="fr-CH"/>
        </w:rPr>
        <w:t>Travaux d</w:t>
      </w:r>
      <w:r w:rsidR="00425386" w:rsidRPr="00731644">
        <w:rPr>
          <w:lang w:val="fr-CH"/>
        </w:rPr>
        <w:t>’</w:t>
      </w:r>
      <w:r w:rsidR="00423EFF" w:rsidRPr="00731644">
        <w:rPr>
          <w:lang w:val="fr-CH"/>
        </w:rPr>
        <w:t>intérêt public</w:t>
      </w:r>
    </w:p>
    <w:p w:rsidR="00C41749" w:rsidRPr="00731644" w:rsidRDefault="00655F5D" w:rsidP="004C7BF6">
      <w:pPr>
        <w:pStyle w:val="SingleTxtG"/>
        <w:rPr>
          <w:lang w:val="fr-CH"/>
        </w:rPr>
      </w:pPr>
      <w:r w:rsidRPr="00731644">
        <w:rPr>
          <w:lang w:val="fr-CH"/>
        </w:rPr>
        <w:t>252.</w:t>
      </w:r>
      <w:r w:rsidRPr="00731644">
        <w:rPr>
          <w:lang w:val="fr-CH"/>
        </w:rPr>
        <w:tab/>
      </w:r>
      <w:r w:rsidR="00956ECE" w:rsidRPr="00731644">
        <w:rPr>
          <w:lang w:val="fr-CH"/>
        </w:rPr>
        <w:t>L</w:t>
      </w:r>
      <w:r w:rsidR="00423EFF" w:rsidRPr="00731644">
        <w:rPr>
          <w:lang w:val="fr-CH"/>
        </w:rPr>
        <w:t>es travaux d</w:t>
      </w:r>
      <w:r w:rsidR="00425386" w:rsidRPr="00731644">
        <w:rPr>
          <w:lang w:val="fr-CH"/>
        </w:rPr>
        <w:t>’</w:t>
      </w:r>
      <w:r w:rsidR="00423EFF" w:rsidRPr="00731644">
        <w:rPr>
          <w:lang w:val="fr-CH"/>
        </w:rPr>
        <w:t xml:space="preserve">intérêt public sont un des </w:t>
      </w:r>
      <w:r w:rsidR="00956ECE" w:rsidRPr="00731644">
        <w:rPr>
          <w:lang w:val="fr-CH"/>
        </w:rPr>
        <w:t>programmes</w:t>
      </w:r>
      <w:r w:rsidR="00423EFF" w:rsidRPr="00731644">
        <w:rPr>
          <w:lang w:val="fr-CH"/>
        </w:rPr>
        <w:t xml:space="preserve"> les plus fructueux</w:t>
      </w:r>
      <w:r w:rsidR="00956ECE" w:rsidRPr="00731644">
        <w:rPr>
          <w:lang w:val="fr-CH"/>
        </w:rPr>
        <w:t xml:space="preserve"> de la politique de l</w:t>
      </w:r>
      <w:r w:rsidR="00425386" w:rsidRPr="00731644">
        <w:rPr>
          <w:lang w:val="fr-CH"/>
        </w:rPr>
        <w:t>’</w:t>
      </w:r>
      <w:r w:rsidR="00956ECE" w:rsidRPr="00731644">
        <w:rPr>
          <w:lang w:val="fr-CH"/>
        </w:rPr>
        <w:t>emploi</w:t>
      </w:r>
      <w:r w:rsidR="004C7BF6" w:rsidRPr="00731644">
        <w:rPr>
          <w:lang w:val="fr-CH"/>
        </w:rPr>
        <w:t xml:space="preserve">. </w:t>
      </w:r>
      <w:r w:rsidR="00423EFF" w:rsidRPr="00731644">
        <w:rPr>
          <w:lang w:val="fr-CH"/>
        </w:rPr>
        <w:t>Organisés par les autorités locales ou centrales, ce sont des programmes de protection sociale, d</w:t>
      </w:r>
      <w:r w:rsidR="00425386" w:rsidRPr="00731644">
        <w:rPr>
          <w:lang w:val="fr-CH"/>
        </w:rPr>
        <w:t>’</w:t>
      </w:r>
      <w:r w:rsidR="00423EFF" w:rsidRPr="00731644">
        <w:rPr>
          <w:lang w:val="fr-CH"/>
        </w:rPr>
        <w:t>éducation, d</w:t>
      </w:r>
      <w:r w:rsidR="00425386" w:rsidRPr="00731644">
        <w:rPr>
          <w:lang w:val="fr-CH"/>
        </w:rPr>
        <w:t>’</w:t>
      </w:r>
      <w:r w:rsidR="00423EFF" w:rsidRPr="00731644">
        <w:rPr>
          <w:lang w:val="fr-CH"/>
        </w:rPr>
        <w:t>activités culturelles, de protection de l</w:t>
      </w:r>
      <w:r w:rsidR="00425386" w:rsidRPr="00731644">
        <w:rPr>
          <w:lang w:val="fr-CH"/>
        </w:rPr>
        <w:t>’</w:t>
      </w:r>
      <w:r w:rsidR="00423EFF" w:rsidRPr="00731644">
        <w:rPr>
          <w:lang w:val="fr-CH"/>
        </w:rPr>
        <w:t xml:space="preserve">environnement, de services ou autres, qui sont socialement utiles et </w:t>
      </w:r>
      <w:r w:rsidR="00B0774F" w:rsidRPr="00731644">
        <w:rPr>
          <w:lang w:val="fr-CH"/>
        </w:rPr>
        <w:t>n</w:t>
      </w:r>
      <w:r w:rsidR="00425386" w:rsidRPr="00731644">
        <w:rPr>
          <w:lang w:val="fr-CH"/>
        </w:rPr>
        <w:t>’</w:t>
      </w:r>
      <w:r w:rsidR="00B0774F" w:rsidRPr="00731644">
        <w:rPr>
          <w:lang w:val="fr-CH"/>
        </w:rPr>
        <w:t>ont pas de but lucratif</w:t>
      </w:r>
      <w:r w:rsidR="00423EFF" w:rsidRPr="00731644">
        <w:rPr>
          <w:lang w:val="fr-CH"/>
        </w:rPr>
        <w:t xml:space="preserve">. Ils </w:t>
      </w:r>
      <w:r w:rsidR="00C41749" w:rsidRPr="00731644">
        <w:rPr>
          <w:lang w:val="fr-CH"/>
        </w:rPr>
        <w:t>favorisent la création de nouveaux postes de travail et accroissent l</w:t>
      </w:r>
      <w:r w:rsidR="00425386" w:rsidRPr="00731644">
        <w:rPr>
          <w:lang w:val="fr-CH"/>
        </w:rPr>
        <w:t>’</w:t>
      </w:r>
      <w:r w:rsidR="00C41749" w:rsidRPr="00731644">
        <w:rPr>
          <w:lang w:val="fr-CH"/>
        </w:rPr>
        <w:t xml:space="preserve">employabilité, le niveau de connaissances et </w:t>
      </w:r>
      <w:r w:rsidR="00B0774F" w:rsidRPr="00731644">
        <w:rPr>
          <w:lang w:val="fr-CH"/>
        </w:rPr>
        <w:t>les</w:t>
      </w:r>
      <w:r w:rsidR="00C41749" w:rsidRPr="00731644">
        <w:rPr>
          <w:lang w:val="fr-CH"/>
        </w:rPr>
        <w:t xml:space="preserve"> compétences </w:t>
      </w:r>
      <w:r w:rsidR="00B569C5" w:rsidRPr="00731644">
        <w:rPr>
          <w:lang w:val="fr-CH"/>
        </w:rPr>
        <w:t>des personnes</w:t>
      </w:r>
      <w:r w:rsidR="00C41749" w:rsidRPr="00731644">
        <w:rPr>
          <w:lang w:val="fr-CH"/>
        </w:rPr>
        <w:t xml:space="preserve"> au chômage, tout en contribuant au développement des </w:t>
      </w:r>
      <w:r w:rsidR="00956ECE" w:rsidRPr="00731644">
        <w:rPr>
          <w:lang w:val="fr-CH"/>
        </w:rPr>
        <w:t>collectiv</w:t>
      </w:r>
      <w:r w:rsidR="00C41749" w:rsidRPr="00731644">
        <w:rPr>
          <w:lang w:val="fr-CH"/>
        </w:rPr>
        <w:t>ités locales autonomes. E</w:t>
      </w:r>
      <w:r w:rsidR="004C7BF6" w:rsidRPr="00731644">
        <w:rPr>
          <w:lang w:val="fr-CH"/>
        </w:rPr>
        <w:t>n 2010</w:t>
      </w:r>
      <w:r w:rsidR="00C41749" w:rsidRPr="00731644">
        <w:rPr>
          <w:lang w:val="fr-CH"/>
        </w:rPr>
        <w:t>, l</w:t>
      </w:r>
      <w:r w:rsidR="00425386" w:rsidRPr="00731644">
        <w:rPr>
          <w:lang w:val="fr-CH"/>
        </w:rPr>
        <w:t>’</w:t>
      </w:r>
      <w:r w:rsidR="00C41749" w:rsidRPr="00731644">
        <w:rPr>
          <w:lang w:val="fr-CH"/>
        </w:rPr>
        <w:t>Agence pour l</w:t>
      </w:r>
      <w:r w:rsidR="00425386" w:rsidRPr="00731644">
        <w:rPr>
          <w:lang w:val="fr-CH"/>
        </w:rPr>
        <w:t>’</w:t>
      </w:r>
      <w:r w:rsidR="00C41749" w:rsidRPr="00731644">
        <w:rPr>
          <w:lang w:val="fr-CH"/>
        </w:rPr>
        <w:t xml:space="preserve">emploi a </w:t>
      </w:r>
      <w:r w:rsidR="00B90BBD" w:rsidRPr="00731644">
        <w:rPr>
          <w:lang w:val="fr-CH"/>
        </w:rPr>
        <w:t>géré</w:t>
      </w:r>
      <w:r w:rsidR="00F31DD5" w:rsidRPr="00731644">
        <w:rPr>
          <w:lang w:val="fr-CH"/>
        </w:rPr>
        <w:t xml:space="preserve"> </w:t>
      </w:r>
      <w:r w:rsidR="004C7BF6" w:rsidRPr="00731644">
        <w:rPr>
          <w:lang w:val="fr-CH"/>
        </w:rPr>
        <w:t xml:space="preserve">132 </w:t>
      </w:r>
      <w:r w:rsidR="00C41749" w:rsidRPr="00731644">
        <w:rPr>
          <w:lang w:val="fr-CH"/>
        </w:rPr>
        <w:t>travaux d</w:t>
      </w:r>
      <w:r w:rsidR="00425386" w:rsidRPr="00731644">
        <w:rPr>
          <w:lang w:val="fr-CH"/>
        </w:rPr>
        <w:t>’</w:t>
      </w:r>
      <w:r w:rsidR="00C41749" w:rsidRPr="00731644">
        <w:rPr>
          <w:lang w:val="fr-CH"/>
        </w:rPr>
        <w:t xml:space="preserve">intérêt </w:t>
      </w:r>
      <w:r w:rsidR="004C7BF6" w:rsidRPr="00731644">
        <w:rPr>
          <w:lang w:val="fr-CH"/>
        </w:rPr>
        <w:t>public</w:t>
      </w:r>
      <w:r w:rsidR="00B90BBD" w:rsidRPr="00731644">
        <w:rPr>
          <w:lang w:val="fr-CH"/>
        </w:rPr>
        <w:t>,</w:t>
      </w:r>
      <w:r w:rsidR="00C41749" w:rsidRPr="00731644">
        <w:rPr>
          <w:lang w:val="fr-CH"/>
        </w:rPr>
        <w:t xml:space="preserve"> à l</w:t>
      </w:r>
      <w:r w:rsidR="00425386" w:rsidRPr="00731644">
        <w:rPr>
          <w:lang w:val="fr-CH"/>
        </w:rPr>
        <w:t>’</w:t>
      </w:r>
      <w:r w:rsidR="00C41749" w:rsidRPr="00731644">
        <w:rPr>
          <w:lang w:val="fr-CH"/>
        </w:rPr>
        <w:t xml:space="preserve">exécution desquels ont été employés </w:t>
      </w:r>
      <w:r w:rsidR="004C7BF6" w:rsidRPr="00731644">
        <w:rPr>
          <w:lang w:val="fr-CH"/>
        </w:rPr>
        <w:t>1</w:t>
      </w:r>
      <w:r w:rsidR="00C41749" w:rsidRPr="00731644">
        <w:rPr>
          <w:lang w:val="fr-CH"/>
        </w:rPr>
        <w:t xml:space="preserve"> </w:t>
      </w:r>
      <w:r w:rsidR="004C7BF6" w:rsidRPr="00731644">
        <w:rPr>
          <w:lang w:val="fr-CH"/>
        </w:rPr>
        <w:t xml:space="preserve">631 </w:t>
      </w:r>
      <w:r w:rsidR="00C41749" w:rsidRPr="00731644">
        <w:rPr>
          <w:lang w:val="fr-CH"/>
        </w:rPr>
        <w:t>chôm</w:t>
      </w:r>
      <w:r w:rsidR="00956ECE" w:rsidRPr="00731644">
        <w:rPr>
          <w:lang w:val="fr-CH"/>
        </w:rPr>
        <w:t>eurs</w:t>
      </w:r>
      <w:r w:rsidR="00C41749" w:rsidRPr="00731644">
        <w:rPr>
          <w:lang w:val="fr-CH"/>
        </w:rPr>
        <w:t xml:space="preserve">, dont un grand nombre de Roms, </w:t>
      </w:r>
      <w:r w:rsidR="00956ECE" w:rsidRPr="00731644">
        <w:rPr>
          <w:lang w:val="fr-CH"/>
        </w:rPr>
        <w:t>d</w:t>
      </w:r>
      <w:r w:rsidR="00425386" w:rsidRPr="00731644">
        <w:rPr>
          <w:lang w:val="fr-CH"/>
        </w:rPr>
        <w:t>’</w:t>
      </w:r>
      <w:r w:rsidR="002A5033" w:rsidRPr="00731644">
        <w:rPr>
          <w:lang w:val="fr-CH"/>
        </w:rPr>
        <w:t>Ashkali</w:t>
      </w:r>
      <w:r w:rsidR="00956ECE" w:rsidRPr="00731644">
        <w:rPr>
          <w:lang w:val="fr-CH"/>
        </w:rPr>
        <w:t xml:space="preserve"> et de tziganes</w:t>
      </w:r>
      <w:r w:rsidR="00C41749" w:rsidRPr="00731644">
        <w:rPr>
          <w:lang w:val="fr-CH"/>
        </w:rPr>
        <w:t xml:space="preserve">. </w:t>
      </w:r>
    </w:p>
    <w:p w:rsidR="004C7BF6" w:rsidRPr="00731644" w:rsidRDefault="00655F5D" w:rsidP="004C7BF6">
      <w:pPr>
        <w:pStyle w:val="SingleTxtG"/>
        <w:rPr>
          <w:lang w:val="fr-CH"/>
        </w:rPr>
      </w:pPr>
      <w:r w:rsidRPr="00731644">
        <w:rPr>
          <w:lang w:val="fr-CH"/>
        </w:rPr>
        <w:t>253.</w:t>
      </w:r>
      <w:r w:rsidRPr="00731644">
        <w:rPr>
          <w:lang w:val="fr-CH"/>
        </w:rPr>
        <w:tab/>
      </w:r>
      <w:r w:rsidR="00C41749" w:rsidRPr="00731644">
        <w:rPr>
          <w:lang w:val="fr-CH"/>
        </w:rPr>
        <w:t>E</w:t>
      </w:r>
      <w:r w:rsidR="004C7BF6" w:rsidRPr="00731644">
        <w:rPr>
          <w:lang w:val="fr-CH"/>
        </w:rPr>
        <w:t>n coop</w:t>
      </w:r>
      <w:r w:rsidR="00C41749" w:rsidRPr="00731644">
        <w:rPr>
          <w:lang w:val="fr-CH"/>
        </w:rPr>
        <w:t>é</w:t>
      </w:r>
      <w:r w:rsidR="004C7BF6" w:rsidRPr="00731644">
        <w:rPr>
          <w:lang w:val="fr-CH"/>
        </w:rPr>
        <w:t xml:space="preserve">ration </w:t>
      </w:r>
      <w:r w:rsidR="00C41749" w:rsidRPr="00731644">
        <w:rPr>
          <w:lang w:val="fr-CH"/>
        </w:rPr>
        <w:t xml:space="preserve">avec des ministères et </w:t>
      </w:r>
      <w:r w:rsidR="00956ECE" w:rsidRPr="00731644">
        <w:rPr>
          <w:lang w:val="fr-CH"/>
        </w:rPr>
        <w:t xml:space="preserve">avec </w:t>
      </w:r>
      <w:r w:rsidR="00C41749" w:rsidRPr="00731644">
        <w:rPr>
          <w:lang w:val="fr-CH"/>
        </w:rPr>
        <w:t xml:space="preserve">des </w:t>
      </w:r>
      <w:r w:rsidR="004C7BF6" w:rsidRPr="00731644">
        <w:rPr>
          <w:lang w:val="fr-CH"/>
        </w:rPr>
        <w:t>organi</w:t>
      </w:r>
      <w:r w:rsidR="00C41749" w:rsidRPr="00731644">
        <w:rPr>
          <w:lang w:val="fr-CH"/>
        </w:rPr>
        <w:t>s</w:t>
      </w:r>
      <w:r w:rsidR="004C7BF6" w:rsidRPr="00731644">
        <w:rPr>
          <w:lang w:val="fr-CH"/>
        </w:rPr>
        <w:t xml:space="preserve">ations </w:t>
      </w:r>
      <w:r w:rsidR="00C41749" w:rsidRPr="00731644">
        <w:rPr>
          <w:lang w:val="fr-CH"/>
        </w:rPr>
        <w:t xml:space="preserve">internationales et intergouvernementales ont été </w:t>
      </w:r>
      <w:r w:rsidR="00A332AD" w:rsidRPr="00731644">
        <w:rPr>
          <w:lang w:val="fr-CH"/>
        </w:rPr>
        <w:t>réalisés</w:t>
      </w:r>
      <w:r w:rsidR="008043BD" w:rsidRPr="00731644">
        <w:rPr>
          <w:lang w:val="fr-CH"/>
        </w:rPr>
        <w:t xml:space="preserve"> cinq travaux nationaux d</w:t>
      </w:r>
      <w:r w:rsidR="00425386" w:rsidRPr="00731644">
        <w:rPr>
          <w:lang w:val="fr-CH"/>
        </w:rPr>
        <w:t>’</w:t>
      </w:r>
      <w:r w:rsidR="008043BD" w:rsidRPr="00731644">
        <w:rPr>
          <w:lang w:val="fr-CH"/>
        </w:rPr>
        <w:t>intérêt public, d</w:t>
      </w:r>
      <w:r w:rsidR="00425386" w:rsidRPr="00731644">
        <w:rPr>
          <w:lang w:val="fr-CH"/>
        </w:rPr>
        <w:t>’</w:t>
      </w:r>
      <w:r w:rsidR="008043BD" w:rsidRPr="00731644">
        <w:rPr>
          <w:lang w:val="fr-CH"/>
        </w:rPr>
        <w:t>une durée d</w:t>
      </w:r>
      <w:r w:rsidR="00425386" w:rsidRPr="00731644">
        <w:rPr>
          <w:lang w:val="fr-CH"/>
        </w:rPr>
        <w:t>’</w:t>
      </w:r>
      <w:r w:rsidR="008043BD" w:rsidRPr="00731644">
        <w:rPr>
          <w:lang w:val="fr-CH"/>
        </w:rPr>
        <w:t>un mois à un an, qui ont occupé</w:t>
      </w:r>
      <w:r w:rsidR="00F31DD5" w:rsidRPr="00731644">
        <w:rPr>
          <w:lang w:val="fr-CH"/>
        </w:rPr>
        <w:t xml:space="preserve"> </w:t>
      </w:r>
      <w:r w:rsidR="004C7BF6" w:rsidRPr="00731644">
        <w:rPr>
          <w:lang w:val="fr-CH"/>
        </w:rPr>
        <w:t>454</w:t>
      </w:r>
      <w:r w:rsidR="00CB7658" w:rsidRPr="00731644">
        <w:rPr>
          <w:lang w:val="fr-CH"/>
        </w:rPr>
        <w:t> personnes</w:t>
      </w:r>
      <w:r w:rsidR="004C7BF6" w:rsidRPr="00731644">
        <w:rPr>
          <w:lang w:val="fr-CH"/>
        </w:rPr>
        <w:t xml:space="preserve"> </w:t>
      </w:r>
      <w:r w:rsidR="008043BD" w:rsidRPr="00731644">
        <w:rPr>
          <w:lang w:val="fr-CH"/>
        </w:rPr>
        <w:t>inscrites à l</w:t>
      </w:r>
      <w:r w:rsidR="00425386" w:rsidRPr="00731644">
        <w:rPr>
          <w:lang w:val="fr-CH"/>
        </w:rPr>
        <w:t>’</w:t>
      </w:r>
      <w:r w:rsidR="008043BD" w:rsidRPr="00731644">
        <w:rPr>
          <w:lang w:val="fr-CH"/>
        </w:rPr>
        <w:t>Agence pour l</w:t>
      </w:r>
      <w:r w:rsidR="00425386" w:rsidRPr="00731644">
        <w:rPr>
          <w:lang w:val="fr-CH"/>
        </w:rPr>
        <w:t>’</w:t>
      </w:r>
      <w:r w:rsidR="008043BD" w:rsidRPr="00731644">
        <w:rPr>
          <w:lang w:val="fr-CH"/>
        </w:rPr>
        <w:t>emploi.</w:t>
      </w:r>
      <w:r w:rsidR="004C7BF6" w:rsidRPr="00731644">
        <w:rPr>
          <w:lang w:val="fr-CH"/>
        </w:rPr>
        <w:t xml:space="preserve"> </w:t>
      </w:r>
      <w:r w:rsidR="008043BD" w:rsidRPr="00731644">
        <w:rPr>
          <w:lang w:val="fr-CH"/>
        </w:rPr>
        <w:t>E</w:t>
      </w:r>
      <w:r w:rsidR="004C7BF6" w:rsidRPr="00731644">
        <w:rPr>
          <w:lang w:val="fr-CH"/>
        </w:rPr>
        <w:t>n co</w:t>
      </w:r>
      <w:r w:rsidR="0039047F" w:rsidRPr="00731644">
        <w:rPr>
          <w:lang w:val="fr-CH"/>
        </w:rPr>
        <w:t>llabor</w:t>
      </w:r>
      <w:r w:rsidR="004C7BF6" w:rsidRPr="00731644">
        <w:rPr>
          <w:lang w:val="fr-CH"/>
        </w:rPr>
        <w:t xml:space="preserve">ation </w:t>
      </w:r>
      <w:r w:rsidR="008043BD" w:rsidRPr="00731644">
        <w:rPr>
          <w:lang w:val="fr-CH"/>
        </w:rPr>
        <w:t xml:space="preserve">avec des municipalités, des institutions publiques et des organisations non gouvernementales ont été menés </w:t>
      </w:r>
      <w:r w:rsidR="004C7BF6" w:rsidRPr="00731644">
        <w:rPr>
          <w:lang w:val="fr-CH"/>
        </w:rPr>
        <w:t xml:space="preserve">127 </w:t>
      </w:r>
      <w:r w:rsidR="008043BD" w:rsidRPr="00731644">
        <w:rPr>
          <w:lang w:val="fr-CH"/>
        </w:rPr>
        <w:t>travaux locaux d</w:t>
      </w:r>
      <w:r w:rsidR="00425386" w:rsidRPr="00731644">
        <w:rPr>
          <w:lang w:val="fr-CH"/>
        </w:rPr>
        <w:t>’</w:t>
      </w:r>
      <w:r w:rsidR="008043BD" w:rsidRPr="00731644">
        <w:rPr>
          <w:lang w:val="fr-CH"/>
        </w:rPr>
        <w:t>intérêt public</w:t>
      </w:r>
      <w:r w:rsidR="004C7BF6" w:rsidRPr="00731644">
        <w:rPr>
          <w:lang w:val="fr-CH"/>
        </w:rPr>
        <w:t xml:space="preserve">, </w:t>
      </w:r>
      <w:r w:rsidR="008043BD" w:rsidRPr="00731644">
        <w:rPr>
          <w:lang w:val="fr-CH"/>
        </w:rPr>
        <w:t xml:space="preserve">exécutés par </w:t>
      </w:r>
      <w:r w:rsidR="004C7BF6" w:rsidRPr="00731644">
        <w:rPr>
          <w:lang w:val="fr-CH"/>
        </w:rPr>
        <w:t>1</w:t>
      </w:r>
      <w:r w:rsidR="008043BD" w:rsidRPr="00731644">
        <w:rPr>
          <w:lang w:val="fr-CH"/>
        </w:rPr>
        <w:t xml:space="preserve"> </w:t>
      </w:r>
      <w:r w:rsidR="004C7BF6" w:rsidRPr="00731644">
        <w:rPr>
          <w:lang w:val="fr-CH"/>
        </w:rPr>
        <w:t>177</w:t>
      </w:r>
      <w:r w:rsidR="00CB7658" w:rsidRPr="00731644">
        <w:rPr>
          <w:lang w:val="fr-CH"/>
        </w:rPr>
        <w:t> personnes</w:t>
      </w:r>
      <w:r w:rsidR="008043BD" w:rsidRPr="00731644">
        <w:rPr>
          <w:lang w:val="fr-CH"/>
        </w:rPr>
        <w:t xml:space="preserve"> pendant une période allant d</w:t>
      </w:r>
      <w:r w:rsidR="00425386" w:rsidRPr="00731644">
        <w:rPr>
          <w:lang w:val="fr-CH"/>
        </w:rPr>
        <w:t>’</w:t>
      </w:r>
      <w:r w:rsidR="008043BD" w:rsidRPr="00731644">
        <w:rPr>
          <w:lang w:val="fr-CH"/>
        </w:rPr>
        <w:t xml:space="preserve">un à douze mois. </w:t>
      </w:r>
      <w:r w:rsidR="00CB7658" w:rsidRPr="00731644">
        <w:rPr>
          <w:lang w:val="fr-CH"/>
        </w:rPr>
        <w:t>Les personnes</w:t>
      </w:r>
      <w:r w:rsidR="008043BD" w:rsidRPr="00731644">
        <w:rPr>
          <w:lang w:val="fr-CH"/>
        </w:rPr>
        <w:t xml:space="preserve"> </w:t>
      </w:r>
      <w:r w:rsidR="0039047F" w:rsidRPr="00731644">
        <w:rPr>
          <w:lang w:val="fr-CH"/>
        </w:rPr>
        <w:t xml:space="preserve">qui </w:t>
      </w:r>
      <w:r w:rsidR="008043BD" w:rsidRPr="00731644">
        <w:rPr>
          <w:lang w:val="fr-CH"/>
        </w:rPr>
        <w:t>participa</w:t>
      </w:r>
      <w:r w:rsidR="0039047F" w:rsidRPr="00731644">
        <w:rPr>
          <w:lang w:val="fr-CH"/>
        </w:rPr>
        <w:t>ien</w:t>
      </w:r>
      <w:r w:rsidR="008043BD" w:rsidRPr="00731644">
        <w:rPr>
          <w:lang w:val="fr-CH"/>
        </w:rPr>
        <w:t>t aux travaux nationaux avaient un contrat de travail et jouissaient de tous les droits qui s</w:t>
      </w:r>
      <w:r w:rsidR="00425386" w:rsidRPr="00731644">
        <w:rPr>
          <w:lang w:val="fr-CH"/>
        </w:rPr>
        <w:t>’</w:t>
      </w:r>
      <w:r w:rsidR="008043BD" w:rsidRPr="00731644">
        <w:rPr>
          <w:lang w:val="fr-CH"/>
        </w:rPr>
        <w:t>y rattache</w:t>
      </w:r>
      <w:r w:rsidR="004310D7" w:rsidRPr="00731644">
        <w:rPr>
          <w:lang w:val="fr-CH"/>
        </w:rPr>
        <w:t>nt.</w:t>
      </w:r>
      <w:r w:rsidR="004C7BF6" w:rsidRPr="00731644">
        <w:rPr>
          <w:lang w:val="fr-CH"/>
        </w:rPr>
        <w:t xml:space="preserve"> </w:t>
      </w:r>
      <w:r w:rsidR="0039047F" w:rsidRPr="00731644">
        <w:rPr>
          <w:lang w:val="fr-CH"/>
        </w:rPr>
        <w:t>Un</w:t>
      </w:r>
      <w:r w:rsidR="004310D7" w:rsidRPr="00731644">
        <w:rPr>
          <w:lang w:val="fr-CH"/>
        </w:rPr>
        <w:t xml:space="preserve"> travail national d</w:t>
      </w:r>
      <w:r w:rsidR="00425386" w:rsidRPr="00731644">
        <w:rPr>
          <w:lang w:val="fr-CH"/>
        </w:rPr>
        <w:t>’</w:t>
      </w:r>
      <w:r w:rsidR="004310D7" w:rsidRPr="00731644">
        <w:rPr>
          <w:lang w:val="fr-CH"/>
        </w:rPr>
        <w:t>intérêt public (</w:t>
      </w:r>
      <w:r w:rsidR="002061AB">
        <w:rPr>
          <w:lang w:val="fr-CH"/>
        </w:rPr>
        <w:t>«</w:t>
      </w:r>
      <w:r w:rsidR="0039047F" w:rsidRPr="00731644">
        <w:rPr>
          <w:lang w:val="fr-CH"/>
        </w:rPr>
        <w:t xml:space="preserve">Agissons pour </w:t>
      </w:r>
      <w:r w:rsidR="004310D7" w:rsidRPr="00731644">
        <w:rPr>
          <w:lang w:val="fr-CH"/>
        </w:rPr>
        <w:t>la propreté de notre cadre de vie</w:t>
      </w:r>
      <w:r w:rsidR="002061AB">
        <w:rPr>
          <w:lang w:val="fr-CH"/>
        </w:rPr>
        <w:t>»</w:t>
      </w:r>
      <w:r w:rsidR="004310D7" w:rsidRPr="00731644">
        <w:rPr>
          <w:lang w:val="fr-CH"/>
        </w:rPr>
        <w:t>)</w:t>
      </w:r>
      <w:r w:rsidR="00B90BBD" w:rsidRPr="00731644">
        <w:rPr>
          <w:lang w:val="fr-CH"/>
        </w:rPr>
        <w:t xml:space="preserve"> est en cours en ce premier trimestre de 2011</w:t>
      </w:r>
      <w:r w:rsidR="00F31DD5" w:rsidRPr="00731644">
        <w:rPr>
          <w:lang w:val="fr-CH"/>
        </w:rPr>
        <w:t>;</w:t>
      </w:r>
      <w:r w:rsidR="00596CE6" w:rsidRPr="00731644">
        <w:rPr>
          <w:lang w:val="fr-CH"/>
        </w:rPr>
        <w:t xml:space="preserve"> 10% </w:t>
      </w:r>
      <w:r w:rsidR="00B90BBD" w:rsidRPr="00731644">
        <w:rPr>
          <w:lang w:val="fr-CH"/>
        </w:rPr>
        <w:t xml:space="preserve">environ </w:t>
      </w:r>
      <w:r w:rsidR="00B569C5" w:rsidRPr="00731644">
        <w:rPr>
          <w:lang w:val="fr-CH"/>
        </w:rPr>
        <w:t>des personnes</w:t>
      </w:r>
      <w:r w:rsidR="00596CE6" w:rsidRPr="00731644">
        <w:rPr>
          <w:lang w:val="fr-CH"/>
        </w:rPr>
        <w:t xml:space="preserve"> qu</w:t>
      </w:r>
      <w:r w:rsidR="00425386" w:rsidRPr="00731644">
        <w:rPr>
          <w:lang w:val="fr-CH"/>
        </w:rPr>
        <w:t>’</w:t>
      </w:r>
      <w:r w:rsidR="00596CE6" w:rsidRPr="00731644">
        <w:rPr>
          <w:lang w:val="fr-CH"/>
        </w:rPr>
        <w:t>il emploie</w:t>
      </w:r>
      <w:r w:rsidR="004310D7" w:rsidRPr="00731644">
        <w:rPr>
          <w:lang w:val="fr-CH"/>
        </w:rPr>
        <w:t xml:space="preserve"> sont des Roms, </w:t>
      </w:r>
      <w:r w:rsidR="0039047F" w:rsidRPr="00731644">
        <w:rPr>
          <w:lang w:val="fr-CH"/>
        </w:rPr>
        <w:t>d</w:t>
      </w:r>
      <w:r w:rsidR="004310D7" w:rsidRPr="00731644">
        <w:rPr>
          <w:lang w:val="fr-CH"/>
        </w:rPr>
        <w:t xml:space="preserve">es </w:t>
      </w:r>
      <w:r w:rsidR="002A5033" w:rsidRPr="00731644">
        <w:rPr>
          <w:lang w:val="fr-CH"/>
        </w:rPr>
        <w:t>Ashkali</w:t>
      </w:r>
      <w:r w:rsidR="004310D7" w:rsidRPr="00731644">
        <w:rPr>
          <w:lang w:val="fr-CH"/>
        </w:rPr>
        <w:t xml:space="preserve"> </w:t>
      </w:r>
      <w:r w:rsidR="0039047F" w:rsidRPr="00731644">
        <w:rPr>
          <w:lang w:val="fr-CH"/>
        </w:rPr>
        <w:t>ou des tziganes</w:t>
      </w:r>
      <w:r w:rsidR="004C7BF6" w:rsidRPr="00731644">
        <w:rPr>
          <w:lang w:val="fr-CH"/>
        </w:rPr>
        <w:t>.</w:t>
      </w:r>
    </w:p>
    <w:p w:rsidR="004C7BF6" w:rsidRPr="00731644" w:rsidRDefault="004310D7" w:rsidP="00655F5D">
      <w:pPr>
        <w:pStyle w:val="H4G"/>
        <w:rPr>
          <w:lang w:val="fr-CH"/>
        </w:rPr>
      </w:pPr>
      <w:r w:rsidRPr="00731644">
        <w:rPr>
          <w:lang w:val="fr-CH"/>
        </w:rPr>
        <w:tab/>
      </w:r>
      <w:r w:rsidRPr="00731644">
        <w:rPr>
          <w:lang w:val="fr-CH"/>
        </w:rPr>
        <w:tab/>
      </w:r>
      <w:r w:rsidR="004A3FBB" w:rsidRPr="00731644">
        <w:rPr>
          <w:lang w:val="fr-CH"/>
        </w:rPr>
        <w:t>Le</w:t>
      </w:r>
      <w:r w:rsidR="004C7BF6" w:rsidRPr="00731644">
        <w:rPr>
          <w:lang w:val="fr-CH"/>
        </w:rPr>
        <w:t xml:space="preserve"> </w:t>
      </w:r>
      <w:r w:rsidR="00286F92" w:rsidRPr="00731644">
        <w:rPr>
          <w:lang w:val="fr-CH"/>
        </w:rPr>
        <w:t>programme</w:t>
      </w:r>
      <w:r w:rsidR="004C7BF6" w:rsidRPr="00731644">
        <w:rPr>
          <w:lang w:val="fr-CH"/>
        </w:rPr>
        <w:t xml:space="preserve"> </w:t>
      </w:r>
      <w:r w:rsidR="004A3FBB" w:rsidRPr="00731644">
        <w:rPr>
          <w:lang w:val="fr-CH"/>
        </w:rPr>
        <w:t>d</w:t>
      </w:r>
      <w:r w:rsidR="00425386" w:rsidRPr="00731644">
        <w:rPr>
          <w:lang w:val="fr-CH"/>
        </w:rPr>
        <w:t>’</w:t>
      </w:r>
      <w:r w:rsidR="004A3FBB" w:rsidRPr="00731644">
        <w:rPr>
          <w:lang w:val="fr-CH"/>
        </w:rPr>
        <w:t>alphabétisation fonctionnelle</w:t>
      </w:r>
      <w:r w:rsidR="00F31DD5" w:rsidRPr="00731644">
        <w:rPr>
          <w:lang w:val="fr-CH"/>
        </w:rPr>
        <w:t xml:space="preserve"> </w:t>
      </w:r>
      <w:r w:rsidR="004A3FBB" w:rsidRPr="00731644">
        <w:rPr>
          <w:lang w:val="fr-CH"/>
        </w:rPr>
        <w:t xml:space="preserve">des Roms et des </w:t>
      </w:r>
      <w:r w:rsidR="0039047F" w:rsidRPr="00731644">
        <w:rPr>
          <w:lang w:val="fr-CH"/>
        </w:rPr>
        <w:t>t</w:t>
      </w:r>
      <w:r w:rsidR="00A95D03" w:rsidRPr="00731644">
        <w:rPr>
          <w:lang w:val="fr-CH"/>
        </w:rPr>
        <w:t>ziganes</w:t>
      </w:r>
      <w:r w:rsidR="004A3FBB" w:rsidRPr="00731644">
        <w:rPr>
          <w:lang w:val="fr-CH"/>
        </w:rPr>
        <w:t xml:space="preserve"> </w:t>
      </w:r>
    </w:p>
    <w:p w:rsidR="00EB3940" w:rsidRPr="00731644" w:rsidRDefault="00655F5D" w:rsidP="004C7BF6">
      <w:pPr>
        <w:pStyle w:val="SingleTxtG"/>
        <w:rPr>
          <w:lang w:val="fr-CH"/>
        </w:rPr>
      </w:pPr>
      <w:r w:rsidRPr="00731644">
        <w:rPr>
          <w:lang w:val="fr-CH"/>
        </w:rPr>
        <w:t>254.</w:t>
      </w:r>
      <w:r w:rsidRPr="00731644">
        <w:rPr>
          <w:lang w:val="fr-CH"/>
        </w:rPr>
        <w:tab/>
      </w:r>
      <w:r w:rsidR="003B5B3F" w:rsidRPr="00731644">
        <w:rPr>
          <w:lang w:val="fr-CH"/>
        </w:rPr>
        <w:t>Le</w:t>
      </w:r>
      <w:r w:rsidR="004C7BF6" w:rsidRPr="00731644">
        <w:rPr>
          <w:lang w:val="fr-CH"/>
        </w:rPr>
        <w:t xml:space="preserve"> </w:t>
      </w:r>
      <w:r w:rsidR="00286F92" w:rsidRPr="00731644">
        <w:rPr>
          <w:lang w:val="fr-CH"/>
        </w:rPr>
        <w:t>programme</w:t>
      </w:r>
      <w:r w:rsidR="004C7BF6" w:rsidRPr="00731644">
        <w:rPr>
          <w:lang w:val="fr-CH"/>
        </w:rPr>
        <w:t xml:space="preserve"> </w:t>
      </w:r>
      <w:r w:rsidR="003B5B3F" w:rsidRPr="00731644">
        <w:rPr>
          <w:lang w:val="fr-CH"/>
        </w:rPr>
        <w:t>officiel d</w:t>
      </w:r>
      <w:r w:rsidR="00425386" w:rsidRPr="00731644">
        <w:rPr>
          <w:lang w:val="fr-CH"/>
        </w:rPr>
        <w:t>’</w:t>
      </w:r>
      <w:r w:rsidR="003B5B3F" w:rsidRPr="00731644">
        <w:rPr>
          <w:lang w:val="fr-CH"/>
        </w:rPr>
        <w:t>alphabétisation fonctionnelle de</w:t>
      </w:r>
      <w:r w:rsidR="00596CE6" w:rsidRPr="00731644">
        <w:rPr>
          <w:lang w:val="fr-CH"/>
        </w:rPr>
        <w:t>s</w:t>
      </w:r>
      <w:r w:rsidR="003B5B3F" w:rsidRPr="00731644">
        <w:rPr>
          <w:lang w:val="fr-CH"/>
        </w:rPr>
        <w:t xml:space="preserve"> </w:t>
      </w:r>
      <w:r w:rsidR="0066264F" w:rsidRPr="00731644">
        <w:rPr>
          <w:lang w:val="fr-CH"/>
        </w:rPr>
        <w:t>R</w:t>
      </w:r>
      <w:r w:rsidR="00596CE6" w:rsidRPr="00731644">
        <w:rPr>
          <w:lang w:val="fr-CH"/>
        </w:rPr>
        <w:t xml:space="preserve">oms </w:t>
      </w:r>
      <w:r w:rsidR="003B5B3F" w:rsidRPr="00731644">
        <w:rPr>
          <w:lang w:val="fr-CH"/>
        </w:rPr>
        <w:t>adopté par le G</w:t>
      </w:r>
      <w:r w:rsidR="00B60D85" w:rsidRPr="00731644">
        <w:rPr>
          <w:lang w:val="fr-CH"/>
        </w:rPr>
        <w:t xml:space="preserve">ouvernement a été </w:t>
      </w:r>
      <w:r w:rsidR="002C3A2F" w:rsidRPr="00731644">
        <w:rPr>
          <w:lang w:val="fr-CH"/>
        </w:rPr>
        <w:t>inauguré</w:t>
      </w:r>
      <w:r w:rsidR="00B60D85" w:rsidRPr="00731644">
        <w:rPr>
          <w:lang w:val="fr-CH"/>
        </w:rPr>
        <w:t xml:space="preserve"> en</w:t>
      </w:r>
      <w:r w:rsidR="00F31DD5" w:rsidRPr="00731644">
        <w:rPr>
          <w:lang w:val="fr-CH"/>
        </w:rPr>
        <w:t xml:space="preserve"> </w:t>
      </w:r>
      <w:r w:rsidR="004C7BF6" w:rsidRPr="00731644">
        <w:rPr>
          <w:lang w:val="fr-CH"/>
        </w:rPr>
        <w:t xml:space="preserve">2007 </w:t>
      </w:r>
      <w:r w:rsidR="002C3A2F" w:rsidRPr="00731644">
        <w:rPr>
          <w:lang w:val="fr-CH"/>
        </w:rPr>
        <w:t>avec</w:t>
      </w:r>
      <w:r w:rsidR="00B60D85" w:rsidRPr="00731644">
        <w:rPr>
          <w:lang w:val="fr-CH"/>
        </w:rPr>
        <w:t xml:space="preserve"> le projet</w:t>
      </w:r>
      <w:r w:rsidR="004C7BF6" w:rsidRPr="00731644">
        <w:rPr>
          <w:lang w:val="fr-CH"/>
        </w:rPr>
        <w:t xml:space="preserve"> </w:t>
      </w:r>
      <w:r w:rsidR="002061AB">
        <w:rPr>
          <w:lang w:val="fr-CH"/>
        </w:rPr>
        <w:t>«</w:t>
      </w:r>
      <w:r w:rsidR="00B60D85" w:rsidRPr="00731644">
        <w:rPr>
          <w:lang w:val="fr-CH"/>
        </w:rPr>
        <w:t>Une s</w:t>
      </w:r>
      <w:r w:rsidR="004C7BF6" w:rsidRPr="00731644">
        <w:rPr>
          <w:lang w:val="fr-CH"/>
        </w:rPr>
        <w:t>econd</w:t>
      </w:r>
      <w:r w:rsidR="00B60D85" w:rsidRPr="00731644">
        <w:rPr>
          <w:lang w:val="fr-CH"/>
        </w:rPr>
        <w:t>e c</w:t>
      </w:r>
      <w:r w:rsidR="004C7BF6" w:rsidRPr="00731644">
        <w:rPr>
          <w:lang w:val="fr-CH"/>
        </w:rPr>
        <w:t>hance</w:t>
      </w:r>
      <w:r w:rsidR="002061AB">
        <w:rPr>
          <w:lang w:val="fr-CH"/>
        </w:rPr>
        <w:t>»</w:t>
      </w:r>
      <w:r w:rsidR="004C7BF6" w:rsidRPr="00731644">
        <w:rPr>
          <w:lang w:val="fr-CH"/>
        </w:rPr>
        <w:t xml:space="preserve">, </w:t>
      </w:r>
      <w:r w:rsidR="00B60D85" w:rsidRPr="00731644">
        <w:rPr>
          <w:lang w:val="fr-CH"/>
        </w:rPr>
        <w:t>mis en œuvre conjointement par l</w:t>
      </w:r>
      <w:r w:rsidR="00425386" w:rsidRPr="00731644">
        <w:rPr>
          <w:lang w:val="fr-CH"/>
        </w:rPr>
        <w:t>’</w:t>
      </w:r>
      <w:r w:rsidR="00B60D85" w:rsidRPr="00731644">
        <w:rPr>
          <w:lang w:val="fr-CH"/>
        </w:rPr>
        <w:t xml:space="preserve">Agence </w:t>
      </w:r>
      <w:r w:rsidR="00A332AD" w:rsidRPr="00731644">
        <w:rPr>
          <w:lang w:val="fr-CH"/>
        </w:rPr>
        <w:t>pour</w:t>
      </w:r>
      <w:r w:rsidR="00B60D85" w:rsidRPr="00731644">
        <w:rPr>
          <w:lang w:val="fr-CH"/>
        </w:rPr>
        <w:t xml:space="preserve"> l</w:t>
      </w:r>
      <w:r w:rsidR="00425386" w:rsidRPr="00731644">
        <w:rPr>
          <w:lang w:val="fr-CH"/>
        </w:rPr>
        <w:t>’</w:t>
      </w:r>
      <w:r w:rsidR="00B60D85" w:rsidRPr="00731644">
        <w:rPr>
          <w:lang w:val="fr-CH"/>
        </w:rPr>
        <w:t xml:space="preserve">emploi, le </w:t>
      </w:r>
      <w:r w:rsidR="00596CE6" w:rsidRPr="00731644">
        <w:rPr>
          <w:lang w:val="fr-CH"/>
        </w:rPr>
        <w:t>C</w:t>
      </w:r>
      <w:r w:rsidR="00B60D85" w:rsidRPr="00731644">
        <w:rPr>
          <w:lang w:val="fr-CH"/>
        </w:rPr>
        <w:t>entre d</w:t>
      </w:r>
      <w:r w:rsidR="00425386" w:rsidRPr="00731644">
        <w:rPr>
          <w:lang w:val="fr-CH"/>
        </w:rPr>
        <w:t>’</w:t>
      </w:r>
      <w:r w:rsidR="00B60D85" w:rsidRPr="00731644">
        <w:rPr>
          <w:lang w:val="fr-CH"/>
        </w:rPr>
        <w:t>enseignement professionnel, la Fondation pour l</w:t>
      </w:r>
      <w:r w:rsidR="00425386" w:rsidRPr="00731644">
        <w:rPr>
          <w:lang w:val="fr-CH"/>
        </w:rPr>
        <w:t>’</w:t>
      </w:r>
      <w:r w:rsidR="00B60D85" w:rsidRPr="00731644">
        <w:rPr>
          <w:lang w:val="fr-CH"/>
        </w:rPr>
        <w:t>attribution de bourses aux Roms, et l</w:t>
      </w:r>
      <w:r w:rsidR="00425386" w:rsidRPr="00731644">
        <w:rPr>
          <w:lang w:val="fr-CH"/>
        </w:rPr>
        <w:t>’</w:t>
      </w:r>
      <w:r w:rsidR="00B60D85" w:rsidRPr="00731644">
        <w:rPr>
          <w:lang w:val="fr-CH"/>
        </w:rPr>
        <w:t>organisation internationale allemande d</w:t>
      </w:r>
      <w:r w:rsidR="00425386" w:rsidRPr="00731644">
        <w:rPr>
          <w:lang w:val="fr-CH"/>
        </w:rPr>
        <w:t>’</w:t>
      </w:r>
      <w:r w:rsidR="00B60D85" w:rsidRPr="00731644">
        <w:rPr>
          <w:lang w:val="fr-CH"/>
        </w:rPr>
        <w:t xml:space="preserve">éducation des adultes </w:t>
      </w:r>
      <w:r w:rsidR="004C7BF6" w:rsidRPr="00731644">
        <w:rPr>
          <w:lang w:val="fr-CH"/>
        </w:rPr>
        <w:t xml:space="preserve">DVV International. </w:t>
      </w:r>
      <w:r w:rsidR="00B60D85" w:rsidRPr="00731644">
        <w:rPr>
          <w:lang w:val="fr-CH"/>
        </w:rPr>
        <w:t>La Fondation pour l</w:t>
      </w:r>
      <w:r w:rsidR="00425386" w:rsidRPr="00731644">
        <w:rPr>
          <w:lang w:val="fr-CH"/>
        </w:rPr>
        <w:t>’</w:t>
      </w:r>
      <w:r w:rsidR="00B60D85" w:rsidRPr="00731644">
        <w:rPr>
          <w:lang w:val="fr-CH"/>
        </w:rPr>
        <w:t xml:space="preserve">attribution de bourses aux Roms applique </w:t>
      </w:r>
      <w:r w:rsidR="0066264F" w:rsidRPr="00731644">
        <w:rPr>
          <w:lang w:val="fr-CH"/>
        </w:rPr>
        <w:t>de manière suivie</w:t>
      </w:r>
      <w:r w:rsidR="00B60D85" w:rsidRPr="00731644">
        <w:rPr>
          <w:lang w:val="fr-CH"/>
        </w:rPr>
        <w:t xml:space="preserve"> des programmes d</w:t>
      </w:r>
      <w:r w:rsidR="00425386" w:rsidRPr="00731644">
        <w:rPr>
          <w:lang w:val="fr-CH"/>
        </w:rPr>
        <w:t>’</w:t>
      </w:r>
      <w:r w:rsidR="00B60D85" w:rsidRPr="00731644">
        <w:rPr>
          <w:lang w:val="fr-CH"/>
        </w:rPr>
        <w:t>éducation à l</w:t>
      </w:r>
      <w:r w:rsidR="00425386" w:rsidRPr="00731644">
        <w:rPr>
          <w:lang w:val="fr-CH"/>
        </w:rPr>
        <w:t>’</w:t>
      </w:r>
      <w:r w:rsidR="00B60D85" w:rsidRPr="00731644">
        <w:rPr>
          <w:lang w:val="fr-CH"/>
        </w:rPr>
        <w:t xml:space="preserve">intention des adultes roms et </w:t>
      </w:r>
      <w:r w:rsidR="00A95D03" w:rsidRPr="00731644">
        <w:rPr>
          <w:lang w:val="fr-CH"/>
        </w:rPr>
        <w:t>tziganes</w:t>
      </w:r>
      <w:r w:rsidR="00B60D85" w:rsidRPr="00731644">
        <w:rPr>
          <w:lang w:val="fr-CH"/>
        </w:rPr>
        <w:t>, en partenariat notamment avec l</w:t>
      </w:r>
      <w:r w:rsidR="00425386" w:rsidRPr="00731644">
        <w:rPr>
          <w:lang w:val="fr-CH"/>
        </w:rPr>
        <w:t>’</w:t>
      </w:r>
      <w:r w:rsidR="00B60D85" w:rsidRPr="00731644">
        <w:rPr>
          <w:lang w:val="fr-CH"/>
        </w:rPr>
        <w:t>Agence pour l</w:t>
      </w:r>
      <w:r w:rsidR="00425386" w:rsidRPr="00731644">
        <w:rPr>
          <w:lang w:val="fr-CH"/>
        </w:rPr>
        <w:t>’</w:t>
      </w:r>
      <w:r w:rsidR="00B60D85" w:rsidRPr="00731644">
        <w:rPr>
          <w:lang w:val="fr-CH"/>
        </w:rPr>
        <w:t>emploi.</w:t>
      </w:r>
      <w:r w:rsidR="00F31DD5" w:rsidRPr="00731644">
        <w:rPr>
          <w:lang w:val="fr-CH"/>
        </w:rPr>
        <w:t xml:space="preserve"> </w:t>
      </w:r>
      <w:r w:rsidR="00596CE6" w:rsidRPr="00731644">
        <w:rPr>
          <w:lang w:val="fr-CH"/>
        </w:rPr>
        <w:t xml:space="preserve">Il est </w:t>
      </w:r>
      <w:r w:rsidR="0066264F" w:rsidRPr="00731644">
        <w:rPr>
          <w:lang w:val="fr-CH"/>
        </w:rPr>
        <w:t>reconnu</w:t>
      </w:r>
      <w:r w:rsidR="00EB3940" w:rsidRPr="00731644">
        <w:rPr>
          <w:lang w:val="fr-CH"/>
        </w:rPr>
        <w:t xml:space="preserve"> que d</w:t>
      </w:r>
      <w:r w:rsidR="00B60D85" w:rsidRPr="00731644">
        <w:rPr>
          <w:lang w:val="fr-CH"/>
        </w:rPr>
        <w:t>eux composantes de cette action</w:t>
      </w:r>
      <w:r w:rsidR="00F31DD5" w:rsidRPr="00731644">
        <w:rPr>
          <w:lang w:val="fr-CH"/>
        </w:rPr>
        <w:t xml:space="preserve"> – </w:t>
      </w:r>
      <w:r w:rsidR="00B60D85" w:rsidRPr="00731644">
        <w:rPr>
          <w:lang w:val="fr-CH"/>
        </w:rPr>
        <w:t>le programme d</w:t>
      </w:r>
      <w:r w:rsidR="00425386" w:rsidRPr="00731644">
        <w:rPr>
          <w:lang w:val="fr-CH"/>
        </w:rPr>
        <w:t>’</w:t>
      </w:r>
      <w:r w:rsidR="00B60D85" w:rsidRPr="00731644">
        <w:rPr>
          <w:lang w:val="fr-CH"/>
        </w:rPr>
        <w:t>alphabétisation fonctionnelle de base et le programme de qualification professionnelle –</w:t>
      </w:r>
      <w:r w:rsidR="0066264F" w:rsidRPr="00731644">
        <w:rPr>
          <w:lang w:val="fr-CH"/>
        </w:rPr>
        <w:t xml:space="preserve"> </w:t>
      </w:r>
      <w:r w:rsidR="00596CE6" w:rsidRPr="00731644">
        <w:rPr>
          <w:lang w:val="fr-CH"/>
        </w:rPr>
        <w:t>ouvr</w:t>
      </w:r>
      <w:r w:rsidR="00EB3940" w:rsidRPr="00731644">
        <w:rPr>
          <w:lang w:val="fr-CH"/>
        </w:rPr>
        <w:t xml:space="preserve">ent des </w:t>
      </w:r>
      <w:r w:rsidR="00596CE6" w:rsidRPr="00731644">
        <w:rPr>
          <w:lang w:val="fr-CH"/>
        </w:rPr>
        <w:t>porte</w:t>
      </w:r>
      <w:r w:rsidR="00EB3940" w:rsidRPr="00731644">
        <w:rPr>
          <w:lang w:val="fr-CH"/>
        </w:rPr>
        <w:t xml:space="preserve">s </w:t>
      </w:r>
      <w:r w:rsidR="0066264F" w:rsidRPr="00731644">
        <w:rPr>
          <w:lang w:val="fr-CH"/>
        </w:rPr>
        <w:t>de</w:t>
      </w:r>
      <w:r w:rsidR="00EB3940" w:rsidRPr="00731644">
        <w:rPr>
          <w:lang w:val="fr-CH"/>
        </w:rPr>
        <w:t xml:space="preserve"> sorti</w:t>
      </w:r>
      <w:r w:rsidR="0066264F" w:rsidRPr="00731644">
        <w:rPr>
          <w:lang w:val="fr-CH"/>
        </w:rPr>
        <w:t>e</w:t>
      </w:r>
      <w:r w:rsidR="00B60D85" w:rsidRPr="00731644">
        <w:rPr>
          <w:lang w:val="fr-CH"/>
        </w:rPr>
        <w:t xml:space="preserve"> </w:t>
      </w:r>
      <w:r w:rsidR="00EB3940" w:rsidRPr="00731644">
        <w:rPr>
          <w:lang w:val="fr-CH"/>
        </w:rPr>
        <w:t>de l</w:t>
      </w:r>
      <w:r w:rsidR="00425386" w:rsidRPr="00731644">
        <w:rPr>
          <w:lang w:val="fr-CH"/>
        </w:rPr>
        <w:t>’</w:t>
      </w:r>
      <w:r w:rsidR="00EB3940" w:rsidRPr="00731644">
        <w:rPr>
          <w:lang w:val="fr-CH"/>
        </w:rPr>
        <w:t xml:space="preserve">exclusion sociale et de la pauvreté. </w:t>
      </w:r>
    </w:p>
    <w:p w:rsidR="004C7BF6" w:rsidRPr="00731644" w:rsidRDefault="00655F5D" w:rsidP="004C7BF6">
      <w:pPr>
        <w:pStyle w:val="SingleTxtG"/>
        <w:rPr>
          <w:lang w:val="fr-CH"/>
        </w:rPr>
      </w:pPr>
      <w:r w:rsidRPr="00731644">
        <w:rPr>
          <w:lang w:val="fr-CH"/>
        </w:rPr>
        <w:t>256.</w:t>
      </w:r>
      <w:r w:rsidRPr="00731644">
        <w:rPr>
          <w:lang w:val="fr-CH"/>
        </w:rPr>
        <w:tab/>
      </w:r>
      <w:r w:rsidR="00EB3940" w:rsidRPr="00731644">
        <w:rPr>
          <w:lang w:val="fr-CH"/>
        </w:rPr>
        <w:t>Après une pause d</w:t>
      </w:r>
      <w:r w:rsidR="00425386" w:rsidRPr="00731644">
        <w:rPr>
          <w:lang w:val="fr-CH"/>
        </w:rPr>
        <w:t>’</w:t>
      </w:r>
      <w:r w:rsidR="00EB3940" w:rsidRPr="00731644">
        <w:rPr>
          <w:lang w:val="fr-CH"/>
        </w:rPr>
        <w:t>une année, le programme d</w:t>
      </w:r>
      <w:r w:rsidR="00425386" w:rsidRPr="00731644">
        <w:rPr>
          <w:lang w:val="fr-CH"/>
        </w:rPr>
        <w:t>’</w:t>
      </w:r>
      <w:r w:rsidR="00EB3940" w:rsidRPr="00731644">
        <w:rPr>
          <w:lang w:val="fr-CH"/>
        </w:rPr>
        <w:t>alphabétisation fonctionnelle des adultes</w:t>
      </w:r>
      <w:r w:rsidR="00F31DD5" w:rsidRPr="00731644">
        <w:rPr>
          <w:lang w:val="fr-CH"/>
        </w:rPr>
        <w:t xml:space="preserve"> </w:t>
      </w:r>
      <w:r w:rsidR="00EB3940" w:rsidRPr="00731644">
        <w:rPr>
          <w:lang w:val="fr-CH"/>
        </w:rPr>
        <w:t xml:space="preserve">roms a été lancé en </w:t>
      </w:r>
      <w:r w:rsidR="004C7BF6" w:rsidRPr="00731644">
        <w:rPr>
          <w:lang w:val="fr-CH"/>
        </w:rPr>
        <w:t xml:space="preserve">2009, </w:t>
      </w:r>
      <w:r w:rsidR="0066264F" w:rsidRPr="00731644">
        <w:rPr>
          <w:lang w:val="fr-CH"/>
        </w:rPr>
        <w:t>avec le</w:t>
      </w:r>
      <w:r w:rsidR="00EB3940" w:rsidRPr="00731644">
        <w:rPr>
          <w:lang w:val="fr-CH"/>
        </w:rPr>
        <w:t xml:space="preserve"> projet</w:t>
      </w:r>
      <w:r w:rsidR="004C7BF6" w:rsidRPr="00731644">
        <w:rPr>
          <w:lang w:val="fr-CH"/>
        </w:rPr>
        <w:t xml:space="preserve"> </w:t>
      </w:r>
      <w:r w:rsidR="002061AB">
        <w:rPr>
          <w:lang w:val="fr-CH"/>
        </w:rPr>
        <w:t>«</w:t>
      </w:r>
      <w:r w:rsidR="00EB3940" w:rsidRPr="00731644">
        <w:rPr>
          <w:lang w:val="fr-CH"/>
        </w:rPr>
        <w:t>L</w:t>
      </w:r>
      <w:r w:rsidR="00425386" w:rsidRPr="00731644">
        <w:rPr>
          <w:lang w:val="fr-CH"/>
        </w:rPr>
        <w:t>’</w:t>
      </w:r>
      <w:r w:rsidR="00A332AD" w:rsidRPr="00731644">
        <w:rPr>
          <w:lang w:val="fr-CH"/>
        </w:rPr>
        <w:t>intégration</w:t>
      </w:r>
      <w:r w:rsidR="004C7BF6" w:rsidRPr="00731644">
        <w:rPr>
          <w:lang w:val="fr-CH"/>
        </w:rPr>
        <w:t xml:space="preserve"> </w:t>
      </w:r>
      <w:r w:rsidR="00EB3940" w:rsidRPr="00731644">
        <w:rPr>
          <w:lang w:val="fr-CH"/>
        </w:rPr>
        <w:t xml:space="preserve">des groupes minoritaires dans les </w:t>
      </w:r>
      <w:r w:rsidR="004C7BF6" w:rsidRPr="00731644">
        <w:rPr>
          <w:lang w:val="fr-CH"/>
        </w:rPr>
        <w:t>Balkans</w:t>
      </w:r>
      <w:r w:rsidR="00EB3940" w:rsidRPr="00731644">
        <w:rPr>
          <w:lang w:val="fr-CH"/>
        </w:rPr>
        <w:t xml:space="preserve"> du Sud-Est</w:t>
      </w:r>
      <w:r w:rsidR="002061AB">
        <w:rPr>
          <w:lang w:val="fr-CH"/>
        </w:rPr>
        <w:t>»</w:t>
      </w:r>
      <w:r w:rsidR="004C7BF6" w:rsidRPr="00731644">
        <w:rPr>
          <w:lang w:val="fr-CH"/>
        </w:rPr>
        <w:t xml:space="preserve">, </w:t>
      </w:r>
      <w:r w:rsidR="00EB3940" w:rsidRPr="00731644">
        <w:rPr>
          <w:lang w:val="fr-CH"/>
        </w:rPr>
        <w:t>exécuté conjointement</w:t>
      </w:r>
      <w:r w:rsidR="0066264F" w:rsidRPr="00731644">
        <w:rPr>
          <w:lang w:val="fr-CH"/>
        </w:rPr>
        <w:t>,</w:t>
      </w:r>
      <w:r w:rsidR="00EB3940" w:rsidRPr="00731644">
        <w:rPr>
          <w:lang w:val="fr-CH"/>
        </w:rPr>
        <w:t xml:space="preserve"> </w:t>
      </w:r>
      <w:r w:rsidR="0066264F" w:rsidRPr="00731644">
        <w:rPr>
          <w:lang w:val="fr-CH"/>
        </w:rPr>
        <w:t xml:space="preserve">de 2009 à 2012, </w:t>
      </w:r>
      <w:r w:rsidR="00EB3940" w:rsidRPr="00731644">
        <w:rPr>
          <w:lang w:val="fr-CH"/>
        </w:rPr>
        <w:t>par l</w:t>
      </w:r>
      <w:r w:rsidR="00425386" w:rsidRPr="00731644">
        <w:rPr>
          <w:lang w:val="fr-CH"/>
        </w:rPr>
        <w:t>’</w:t>
      </w:r>
      <w:r w:rsidR="00EB3940" w:rsidRPr="00731644">
        <w:rPr>
          <w:lang w:val="fr-CH"/>
        </w:rPr>
        <w:t xml:space="preserve">organisation italienne </w:t>
      </w:r>
      <w:r w:rsidR="002061AB">
        <w:rPr>
          <w:lang w:val="fr-CH"/>
        </w:rPr>
        <w:t>«</w:t>
      </w:r>
      <w:r w:rsidR="004C7BF6" w:rsidRPr="00731644">
        <w:rPr>
          <w:lang w:val="fr-CH"/>
        </w:rPr>
        <w:t>Comitato di Coordinamento delle Organizzazioni per il Servizio Volontario</w:t>
      </w:r>
      <w:r w:rsidR="002061AB">
        <w:rPr>
          <w:lang w:val="fr-CH"/>
        </w:rPr>
        <w:t>»</w:t>
      </w:r>
      <w:r w:rsidR="00EB3940" w:rsidRPr="00731644">
        <w:rPr>
          <w:lang w:val="fr-CH"/>
        </w:rPr>
        <w:t xml:space="preserve"> (COSV</w:t>
      </w:r>
      <w:r w:rsidR="004C7BF6" w:rsidRPr="00731644">
        <w:rPr>
          <w:lang w:val="fr-CH"/>
        </w:rPr>
        <w:t xml:space="preserve">), </w:t>
      </w:r>
      <w:r w:rsidR="00EB3940" w:rsidRPr="00731644">
        <w:rPr>
          <w:lang w:val="fr-CH"/>
        </w:rPr>
        <w:t>l</w:t>
      </w:r>
      <w:r w:rsidR="00425386" w:rsidRPr="00731644">
        <w:rPr>
          <w:lang w:val="fr-CH"/>
        </w:rPr>
        <w:t>’</w:t>
      </w:r>
      <w:r w:rsidR="00EB3940" w:rsidRPr="00731644">
        <w:rPr>
          <w:lang w:val="fr-CH"/>
        </w:rPr>
        <w:t>Agence pour l</w:t>
      </w:r>
      <w:r w:rsidR="00425386" w:rsidRPr="00731644">
        <w:rPr>
          <w:lang w:val="fr-CH"/>
        </w:rPr>
        <w:t>’</w:t>
      </w:r>
      <w:r w:rsidR="00EB3940" w:rsidRPr="00731644">
        <w:rPr>
          <w:lang w:val="fr-CH"/>
        </w:rPr>
        <w:t xml:space="preserve">emploi du Monténégro, le Centre </w:t>
      </w:r>
      <w:r w:rsidR="006A61DB" w:rsidRPr="00731644">
        <w:rPr>
          <w:lang w:val="fr-CH"/>
        </w:rPr>
        <w:t>d</w:t>
      </w:r>
      <w:r w:rsidR="00425386" w:rsidRPr="00731644">
        <w:rPr>
          <w:lang w:val="fr-CH"/>
        </w:rPr>
        <w:t>’</w:t>
      </w:r>
      <w:r w:rsidR="006A61DB" w:rsidRPr="00731644">
        <w:rPr>
          <w:lang w:val="fr-CH"/>
        </w:rPr>
        <w:t>enseignement professionnel</w:t>
      </w:r>
      <w:r w:rsidR="00EB3940" w:rsidRPr="00731644">
        <w:rPr>
          <w:lang w:val="fr-CH"/>
        </w:rPr>
        <w:t xml:space="preserve"> et la Fondation pour l</w:t>
      </w:r>
      <w:r w:rsidR="00425386" w:rsidRPr="00731644">
        <w:rPr>
          <w:lang w:val="fr-CH"/>
        </w:rPr>
        <w:t>’</w:t>
      </w:r>
      <w:r w:rsidR="00EB3940" w:rsidRPr="00731644">
        <w:rPr>
          <w:lang w:val="fr-CH"/>
        </w:rPr>
        <w:t>attribution de bourses aux Roms</w:t>
      </w:r>
      <w:r w:rsidR="004C7BF6" w:rsidRPr="00731644">
        <w:rPr>
          <w:lang w:val="fr-CH"/>
        </w:rPr>
        <w:t xml:space="preserve">, </w:t>
      </w:r>
      <w:r w:rsidR="00EB3940" w:rsidRPr="00731644">
        <w:rPr>
          <w:lang w:val="fr-CH"/>
        </w:rPr>
        <w:t>en coopération avec l</w:t>
      </w:r>
      <w:r w:rsidR="00425386" w:rsidRPr="00731644">
        <w:rPr>
          <w:lang w:val="fr-CH"/>
        </w:rPr>
        <w:t>’</w:t>
      </w:r>
      <w:r w:rsidR="00EB3940" w:rsidRPr="00731644">
        <w:rPr>
          <w:lang w:val="fr-CH"/>
        </w:rPr>
        <w:t xml:space="preserve">école primaire </w:t>
      </w:r>
      <w:r w:rsidR="002061AB">
        <w:rPr>
          <w:lang w:val="fr-CH"/>
        </w:rPr>
        <w:t>«</w:t>
      </w:r>
      <w:r w:rsidR="004C7BF6" w:rsidRPr="00731644">
        <w:rPr>
          <w:lang w:val="fr-CH"/>
        </w:rPr>
        <w:t>Bozidar Vukovic Podgoričanin</w:t>
      </w:r>
      <w:r w:rsidR="002061AB">
        <w:rPr>
          <w:lang w:val="fr-CH"/>
        </w:rPr>
        <w:t>»</w:t>
      </w:r>
      <w:r w:rsidR="004C7BF6" w:rsidRPr="00731644">
        <w:rPr>
          <w:lang w:val="fr-CH"/>
        </w:rPr>
        <w:t xml:space="preserve">. </w:t>
      </w:r>
      <w:r w:rsidR="00EB3940" w:rsidRPr="00731644">
        <w:rPr>
          <w:lang w:val="fr-CH"/>
        </w:rPr>
        <w:t xml:space="preserve">Une des activités phares du projet </w:t>
      </w:r>
      <w:r w:rsidR="006A61DB" w:rsidRPr="00731644">
        <w:rPr>
          <w:lang w:val="fr-CH"/>
        </w:rPr>
        <w:t>était</w:t>
      </w:r>
      <w:r w:rsidR="00EB3940" w:rsidRPr="00731644">
        <w:rPr>
          <w:lang w:val="fr-CH"/>
        </w:rPr>
        <w:t xml:space="preserve"> l</w:t>
      </w:r>
      <w:r w:rsidR="00425386" w:rsidRPr="00731644">
        <w:rPr>
          <w:lang w:val="fr-CH"/>
        </w:rPr>
        <w:t>’</w:t>
      </w:r>
      <w:r w:rsidR="00EB3940" w:rsidRPr="00731644">
        <w:rPr>
          <w:lang w:val="fr-CH"/>
        </w:rPr>
        <w:t>alphabétisation fonctionnelle et la formation professionnelle d</w:t>
      </w:r>
      <w:r w:rsidR="00425386" w:rsidRPr="00731644">
        <w:rPr>
          <w:lang w:val="fr-CH"/>
        </w:rPr>
        <w:t>’</w:t>
      </w:r>
      <w:r w:rsidR="00EB3940" w:rsidRPr="00731644">
        <w:rPr>
          <w:lang w:val="fr-CH"/>
        </w:rPr>
        <w:t xml:space="preserve">un groupe de </w:t>
      </w:r>
      <w:r w:rsidR="004C7BF6" w:rsidRPr="00731644">
        <w:rPr>
          <w:lang w:val="fr-CH"/>
        </w:rPr>
        <w:t>40 Rom</w:t>
      </w:r>
      <w:r w:rsidR="00EB3940" w:rsidRPr="00731644">
        <w:rPr>
          <w:lang w:val="fr-CH"/>
        </w:rPr>
        <w:t>s</w:t>
      </w:r>
      <w:r w:rsidR="004C7BF6" w:rsidRPr="00731644">
        <w:rPr>
          <w:lang w:val="fr-CH"/>
        </w:rPr>
        <w:t xml:space="preserve"> (</w:t>
      </w:r>
      <w:r w:rsidR="00EB3940" w:rsidRPr="00731644">
        <w:rPr>
          <w:lang w:val="fr-CH"/>
        </w:rPr>
        <w:t>hommes et femmes</w:t>
      </w:r>
      <w:r w:rsidR="004C7BF6" w:rsidRPr="00731644">
        <w:rPr>
          <w:lang w:val="fr-CH"/>
        </w:rPr>
        <w:t xml:space="preserve">) </w:t>
      </w:r>
      <w:r w:rsidR="00EB3940" w:rsidRPr="00731644">
        <w:rPr>
          <w:lang w:val="fr-CH"/>
        </w:rPr>
        <w:t>de</w:t>
      </w:r>
      <w:r w:rsidR="004C7BF6" w:rsidRPr="00731644">
        <w:rPr>
          <w:lang w:val="fr-CH"/>
        </w:rPr>
        <w:t xml:space="preserve"> Podgorica, </w:t>
      </w:r>
      <w:r w:rsidR="004E3951" w:rsidRPr="00731644">
        <w:rPr>
          <w:lang w:val="fr-CH"/>
        </w:rPr>
        <w:t>âgés de 15 à 35</w:t>
      </w:r>
      <w:r w:rsidR="00976D48">
        <w:rPr>
          <w:lang w:val="fr-CH"/>
        </w:rPr>
        <w:t> ans</w:t>
      </w:r>
      <w:r w:rsidR="004E3951" w:rsidRPr="00731644">
        <w:rPr>
          <w:lang w:val="fr-CH"/>
        </w:rPr>
        <w:t>, qui étaient analphabètes et qui n</w:t>
      </w:r>
      <w:r w:rsidR="00425386" w:rsidRPr="00731644">
        <w:rPr>
          <w:lang w:val="fr-CH"/>
        </w:rPr>
        <w:t>’</w:t>
      </w:r>
      <w:r w:rsidR="004E3951" w:rsidRPr="00731644">
        <w:rPr>
          <w:lang w:val="fr-CH"/>
        </w:rPr>
        <w:t>avaient pas fréquenté l</w:t>
      </w:r>
      <w:r w:rsidR="00425386" w:rsidRPr="00731644">
        <w:rPr>
          <w:lang w:val="fr-CH"/>
        </w:rPr>
        <w:t>’</w:t>
      </w:r>
      <w:r w:rsidR="004E3951" w:rsidRPr="00731644">
        <w:rPr>
          <w:lang w:val="fr-CH"/>
        </w:rPr>
        <w:t>école ou avaient fait moins de trois années d</w:t>
      </w:r>
      <w:r w:rsidR="00425386" w:rsidRPr="00731644">
        <w:rPr>
          <w:lang w:val="fr-CH"/>
        </w:rPr>
        <w:t>’</w:t>
      </w:r>
      <w:r w:rsidR="004E3951" w:rsidRPr="00731644">
        <w:rPr>
          <w:lang w:val="fr-CH"/>
        </w:rPr>
        <w:t>études primaires</w:t>
      </w:r>
      <w:r w:rsidR="004C7BF6" w:rsidRPr="00731644">
        <w:rPr>
          <w:lang w:val="fr-CH"/>
        </w:rPr>
        <w:t xml:space="preserve">. </w:t>
      </w:r>
      <w:r w:rsidR="004E3951" w:rsidRPr="00731644">
        <w:rPr>
          <w:lang w:val="fr-CH"/>
        </w:rPr>
        <w:t>L</w:t>
      </w:r>
      <w:r w:rsidR="00425386" w:rsidRPr="00731644">
        <w:rPr>
          <w:lang w:val="fr-CH"/>
        </w:rPr>
        <w:t>’</w:t>
      </w:r>
      <w:r w:rsidR="004E3951" w:rsidRPr="00731644">
        <w:rPr>
          <w:lang w:val="fr-CH"/>
        </w:rPr>
        <w:t>objectif était de donner aux bénéficiaires davantage de chances d</w:t>
      </w:r>
      <w:r w:rsidR="00425386" w:rsidRPr="00731644">
        <w:rPr>
          <w:lang w:val="fr-CH"/>
        </w:rPr>
        <w:t>’</w:t>
      </w:r>
      <w:r w:rsidR="004E3951" w:rsidRPr="00731644">
        <w:rPr>
          <w:lang w:val="fr-CH"/>
        </w:rPr>
        <w:t>obtenir un emploi plus stable et meilleur, et d</w:t>
      </w:r>
      <w:r w:rsidR="00425386" w:rsidRPr="00731644">
        <w:rPr>
          <w:lang w:val="fr-CH"/>
        </w:rPr>
        <w:t>’</w:t>
      </w:r>
      <w:r w:rsidR="004E3951" w:rsidRPr="00731644">
        <w:rPr>
          <w:lang w:val="fr-CH"/>
        </w:rPr>
        <w:t>assurer leur in</w:t>
      </w:r>
      <w:r w:rsidR="006A61DB" w:rsidRPr="00731644">
        <w:rPr>
          <w:lang w:val="fr-CH"/>
        </w:rPr>
        <w:t>sertion</w:t>
      </w:r>
      <w:r w:rsidR="004E3951" w:rsidRPr="00731644">
        <w:rPr>
          <w:lang w:val="fr-CH"/>
        </w:rPr>
        <w:t xml:space="preserve"> sociale.</w:t>
      </w:r>
    </w:p>
    <w:p w:rsidR="004C7BF6" w:rsidRPr="00731644" w:rsidRDefault="00655F5D" w:rsidP="004C7BF6">
      <w:pPr>
        <w:pStyle w:val="SingleTxtG"/>
        <w:rPr>
          <w:lang w:val="fr-CH"/>
        </w:rPr>
      </w:pPr>
      <w:r w:rsidRPr="00731644">
        <w:rPr>
          <w:lang w:val="fr-CH"/>
        </w:rPr>
        <w:t>257.</w:t>
      </w:r>
      <w:r w:rsidRPr="00731644">
        <w:rPr>
          <w:lang w:val="fr-CH"/>
        </w:rPr>
        <w:tab/>
      </w:r>
      <w:r w:rsidR="004E3951" w:rsidRPr="00731644">
        <w:rPr>
          <w:lang w:val="fr-CH"/>
        </w:rPr>
        <w:t>Le projet, qui visait à améliorer l</w:t>
      </w:r>
      <w:r w:rsidR="00425386" w:rsidRPr="00731644">
        <w:rPr>
          <w:lang w:val="fr-CH"/>
        </w:rPr>
        <w:t>’</w:t>
      </w:r>
      <w:r w:rsidR="004E3951" w:rsidRPr="00731644">
        <w:rPr>
          <w:lang w:val="fr-CH"/>
        </w:rPr>
        <w:t xml:space="preserve">intégration des Roms, </w:t>
      </w:r>
      <w:r w:rsidR="006A61DB" w:rsidRPr="00731644">
        <w:rPr>
          <w:lang w:val="fr-CH"/>
        </w:rPr>
        <w:t>d</w:t>
      </w:r>
      <w:r w:rsidR="004E3951" w:rsidRPr="00731644">
        <w:rPr>
          <w:lang w:val="fr-CH"/>
        </w:rPr>
        <w:t xml:space="preserve">es </w:t>
      </w:r>
      <w:r w:rsidR="002A5033" w:rsidRPr="00731644">
        <w:rPr>
          <w:lang w:val="fr-CH"/>
        </w:rPr>
        <w:t>Ashkali</w:t>
      </w:r>
      <w:r w:rsidR="004E3951" w:rsidRPr="00731644">
        <w:rPr>
          <w:lang w:val="fr-CH"/>
        </w:rPr>
        <w:t xml:space="preserve"> et </w:t>
      </w:r>
      <w:r w:rsidR="006A61DB" w:rsidRPr="00731644">
        <w:rPr>
          <w:lang w:val="fr-CH"/>
        </w:rPr>
        <w:t>des tziganes</w:t>
      </w:r>
      <w:r w:rsidR="00F31DD5" w:rsidRPr="00731644">
        <w:rPr>
          <w:lang w:val="fr-CH"/>
        </w:rPr>
        <w:t xml:space="preserve"> </w:t>
      </w:r>
      <w:r w:rsidR="004E3951" w:rsidRPr="00731644">
        <w:rPr>
          <w:lang w:val="fr-CH"/>
        </w:rPr>
        <w:t xml:space="preserve">dans les Balkans du </w:t>
      </w:r>
      <w:r w:rsidR="006A61DB" w:rsidRPr="00731644">
        <w:rPr>
          <w:lang w:val="fr-CH"/>
        </w:rPr>
        <w:t>S</w:t>
      </w:r>
      <w:r w:rsidR="004E3951" w:rsidRPr="00731644">
        <w:rPr>
          <w:lang w:val="fr-CH"/>
        </w:rPr>
        <w:t>ud-</w:t>
      </w:r>
      <w:r w:rsidR="006A61DB" w:rsidRPr="00731644">
        <w:rPr>
          <w:lang w:val="fr-CH"/>
        </w:rPr>
        <w:t>E</w:t>
      </w:r>
      <w:r w:rsidR="004E3951" w:rsidRPr="00731644">
        <w:rPr>
          <w:lang w:val="fr-CH"/>
        </w:rPr>
        <w:t xml:space="preserve">st, a été mené simultanément dans trois pays de la région – le Monténégro, la Macédoine et le </w:t>
      </w:r>
      <w:r w:rsidR="004C7BF6" w:rsidRPr="00731644">
        <w:rPr>
          <w:lang w:val="fr-CH"/>
        </w:rPr>
        <w:t>Kosovo.</w:t>
      </w:r>
    </w:p>
    <w:p w:rsidR="00BF200D" w:rsidRPr="00731644" w:rsidRDefault="00655F5D" w:rsidP="004C7BF6">
      <w:pPr>
        <w:pStyle w:val="SingleTxtG"/>
        <w:rPr>
          <w:lang w:val="fr-CH"/>
        </w:rPr>
      </w:pPr>
      <w:r w:rsidRPr="00731644">
        <w:rPr>
          <w:lang w:val="fr-CH"/>
        </w:rPr>
        <w:t>258.</w:t>
      </w:r>
      <w:r w:rsidRPr="00731644">
        <w:rPr>
          <w:lang w:val="fr-CH"/>
        </w:rPr>
        <w:tab/>
      </w:r>
      <w:r w:rsidR="008F5C6C" w:rsidRPr="00731644">
        <w:rPr>
          <w:lang w:val="fr-CH"/>
        </w:rPr>
        <w:t>Au terme de trois années d</w:t>
      </w:r>
      <w:r w:rsidR="00425386" w:rsidRPr="00731644">
        <w:rPr>
          <w:lang w:val="fr-CH"/>
        </w:rPr>
        <w:t>’</w:t>
      </w:r>
      <w:r w:rsidR="008F5C6C" w:rsidRPr="00731644">
        <w:rPr>
          <w:lang w:val="fr-CH"/>
        </w:rPr>
        <w:t xml:space="preserve">études primaires, les participants ont acquis </w:t>
      </w:r>
      <w:r w:rsidR="006A61DB" w:rsidRPr="00731644">
        <w:rPr>
          <w:lang w:val="fr-CH"/>
        </w:rPr>
        <w:t>l</w:t>
      </w:r>
      <w:r w:rsidR="008F5C6C" w:rsidRPr="00731644">
        <w:rPr>
          <w:lang w:val="fr-CH"/>
        </w:rPr>
        <w:t xml:space="preserve">es mécanismes </w:t>
      </w:r>
      <w:r w:rsidR="006A61DB" w:rsidRPr="00731644">
        <w:rPr>
          <w:lang w:val="fr-CH"/>
        </w:rPr>
        <w:t xml:space="preserve">élémentaires </w:t>
      </w:r>
      <w:r w:rsidR="008F5C6C" w:rsidRPr="00731644">
        <w:rPr>
          <w:lang w:val="fr-CH"/>
        </w:rPr>
        <w:t>de la lecture, de l</w:t>
      </w:r>
      <w:r w:rsidR="00425386" w:rsidRPr="00731644">
        <w:rPr>
          <w:lang w:val="fr-CH"/>
        </w:rPr>
        <w:t>’</w:t>
      </w:r>
      <w:r w:rsidR="008F5C6C" w:rsidRPr="00731644">
        <w:rPr>
          <w:lang w:val="fr-CH"/>
        </w:rPr>
        <w:t xml:space="preserve">écriture et du calcul, </w:t>
      </w:r>
      <w:r w:rsidR="006A61DB" w:rsidRPr="00731644">
        <w:rPr>
          <w:lang w:val="fr-CH"/>
        </w:rPr>
        <w:t xml:space="preserve">ce </w:t>
      </w:r>
      <w:r w:rsidR="008F5C6C" w:rsidRPr="00731644">
        <w:rPr>
          <w:lang w:val="fr-CH"/>
        </w:rPr>
        <w:t xml:space="preserve">qui leur permet de poursuivre leur qualification professionnelle en tirant parti des mesures de </w:t>
      </w:r>
      <w:r w:rsidR="00B97B0D" w:rsidRPr="00731644">
        <w:rPr>
          <w:lang w:val="fr-CH"/>
        </w:rPr>
        <w:t xml:space="preserve">la </w:t>
      </w:r>
      <w:r w:rsidR="008F5C6C" w:rsidRPr="00731644">
        <w:rPr>
          <w:lang w:val="fr-CH"/>
        </w:rPr>
        <w:t xml:space="preserve">politique </w:t>
      </w:r>
      <w:r w:rsidR="006A61DB" w:rsidRPr="00731644">
        <w:rPr>
          <w:lang w:val="fr-CH"/>
        </w:rPr>
        <w:t xml:space="preserve">dynamique </w:t>
      </w:r>
      <w:r w:rsidR="008F5C6C" w:rsidRPr="00731644">
        <w:rPr>
          <w:lang w:val="fr-CH"/>
        </w:rPr>
        <w:t>de l</w:t>
      </w:r>
      <w:r w:rsidR="00425386" w:rsidRPr="00731644">
        <w:rPr>
          <w:lang w:val="fr-CH"/>
        </w:rPr>
        <w:t>’</w:t>
      </w:r>
      <w:r w:rsidR="008F5C6C" w:rsidRPr="00731644">
        <w:rPr>
          <w:lang w:val="fr-CH"/>
        </w:rPr>
        <w:t xml:space="preserve">emploi </w:t>
      </w:r>
      <w:r w:rsidR="006A61DB" w:rsidRPr="00731644">
        <w:rPr>
          <w:lang w:val="fr-CH"/>
        </w:rPr>
        <w:t>appliquée par</w:t>
      </w:r>
      <w:r w:rsidR="008F5C6C" w:rsidRPr="00731644">
        <w:rPr>
          <w:lang w:val="fr-CH"/>
        </w:rPr>
        <w:t xml:space="preserve"> l</w:t>
      </w:r>
      <w:r w:rsidR="00425386" w:rsidRPr="00731644">
        <w:rPr>
          <w:lang w:val="fr-CH"/>
        </w:rPr>
        <w:t>’</w:t>
      </w:r>
      <w:r w:rsidR="008F5C6C" w:rsidRPr="00731644">
        <w:rPr>
          <w:lang w:val="fr-CH"/>
        </w:rPr>
        <w:t>Agence pour l</w:t>
      </w:r>
      <w:r w:rsidR="00425386" w:rsidRPr="00731644">
        <w:rPr>
          <w:lang w:val="fr-CH"/>
        </w:rPr>
        <w:t>’</w:t>
      </w:r>
      <w:r w:rsidR="008F5C6C" w:rsidRPr="00731644">
        <w:rPr>
          <w:lang w:val="fr-CH"/>
        </w:rPr>
        <w:t>emploi.</w:t>
      </w:r>
      <w:r w:rsidR="00F31DD5" w:rsidRPr="00731644">
        <w:rPr>
          <w:lang w:val="fr-CH"/>
        </w:rPr>
        <w:t xml:space="preserve"> </w:t>
      </w:r>
      <w:r w:rsidR="008F5C6C" w:rsidRPr="00731644">
        <w:rPr>
          <w:lang w:val="fr-CH"/>
        </w:rPr>
        <w:t>Le programme d</w:t>
      </w:r>
      <w:r w:rsidR="00425386" w:rsidRPr="00731644">
        <w:rPr>
          <w:lang w:val="fr-CH"/>
        </w:rPr>
        <w:t>’</w:t>
      </w:r>
      <w:r w:rsidR="008F5C6C" w:rsidRPr="00731644">
        <w:rPr>
          <w:lang w:val="fr-CH"/>
        </w:rPr>
        <w:t xml:space="preserve">alphabétisation fonctionnelle </w:t>
      </w:r>
      <w:r w:rsidR="00B97B0D" w:rsidRPr="00731644">
        <w:rPr>
          <w:lang w:val="fr-CH"/>
        </w:rPr>
        <w:t xml:space="preserve">inculque </w:t>
      </w:r>
      <w:r w:rsidR="008F5C6C" w:rsidRPr="00731644">
        <w:rPr>
          <w:lang w:val="fr-CH"/>
        </w:rPr>
        <w:t>aux participants</w:t>
      </w:r>
      <w:r w:rsidR="00F31DD5" w:rsidRPr="00731644">
        <w:rPr>
          <w:lang w:val="fr-CH"/>
        </w:rPr>
        <w:t xml:space="preserve"> </w:t>
      </w:r>
      <w:r w:rsidR="00B97B0D" w:rsidRPr="00731644">
        <w:rPr>
          <w:lang w:val="fr-CH"/>
        </w:rPr>
        <w:t xml:space="preserve">non seulement </w:t>
      </w:r>
      <w:r w:rsidR="00BF200D" w:rsidRPr="00731644">
        <w:rPr>
          <w:lang w:val="fr-CH"/>
        </w:rPr>
        <w:t xml:space="preserve">les </w:t>
      </w:r>
      <w:r w:rsidR="00B97B0D" w:rsidRPr="00731644">
        <w:rPr>
          <w:lang w:val="fr-CH"/>
        </w:rPr>
        <w:t>rudiments de la lecture, de l</w:t>
      </w:r>
      <w:r w:rsidR="00425386" w:rsidRPr="00731644">
        <w:rPr>
          <w:lang w:val="fr-CH"/>
        </w:rPr>
        <w:t>’</w:t>
      </w:r>
      <w:r w:rsidR="00B97B0D" w:rsidRPr="00731644">
        <w:rPr>
          <w:lang w:val="fr-CH"/>
        </w:rPr>
        <w:t>écriture et du calcul</w:t>
      </w:r>
      <w:r w:rsidR="00BF200D" w:rsidRPr="00731644">
        <w:rPr>
          <w:lang w:val="fr-CH"/>
        </w:rPr>
        <w:t>, mais aussi les savoir-faire et les connaissances nécessaires à la vie dans la société moderne. E</w:t>
      </w:r>
      <w:r w:rsidR="004C7BF6" w:rsidRPr="00731644">
        <w:rPr>
          <w:lang w:val="fr-CH"/>
        </w:rPr>
        <w:t>n 2009, 18</w:t>
      </w:r>
      <w:r w:rsidR="00CB7658" w:rsidRPr="00731644">
        <w:rPr>
          <w:lang w:val="fr-CH"/>
        </w:rPr>
        <w:t> personnes</w:t>
      </w:r>
      <w:r w:rsidR="00BF200D" w:rsidRPr="00731644">
        <w:rPr>
          <w:lang w:val="fr-CH"/>
        </w:rPr>
        <w:t xml:space="preserve"> ont suivi le programme en totalité et ont réussi l</w:t>
      </w:r>
      <w:r w:rsidR="00425386" w:rsidRPr="00731644">
        <w:rPr>
          <w:lang w:val="fr-CH"/>
        </w:rPr>
        <w:t>’</w:t>
      </w:r>
      <w:r w:rsidR="00BF200D" w:rsidRPr="00731644">
        <w:rPr>
          <w:lang w:val="fr-CH"/>
        </w:rPr>
        <w:t>examen</w:t>
      </w:r>
      <w:r w:rsidR="00F31DD5" w:rsidRPr="00731644">
        <w:rPr>
          <w:lang w:val="fr-CH"/>
        </w:rPr>
        <w:t>;</w:t>
      </w:r>
      <w:r w:rsidR="00BF200D" w:rsidRPr="00731644">
        <w:rPr>
          <w:lang w:val="fr-CH"/>
        </w:rPr>
        <w:t xml:space="preserve"> en 2010, </w:t>
      </w:r>
      <w:r w:rsidR="004C7BF6" w:rsidRPr="00731644">
        <w:rPr>
          <w:lang w:val="fr-CH"/>
        </w:rPr>
        <w:t>21</w:t>
      </w:r>
      <w:r w:rsidR="00CB7658" w:rsidRPr="00731644">
        <w:rPr>
          <w:lang w:val="fr-CH"/>
        </w:rPr>
        <w:t> personnes</w:t>
      </w:r>
      <w:r w:rsidR="004C7BF6" w:rsidRPr="00731644">
        <w:rPr>
          <w:lang w:val="fr-CH"/>
        </w:rPr>
        <w:t xml:space="preserve"> </w:t>
      </w:r>
      <w:r w:rsidR="00BF200D" w:rsidRPr="00731644">
        <w:rPr>
          <w:lang w:val="fr-CH"/>
        </w:rPr>
        <w:t>ont suivi le programme et</w:t>
      </w:r>
      <w:r w:rsidR="00B97B0D" w:rsidRPr="00731644">
        <w:rPr>
          <w:lang w:val="fr-CH"/>
        </w:rPr>
        <w:t xml:space="preserve"> </w:t>
      </w:r>
      <w:r w:rsidR="004C7BF6" w:rsidRPr="00731644">
        <w:rPr>
          <w:lang w:val="fr-CH"/>
        </w:rPr>
        <w:t xml:space="preserve">14 </w:t>
      </w:r>
      <w:r w:rsidR="00BF200D" w:rsidRPr="00731644">
        <w:rPr>
          <w:lang w:val="fr-CH"/>
        </w:rPr>
        <w:t xml:space="preserve">ont </w:t>
      </w:r>
      <w:r w:rsidR="00E42688" w:rsidRPr="00731644">
        <w:rPr>
          <w:lang w:val="fr-CH"/>
        </w:rPr>
        <w:t>réussi</w:t>
      </w:r>
      <w:r w:rsidR="00BF200D" w:rsidRPr="00731644">
        <w:rPr>
          <w:lang w:val="fr-CH"/>
        </w:rPr>
        <w:t xml:space="preserve"> l</w:t>
      </w:r>
      <w:r w:rsidR="00425386" w:rsidRPr="00731644">
        <w:rPr>
          <w:lang w:val="fr-CH"/>
        </w:rPr>
        <w:t>’</w:t>
      </w:r>
      <w:r w:rsidR="00BF200D" w:rsidRPr="00731644">
        <w:rPr>
          <w:lang w:val="fr-CH"/>
        </w:rPr>
        <w:t xml:space="preserve">examen. </w:t>
      </w:r>
    </w:p>
    <w:p w:rsidR="004C7BF6" w:rsidRPr="00731644" w:rsidRDefault="00655F5D" w:rsidP="004C7BF6">
      <w:pPr>
        <w:pStyle w:val="SingleTxtG"/>
        <w:rPr>
          <w:lang w:val="fr-CH"/>
        </w:rPr>
      </w:pPr>
      <w:r w:rsidRPr="00731644">
        <w:rPr>
          <w:lang w:val="fr-CH"/>
        </w:rPr>
        <w:t>259.</w:t>
      </w:r>
      <w:r w:rsidRPr="00731644">
        <w:rPr>
          <w:lang w:val="fr-CH"/>
        </w:rPr>
        <w:tab/>
      </w:r>
      <w:r w:rsidR="00BF200D" w:rsidRPr="00731644">
        <w:rPr>
          <w:lang w:val="fr-CH"/>
        </w:rPr>
        <w:t>En 2011, l</w:t>
      </w:r>
      <w:r w:rsidR="00425386" w:rsidRPr="00731644">
        <w:rPr>
          <w:lang w:val="fr-CH"/>
        </w:rPr>
        <w:t>’</w:t>
      </w:r>
      <w:r w:rsidR="00BF200D" w:rsidRPr="00731644">
        <w:rPr>
          <w:lang w:val="fr-CH"/>
        </w:rPr>
        <w:t>Agence pour l</w:t>
      </w:r>
      <w:r w:rsidR="00425386" w:rsidRPr="00731644">
        <w:rPr>
          <w:lang w:val="fr-CH"/>
        </w:rPr>
        <w:t>’</w:t>
      </w:r>
      <w:r w:rsidR="00BF200D" w:rsidRPr="00731644">
        <w:rPr>
          <w:lang w:val="fr-CH"/>
        </w:rPr>
        <w:t>emploi continue d</w:t>
      </w:r>
      <w:r w:rsidR="00425386" w:rsidRPr="00731644">
        <w:rPr>
          <w:lang w:val="fr-CH"/>
        </w:rPr>
        <w:t>’</w:t>
      </w:r>
      <w:r w:rsidR="00BF200D" w:rsidRPr="00731644">
        <w:rPr>
          <w:lang w:val="fr-CH"/>
        </w:rPr>
        <w:t>aid</w:t>
      </w:r>
      <w:r w:rsidR="00B97B0D" w:rsidRPr="00731644">
        <w:rPr>
          <w:lang w:val="fr-CH"/>
        </w:rPr>
        <w:t>e</w:t>
      </w:r>
      <w:r w:rsidR="00BF200D" w:rsidRPr="00731644">
        <w:rPr>
          <w:lang w:val="fr-CH"/>
        </w:rPr>
        <w:t>r des partenaires à appliquer des programmes d</w:t>
      </w:r>
      <w:r w:rsidR="00425386" w:rsidRPr="00731644">
        <w:rPr>
          <w:lang w:val="fr-CH"/>
        </w:rPr>
        <w:t>’</w:t>
      </w:r>
      <w:r w:rsidR="00BF200D" w:rsidRPr="00731644">
        <w:rPr>
          <w:lang w:val="fr-CH"/>
        </w:rPr>
        <w:t xml:space="preserve">alphabétisation fonctionnelle de Roms et </w:t>
      </w:r>
      <w:r w:rsidR="00B97B0D" w:rsidRPr="00731644">
        <w:rPr>
          <w:lang w:val="fr-CH"/>
        </w:rPr>
        <w:t>de t</w:t>
      </w:r>
      <w:r w:rsidR="00A95D03" w:rsidRPr="00731644">
        <w:rPr>
          <w:lang w:val="fr-CH"/>
        </w:rPr>
        <w:t>ziganes</w:t>
      </w:r>
      <w:r w:rsidR="00BF200D" w:rsidRPr="00731644">
        <w:rPr>
          <w:lang w:val="fr-CH"/>
        </w:rPr>
        <w:t xml:space="preserve"> inscrits sur la</w:t>
      </w:r>
      <w:r w:rsidR="00B97B0D" w:rsidRPr="00731644">
        <w:rPr>
          <w:lang w:val="fr-CH"/>
        </w:rPr>
        <w:t xml:space="preserve"> </w:t>
      </w:r>
      <w:r w:rsidR="00BF200D" w:rsidRPr="00731644">
        <w:rPr>
          <w:lang w:val="fr-CH"/>
        </w:rPr>
        <w:t>liste des demandeurs d</w:t>
      </w:r>
      <w:r w:rsidR="00425386" w:rsidRPr="00731644">
        <w:rPr>
          <w:lang w:val="fr-CH"/>
        </w:rPr>
        <w:t>’</w:t>
      </w:r>
      <w:r w:rsidR="00BF200D" w:rsidRPr="00731644">
        <w:rPr>
          <w:lang w:val="fr-CH"/>
        </w:rPr>
        <w:t>emploi.</w:t>
      </w:r>
      <w:r w:rsidR="00F31DD5" w:rsidRPr="00731644">
        <w:rPr>
          <w:lang w:val="fr-CH"/>
        </w:rPr>
        <w:t xml:space="preserve"> </w:t>
      </w:r>
    </w:p>
    <w:p w:rsidR="004C7BF6" w:rsidRPr="00731644" w:rsidRDefault="00BF200D" w:rsidP="00655F5D">
      <w:pPr>
        <w:pStyle w:val="H4G"/>
        <w:rPr>
          <w:lang w:val="fr-CH"/>
        </w:rPr>
      </w:pPr>
      <w:r w:rsidRPr="00731644">
        <w:rPr>
          <w:lang w:val="fr-CH"/>
        </w:rPr>
        <w:tab/>
      </w:r>
      <w:r w:rsidRPr="00731644">
        <w:rPr>
          <w:lang w:val="fr-CH"/>
        </w:rPr>
        <w:tab/>
      </w:r>
      <w:r w:rsidR="00A17E81" w:rsidRPr="00731644">
        <w:rPr>
          <w:lang w:val="fr-CH"/>
        </w:rPr>
        <w:t>Permettre</w:t>
      </w:r>
      <w:r w:rsidRPr="00731644">
        <w:rPr>
          <w:lang w:val="fr-CH"/>
        </w:rPr>
        <w:t xml:space="preserve"> aux Roms, </w:t>
      </w:r>
      <w:r w:rsidR="00B97B0D" w:rsidRPr="00731644">
        <w:rPr>
          <w:lang w:val="fr-CH"/>
        </w:rPr>
        <w:t>aux</w:t>
      </w:r>
      <w:r w:rsidRPr="00731644">
        <w:rPr>
          <w:lang w:val="fr-CH"/>
        </w:rPr>
        <w:t xml:space="preserve"> </w:t>
      </w:r>
      <w:r w:rsidR="002A5033" w:rsidRPr="00731644">
        <w:rPr>
          <w:lang w:val="fr-CH"/>
        </w:rPr>
        <w:t>Ashkali</w:t>
      </w:r>
      <w:r w:rsidRPr="00731644">
        <w:rPr>
          <w:lang w:val="fr-CH"/>
        </w:rPr>
        <w:t xml:space="preserve"> et </w:t>
      </w:r>
      <w:r w:rsidR="00B97B0D" w:rsidRPr="00731644">
        <w:rPr>
          <w:lang w:val="fr-CH"/>
        </w:rPr>
        <w:t>aux tziganes</w:t>
      </w:r>
      <w:r w:rsidRPr="00731644">
        <w:rPr>
          <w:lang w:val="fr-CH"/>
        </w:rPr>
        <w:t xml:space="preserve"> </w:t>
      </w:r>
      <w:r w:rsidR="00A17E81" w:rsidRPr="00731644">
        <w:rPr>
          <w:lang w:val="fr-CH"/>
        </w:rPr>
        <w:t>d</w:t>
      </w:r>
      <w:r w:rsidR="00425386" w:rsidRPr="00731644">
        <w:rPr>
          <w:lang w:val="fr-CH"/>
        </w:rPr>
        <w:t>’</w:t>
      </w:r>
      <w:r w:rsidR="00A17E81" w:rsidRPr="00731644">
        <w:rPr>
          <w:lang w:val="fr-CH"/>
        </w:rPr>
        <w:t>accéder aux emplois dans des conditions d</w:t>
      </w:r>
      <w:r w:rsidR="00425386" w:rsidRPr="00731644">
        <w:rPr>
          <w:lang w:val="fr-CH"/>
        </w:rPr>
        <w:t>’</w:t>
      </w:r>
      <w:r w:rsidR="00A17E81" w:rsidRPr="00731644">
        <w:rPr>
          <w:lang w:val="fr-CH"/>
        </w:rPr>
        <w:t xml:space="preserve">égalité avec </w:t>
      </w:r>
      <w:r w:rsidR="00CA4737" w:rsidRPr="00731644">
        <w:rPr>
          <w:lang w:val="fr-CH"/>
        </w:rPr>
        <w:t>l</w:t>
      </w:r>
      <w:r w:rsidR="00425386" w:rsidRPr="00731644">
        <w:rPr>
          <w:lang w:val="fr-CH"/>
        </w:rPr>
        <w:t>’</w:t>
      </w:r>
      <w:r w:rsidR="00CA4737" w:rsidRPr="00731644">
        <w:rPr>
          <w:lang w:val="fr-CH"/>
        </w:rPr>
        <w:t>ensemble</w:t>
      </w:r>
      <w:r w:rsidR="00A17E81" w:rsidRPr="00731644">
        <w:rPr>
          <w:lang w:val="fr-CH"/>
        </w:rPr>
        <w:t xml:space="preserve"> de la population </w:t>
      </w:r>
    </w:p>
    <w:p w:rsidR="004C7BF6" w:rsidRPr="00731644" w:rsidRDefault="00655F5D" w:rsidP="004C7BF6">
      <w:pPr>
        <w:pStyle w:val="SingleTxtG"/>
        <w:rPr>
          <w:lang w:val="fr-CH"/>
        </w:rPr>
      </w:pPr>
      <w:r w:rsidRPr="00731644">
        <w:rPr>
          <w:bCs/>
          <w:lang w:val="fr-CH"/>
        </w:rPr>
        <w:t>260.</w:t>
      </w:r>
      <w:r w:rsidRPr="00731644">
        <w:rPr>
          <w:bCs/>
          <w:lang w:val="fr-CH"/>
        </w:rPr>
        <w:tab/>
      </w:r>
      <w:r w:rsidR="00A81865" w:rsidRPr="00731644">
        <w:rPr>
          <w:bCs/>
          <w:lang w:val="fr-CH"/>
        </w:rPr>
        <w:t>L</w:t>
      </w:r>
      <w:r w:rsidR="00425386" w:rsidRPr="00731644">
        <w:rPr>
          <w:bCs/>
          <w:lang w:val="fr-CH"/>
        </w:rPr>
        <w:t>’</w:t>
      </w:r>
      <w:r w:rsidR="00A81865" w:rsidRPr="00731644">
        <w:rPr>
          <w:bCs/>
          <w:lang w:val="fr-CH"/>
        </w:rPr>
        <w:t>Agence pour l</w:t>
      </w:r>
      <w:r w:rsidR="00425386" w:rsidRPr="00731644">
        <w:rPr>
          <w:bCs/>
          <w:lang w:val="fr-CH"/>
        </w:rPr>
        <w:t>’</w:t>
      </w:r>
      <w:r w:rsidR="00A81865" w:rsidRPr="00731644">
        <w:rPr>
          <w:bCs/>
          <w:lang w:val="fr-CH"/>
        </w:rPr>
        <w:t xml:space="preserve">emploi, </w:t>
      </w:r>
      <w:r w:rsidR="007F4E38" w:rsidRPr="00731644">
        <w:rPr>
          <w:bCs/>
          <w:lang w:val="fr-CH"/>
        </w:rPr>
        <w:t xml:space="preserve">après avoir répondu à </w:t>
      </w:r>
      <w:r w:rsidR="00A81865" w:rsidRPr="00731644">
        <w:rPr>
          <w:bCs/>
          <w:lang w:val="fr-CH"/>
        </w:rPr>
        <w:t xml:space="preserve">un </w:t>
      </w:r>
      <w:r w:rsidR="007F4E38" w:rsidRPr="00731644">
        <w:rPr>
          <w:bCs/>
          <w:lang w:val="fr-CH"/>
        </w:rPr>
        <w:t>appel à projets</w:t>
      </w:r>
      <w:r w:rsidR="00A81865" w:rsidRPr="00731644">
        <w:rPr>
          <w:bCs/>
          <w:lang w:val="fr-CH"/>
        </w:rPr>
        <w:t xml:space="preserve"> émis en mars </w:t>
      </w:r>
      <w:r w:rsidR="004C7BF6" w:rsidRPr="00731644">
        <w:rPr>
          <w:bCs/>
          <w:lang w:val="fr-CH"/>
        </w:rPr>
        <w:t xml:space="preserve">2010 </w:t>
      </w:r>
      <w:r w:rsidR="00A81865" w:rsidRPr="00731644">
        <w:rPr>
          <w:bCs/>
          <w:lang w:val="fr-CH"/>
        </w:rPr>
        <w:t>par le Ministère des droits</w:t>
      </w:r>
      <w:r w:rsidR="007F4E38" w:rsidRPr="00731644">
        <w:rPr>
          <w:bCs/>
          <w:lang w:val="fr-CH"/>
        </w:rPr>
        <w:t xml:space="preserve"> </w:t>
      </w:r>
      <w:r w:rsidR="00A81865" w:rsidRPr="00731644">
        <w:rPr>
          <w:bCs/>
          <w:lang w:val="fr-CH"/>
        </w:rPr>
        <w:t>de l</w:t>
      </w:r>
      <w:r w:rsidR="00425386" w:rsidRPr="00731644">
        <w:rPr>
          <w:bCs/>
          <w:lang w:val="fr-CH"/>
        </w:rPr>
        <w:t>’</w:t>
      </w:r>
      <w:r w:rsidR="00A81865" w:rsidRPr="00731644">
        <w:rPr>
          <w:bCs/>
          <w:lang w:val="fr-CH"/>
        </w:rPr>
        <w:t xml:space="preserve">homme et des minorités en vue de la </w:t>
      </w:r>
      <w:r w:rsidR="007F4E38" w:rsidRPr="00731644">
        <w:rPr>
          <w:bCs/>
          <w:lang w:val="fr-CH"/>
        </w:rPr>
        <w:t>réalisation d</w:t>
      </w:r>
      <w:r w:rsidR="00425386" w:rsidRPr="00731644">
        <w:rPr>
          <w:bCs/>
          <w:lang w:val="fr-CH"/>
        </w:rPr>
        <w:t>’</w:t>
      </w:r>
      <w:r w:rsidR="007F4E38" w:rsidRPr="00731644">
        <w:rPr>
          <w:bCs/>
          <w:lang w:val="fr-CH"/>
        </w:rPr>
        <w:t>activités</w:t>
      </w:r>
      <w:r w:rsidR="00F31DD5" w:rsidRPr="00731644">
        <w:rPr>
          <w:bCs/>
          <w:lang w:val="fr-CH"/>
        </w:rPr>
        <w:t xml:space="preserve"> </w:t>
      </w:r>
      <w:r w:rsidR="00A81865" w:rsidRPr="00731644">
        <w:rPr>
          <w:bCs/>
          <w:lang w:val="fr-CH"/>
        </w:rPr>
        <w:t>conform</w:t>
      </w:r>
      <w:r w:rsidR="007F4E38" w:rsidRPr="00731644">
        <w:rPr>
          <w:bCs/>
          <w:lang w:val="fr-CH"/>
        </w:rPr>
        <w:t>es</w:t>
      </w:r>
      <w:r w:rsidR="00A81865" w:rsidRPr="00731644">
        <w:rPr>
          <w:bCs/>
          <w:lang w:val="fr-CH"/>
        </w:rPr>
        <w:t xml:space="preserve"> à la Stratégie </w:t>
      </w:r>
      <w:r w:rsidR="007F4E38" w:rsidRPr="00731644">
        <w:rPr>
          <w:bCs/>
          <w:lang w:val="fr-CH"/>
        </w:rPr>
        <w:t>d</w:t>
      </w:r>
      <w:r w:rsidR="00425386" w:rsidRPr="00731644">
        <w:rPr>
          <w:bCs/>
          <w:lang w:val="fr-CH"/>
        </w:rPr>
        <w:t>’</w:t>
      </w:r>
      <w:r w:rsidR="00A81865" w:rsidRPr="00731644">
        <w:rPr>
          <w:bCs/>
          <w:lang w:val="fr-CH"/>
        </w:rPr>
        <w:t>amélior</w:t>
      </w:r>
      <w:r w:rsidR="00B97B0D" w:rsidRPr="00731644">
        <w:rPr>
          <w:bCs/>
          <w:lang w:val="fr-CH"/>
        </w:rPr>
        <w:t>a</w:t>
      </w:r>
      <w:r w:rsidR="00A81865" w:rsidRPr="00731644">
        <w:rPr>
          <w:bCs/>
          <w:lang w:val="fr-CH"/>
        </w:rPr>
        <w:t xml:space="preserve">tion de la situation des Roms, </w:t>
      </w:r>
      <w:r w:rsidR="00B97B0D" w:rsidRPr="00731644">
        <w:rPr>
          <w:bCs/>
          <w:lang w:val="fr-CH"/>
        </w:rPr>
        <w:t>d</w:t>
      </w:r>
      <w:r w:rsidR="00A81865" w:rsidRPr="00731644">
        <w:rPr>
          <w:bCs/>
          <w:lang w:val="fr-CH"/>
        </w:rPr>
        <w:t xml:space="preserve">es </w:t>
      </w:r>
      <w:r w:rsidR="002A5033" w:rsidRPr="00731644">
        <w:rPr>
          <w:bCs/>
          <w:lang w:val="fr-CH"/>
        </w:rPr>
        <w:t>Ashkali</w:t>
      </w:r>
      <w:r w:rsidR="00A81865" w:rsidRPr="00731644">
        <w:rPr>
          <w:bCs/>
          <w:lang w:val="fr-CH"/>
        </w:rPr>
        <w:t xml:space="preserve"> et </w:t>
      </w:r>
      <w:r w:rsidR="00B97B0D" w:rsidRPr="00731644">
        <w:rPr>
          <w:bCs/>
          <w:lang w:val="fr-CH"/>
        </w:rPr>
        <w:t>des tziganes</w:t>
      </w:r>
      <w:r w:rsidR="00A81865" w:rsidRPr="00731644">
        <w:rPr>
          <w:bCs/>
          <w:lang w:val="fr-CH"/>
        </w:rPr>
        <w:t xml:space="preserve"> au Monténégro </w:t>
      </w:r>
      <w:r w:rsidR="004C7BF6" w:rsidRPr="00731644">
        <w:rPr>
          <w:bCs/>
          <w:lang w:val="fr-CH"/>
        </w:rPr>
        <w:t xml:space="preserve">2008-2012, </w:t>
      </w:r>
      <w:r w:rsidR="00A81865" w:rsidRPr="00731644">
        <w:rPr>
          <w:bCs/>
          <w:lang w:val="fr-CH"/>
        </w:rPr>
        <w:t xml:space="preserve">a reçu des fonds pour la réalisation du projet </w:t>
      </w:r>
      <w:r w:rsidR="002061AB">
        <w:rPr>
          <w:bCs/>
          <w:lang w:val="fr-CH"/>
        </w:rPr>
        <w:t>«</w:t>
      </w:r>
      <w:r w:rsidR="00A81865" w:rsidRPr="00731644">
        <w:rPr>
          <w:lang w:val="fr-CH"/>
        </w:rPr>
        <w:t xml:space="preserve">Permettre aux Roms, </w:t>
      </w:r>
      <w:r w:rsidR="007F4E38" w:rsidRPr="00731644">
        <w:rPr>
          <w:lang w:val="fr-CH"/>
        </w:rPr>
        <w:t>aux</w:t>
      </w:r>
      <w:r w:rsidR="00A81865" w:rsidRPr="00731644">
        <w:rPr>
          <w:lang w:val="fr-CH"/>
        </w:rPr>
        <w:t xml:space="preserve"> </w:t>
      </w:r>
      <w:r w:rsidR="002A5033" w:rsidRPr="00731644">
        <w:rPr>
          <w:lang w:val="fr-CH"/>
        </w:rPr>
        <w:t>Ashkali</w:t>
      </w:r>
      <w:r w:rsidR="00A81865" w:rsidRPr="00731644">
        <w:rPr>
          <w:lang w:val="fr-CH"/>
        </w:rPr>
        <w:t xml:space="preserve"> et </w:t>
      </w:r>
      <w:r w:rsidR="007F4E38" w:rsidRPr="00731644">
        <w:rPr>
          <w:lang w:val="fr-CH"/>
        </w:rPr>
        <w:t>aux tziganes</w:t>
      </w:r>
      <w:r w:rsidR="00A81865" w:rsidRPr="00731644">
        <w:rPr>
          <w:lang w:val="fr-CH"/>
        </w:rPr>
        <w:t xml:space="preserve"> d</w:t>
      </w:r>
      <w:r w:rsidR="00425386" w:rsidRPr="00731644">
        <w:rPr>
          <w:lang w:val="fr-CH"/>
        </w:rPr>
        <w:t>’</w:t>
      </w:r>
      <w:r w:rsidR="00A81865" w:rsidRPr="00731644">
        <w:rPr>
          <w:lang w:val="fr-CH"/>
        </w:rPr>
        <w:t>accéder aux emplois dans des conditions d</w:t>
      </w:r>
      <w:r w:rsidR="00425386" w:rsidRPr="00731644">
        <w:rPr>
          <w:lang w:val="fr-CH"/>
        </w:rPr>
        <w:t>’</w:t>
      </w:r>
      <w:r w:rsidR="00A81865" w:rsidRPr="00731644">
        <w:rPr>
          <w:lang w:val="fr-CH"/>
        </w:rPr>
        <w:t xml:space="preserve">égalité avec </w:t>
      </w:r>
      <w:r w:rsidR="00E42688" w:rsidRPr="00731644">
        <w:rPr>
          <w:lang w:val="fr-CH"/>
        </w:rPr>
        <w:t>l</w:t>
      </w:r>
      <w:r w:rsidR="00425386" w:rsidRPr="00731644">
        <w:rPr>
          <w:lang w:val="fr-CH"/>
        </w:rPr>
        <w:t>’</w:t>
      </w:r>
      <w:r w:rsidR="00E42688" w:rsidRPr="00731644">
        <w:rPr>
          <w:lang w:val="fr-CH"/>
        </w:rPr>
        <w:t>ensemble</w:t>
      </w:r>
      <w:r w:rsidR="00A81865" w:rsidRPr="00731644">
        <w:rPr>
          <w:lang w:val="fr-CH"/>
        </w:rPr>
        <w:t xml:space="preserve"> de la population</w:t>
      </w:r>
      <w:r w:rsidR="002061AB">
        <w:rPr>
          <w:bCs/>
          <w:lang w:val="fr-CH"/>
        </w:rPr>
        <w:t>»</w:t>
      </w:r>
      <w:r w:rsidR="004C7BF6" w:rsidRPr="00731644">
        <w:rPr>
          <w:bCs/>
          <w:lang w:val="fr-CH"/>
        </w:rPr>
        <w:t xml:space="preserve">. </w:t>
      </w:r>
      <w:r w:rsidR="00A81865" w:rsidRPr="00731644">
        <w:rPr>
          <w:bCs/>
          <w:lang w:val="fr-CH"/>
        </w:rPr>
        <w:t>Entrepris le 1</w:t>
      </w:r>
      <w:r w:rsidR="00A81865" w:rsidRPr="00731644">
        <w:rPr>
          <w:bCs/>
          <w:vertAlign w:val="superscript"/>
          <w:lang w:val="fr-CH"/>
        </w:rPr>
        <w:t>er</w:t>
      </w:r>
      <w:r w:rsidR="00A81865" w:rsidRPr="00731644">
        <w:rPr>
          <w:bCs/>
          <w:lang w:val="fr-CH"/>
        </w:rPr>
        <w:t xml:space="preserve"> septembre </w:t>
      </w:r>
      <w:r w:rsidR="004C7BF6" w:rsidRPr="00731644">
        <w:rPr>
          <w:bCs/>
          <w:lang w:val="fr-CH"/>
        </w:rPr>
        <w:t>2010</w:t>
      </w:r>
      <w:r w:rsidR="00A81865" w:rsidRPr="00731644">
        <w:rPr>
          <w:bCs/>
          <w:lang w:val="fr-CH"/>
        </w:rPr>
        <w:t xml:space="preserve">, le projet </w:t>
      </w:r>
      <w:r w:rsidR="007F4E38" w:rsidRPr="00731644">
        <w:rPr>
          <w:bCs/>
          <w:lang w:val="fr-CH"/>
        </w:rPr>
        <w:t>s</w:t>
      </w:r>
      <w:r w:rsidR="00425386" w:rsidRPr="00731644">
        <w:rPr>
          <w:bCs/>
          <w:lang w:val="fr-CH"/>
        </w:rPr>
        <w:t>’</w:t>
      </w:r>
      <w:r w:rsidR="007F4E38" w:rsidRPr="00731644">
        <w:rPr>
          <w:bCs/>
          <w:lang w:val="fr-CH"/>
        </w:rPr>
        <w:t>est terminé</w:t>
      </w:r>
      <w:r w:rsidR="00A81865" w:rsidRPr="00731644">
        <w:rPr>
          <w:bCs/>
          <w:lang w:val="fr-CH"/>
        </w:rPr>
        <w:t xml:space="preserve"> le 1</w:t>
      </w:r>
      <w:r w:rsidR="00E42688" w:rsidRPr="00731644">
        <w:rPr>
          <w:bCs/>
          <w:vertAlign w:val="superscript"/>
          <w:lang w:val="fr-CH"/>
        </w:rPr>
        <w:t>er</w:t>
      </w:r>
      <w:r w:rsidR="00E42688" w:rsidRPr="00731644">
        <w:rPr>
          <w:bCs/>
          <w:lang w:val="fr-CH"/>
        </w:rPr>
        <w:t xml:space="preserve"> </w:t>
      </w:r>
      <w:r w:rsidR="00A81865" w:rsidRPr="00731644">
        <w:rPr>
          <w:bCs/>
          <w:lang w:val="fr-CH"/>
        </w:rPr>
        <w:t>avril</w:t>
      </w:r>
      <w:r w:rsidR="00F31DD5" w:rsidRPr="00731644">
        <w:rPr>
          <w:bCs/>
          <w:lang w:val="fr-CH"/>
        </w:rPr>
        <w:t xml:space="preserve"> </w:t>
      </w:r>
      <w:r w:rsidR="004C7BF6" w:rsidRPr="00731644">
        <w:rPr>
          <w:bCs/>
          <w:lang w:val="fr-CH"/>
        </w:rPr>
        <w:t>2011.</w:t>
      </w:r>
    </w:p>
    <w:p w:rsidR="004C7BF6" w:rsidRPr="00731644" w:rsidRDefault="00655F5D" w:rsidP="004C7BF6">
      <w:pPr>
        <w:pStyle w:val="SingleTxtG"/>
        <w:rPr>
          <w:lang w:val="fr-CH"/>
        </w:rPr>
      </w:pPr>
      <w:r w:rsidRPr="00731644">
        <w:rPr>
          <w:lang w:val="fr-CH"/>
        </w:rPr>
        <w:t>261.</w:t>
      </w:r>
      <w:r w:rsidRPr="00731644">
        <w:rPr>
          <w:lang w:val="fr-CH"/>
        </w:rPr>
        <w:tab/>
      </w:r>
      <w:r w:rsidR="007F4E38" w:rsidRPr="00731644">
        <w:rPr>
          <w:lang w:val="fr-CH"/>
        </w:rPr>
        <w:t>L</w:t>
      </w:r>
      <w:r w:rsidR="00A81865" w:rsidRPr="00731644">
        <w:rPr>
          <w:lang w:val="fr-CH"/>
        </w:rPr>
        <w:t xml:space="preserve">es activités tendaient à faire participer </w:t>
      </w:r>
      <w:r w:rsidR="00B569C5" w:rsidRPr="00731644">
        <w:rPr>
          <w:lang w:val="fr-CH"/>
        </w:rPr>
        <w:t>des personnes</w:t>
      </w:r>
      <w:r w:rsidR="00A81865" w:rsidRPr="00731644">
        <w:rPr>
          <w:lang w:val="fr-CH"/>
        </w:rPr>
        <w:t xml:space="preserve"> inscrites sur les listes des bureaux pour l</w:t>
      </w:r>
      <w:r w:rsidR="00425386" w:rsidRPr="00731644">
        <w:rPr>
          <w:lang w:val="fr-CH"/>
        </w:rPr>
        <w:t>’</w:t>
      </w:r>
      <w:r w:rsidR="00A81865" w:rsidRPr="00731644">
        <w:rPr>
          <w:lang w:val="fr-CH"/>
        </w:rPr>
        <w:t>emploi à des programmes de qualification</w:t>
      </w:r>
      <w:r w:rsidR="00F31DD5" w:rsidRPr="00731644">
        <w:rPr>
          <w:lang w:val="fr-CH"/>
        </w:rPr>
        <w:t xml:space="preserve"> </w:t>
      </w:r>
      <w:r w:rsidR="00D0296B" w:rsidRPr="00731644">
        <w:rPr>
          <w:lang w:val="fr-CH"/>
        </w:rPr>
        <w:t>pour un premier emploi, afin d</w:t>
      </w:r>
      <w:r w:rsidR="00425386" w:rsidRPr="00731644">
        <w:rPr>
          <w:lang w:val="fr-CH"/>
        </w:rPr>
        <w:t>’</w:t>
      </w:r>
      <w:r w:rsidR="00D0296B" w:rsidRPr="00731644">
        <w:rPr>
          <w:lang w:val="fr-CH"/>
        </w:rPr>
        <w:t>accroître leur employabilité et d</w:t>
      </w:r>
      <w:r w:rsidR="00425386" w:rsidRPr="00731644">
        <w:rPr>
          <w:lang w:val="fr-CH"/>
        </w:rPr>
        <w:t>’</w:t>
      </w:r>
      <w:r w:rsidR="00D0296B" w:rsidRPr="00731644">
        <w:rPr>
          <w:lang w:val="fr-CH"/>
        </w:rPr>
        <w:t xml:space="preserve">assurer la cohésion sociale </w:t>
      </w:r>
      <w:r w:rsidR="007F4E38" w:rsidRPr="00731644">
        <w:rPr>
          <w:lang w:val="fr-CH"/>
        </w:rPr>
        <w:t>ainsi qu</w:t>
      </w:r>
      <w:r w:rsidR="00425386" w:rsidRPr="00731644">
        <w:rPr>
          <w:lang w:val="fr-CH"/>
        </w:rPr>
        <w:t>’</w:t>
      </w:r>
      <w:r w:rsidR="00D0296B" w:rsidRPr="00731644">
        <w:rPr>
          <w:lang w:val="fr-CH"/>
        </w:rPr>
        <w:t>un développement social durable. Aux fins de l</w:t>
      </w:r>
      <w:r w:rsidR="00425386" w:rsidRPr="00731644">
        <w:rPr>
          <w:lang w:val="fr-CH"/>
        </w:rPr>
        <w:t>’</w:t>
      </w:r>
      <w:r w:rsidR="00D0296B" w:rsidRPr="00731644">
        <w:rPr>
          <w:lang w:val="fr-CH"/>
        </w:rPr>
        <w:t xml:space="preserve">inclusion sociale ont été inscrites aux programmes de formation, outre </w:t>
      </w:r>
      <w:r w:rsidR="00E42688" w:rsidRPr="00731644">
        <w:rPr>
          <w:lang w:val="fr-CH"/>
        </w:rPr>
        <w:t>d</w:t>
      </w:r>
      <w:r w:rsidR="00D0296B" w:rsidRPr="00731644">
        <w:rPr>
          <w:lang w:val="fr-CH"/>
        </w:rPr>
        <w:t xml:space="preserve">es Roms, </w:t>
      </w:r>
      <w:r w:rsidR="00E42688" w:rsidRPr="00731644">
        <w:rPr>
          <w:lang w:val="fr-CH"/>
        </w:rPr>
        <w:t>d</w:t>
      </w:r>
      <w:r w:rsidR="00D0296B" w:rsidRPr="00731644">
        <w:rPr>
          <w:lang w:val="fr-CH"/>
        </w:rPr>
        <w:t xml:space="preserve">es </w:t>
      </w:r>
      <w:r w:rsidR="002A5033" w:rsidRPr="00731644">
        <w:rPr>
          <w:lang w:val="fr-CH"/>
        </w:rPr>
        <w:t>Ashkali</w:t>
      </w:r>
      <w:r w:rsidR="00D0296B" w:rsidRPr="00731644">
        <w:rPr>
          <w:lang w:val="fr-CH"/>
        </w:rPr>
        <w:t xml:space="preserve"> et </w:t>
      </w:r>
      <w:r w:rsidR="00E42688" w:rsidRPr="00731644">
        <w:rPr>
          <w:lang w:val="fr-CH"/>
        </w:rPr>
        <w:t>d</w:t>
      </w:r>
      <w:r w:rsidR="00D0296B" w:rsidRPr="00731644">
        <w:rPr>
          <w:lang w:val="fr-CH"/>
        </w:rPr>
        <w:t xml:space="preserve">es </w:t>
      </w:r>
      <w:r w:rsidR="007F4E38" w:rsidRPr="00731644">
        <w:rPr>
          <w:lang w:val="fr-CH"/>
        </w:rPr>
        <w:t>tziganes</w:t>
      </w:r>
      <w:r w:rsidR="00D0296B" w:rsidRPr="00731644">
        <w:rPr>
          <w:lang w:val="fr-CH"/>
        </w:rPr>
        <w:t>,</w:t>
      </w:r>
      <w:r w:rsidR="00F31DD5" w:rsidRPr="00731644">
        <w:rPr>
          <w:lang w:val="fr-CH"/>
        </w:rPr>
        <w:t xml:space="preserve"> </w:t>
      </w:r>
      <w:r w:rsidR="00B569C5" w:rsidRPr="00731644">
        <w:rPr>
          <w:lang w:val="fr-CH"/>
        </w:rPr>
        <w:t>des personnes</w:t>
      </w:r>
      <w:r w:rsidR="00D0296B" w:rsidRPr="00731644">
        <w:rPr>
          <w:lang w:val="fr-CH"/>
        </w:rPr>
        <w:t xml:space="preserve"> n</w:t>
      </w:r>
      <w:r w:rsidR="00425386" w:rsidRPr="00731644">
        <w:rPr>
          <w:lang w:val="fr-CH"/>
        </w:rPr>
        <w:t>’</w:t>
      </w:r>
      <w:r w:rsidR="00D0296B" w:rsidRPr="00731644">
        <w:rPr>
          <w:lang w:val="fr-CH"/>
        </w:rPr>
        <w:t>appartenant pas à la minorité ethnique rom</w:t>
      </w:r>
      <w:r w:rsidR="004C7BF6" w:rsidRPr="00731644">
        <w:rPr>
          <w:lang w:val="fr-CH"/>
        </w:rPr>
        <w:t>.</w:t>
      </w:r>
    </w:p>
    <w:p w:rsidR="004C7BF6" w:rsidRPr="00731644" w:rsidRDefault="00655F5D" w:rsidP="004C7BF6">
      <w:pPr>
        <w:pStyle w:val="SingleTxtG"/>
        <w:rPr>
          <w:lang w:val="fr-CH"/>
        </w:rPr>
      </w:pPr>
      <w:r w:rsidRPr="00731644">
        <w:rPr>
          <w:lang w:val="fr-CH"/>
        </w:rPr>
        <w:t>262.</w:t>
      </w:r>
      <w:r w:rsidRPr="00731644">
        <w:rPr>
          <w:lang w:val="fr-CH"/>
        </w:rPr>
        <w:tab/>
      </w:r>
      <w:r w:rsidR="00445088" w:rsidRPr="00731644">
        <w:rPr>
          <w:lang w:val="fr-CH"/>
        </w:rPr>
        <w:t>L</w:t>
      </w:r>
      <w:r w:rsidR="00D0296B" w:rsidRPr="00731644">
        <w:rPr>
          <w:lang w:val="fr-CH"/>
        </w:rPr>
        <w:t>es critères fixés étaient</w:t>
      </w:r>
      <w:r w:rsidR="00F31DD5" w:rsidRPr="00731644">
        <w:rPr>
          <w:lang w:val="fr-CH"/>
        </w:rPr>
        <w:t>:</w:t>
      </w:r>
      <w:r w:rsidR="00D0296B" w:rsidRPr="00731644">
        <w:rPr>
          <w:lang w:val="fr-CH"/>
        </w:rPr>
        <w:t xml:space="preserve"> une </w:t>
      </w:r>
      <w:r w:rsidR="00A332AD" w:rsidRPr="00731644">
        <w:rPr>
          <w:lang w:val="fr-CH"/>
        </w:rPr>
        <w:t>représentation</w:t>
      </w:r>
      <w:r w:rsidR="00D0296B" w:rsidRPr="00731644">
        <w:rPr>
          <w:lang w:val="fr-CH"/>
        </w:rPr>
        <w:t xml:space="preserve"> égale des hommes et des femmes, la constitution de groupes mixtes de participants </w:t>
      </w:r>
      <w:r w:rsidR="004C7BF6" w:rsidRPr="00731644">
        <w:rPr>
          <w:lang w:val="fr-CH"/>
        </w:rPr>
        <w:t>(</w:t>
      </w:r>
      <w:r w:rsidR="00D0296B" w:rsidRPr="00731644">
        <w:rPr>
          <w:lang w:val="fr-CH"/>
        </w:rPr>
        <w:t>r</w:t>
      </w:r>
      <w:r w:rsidR="004C7BF6" w:rsidRPr="00731644">
        <w:rPr>
          <w:lang w:val="fr-CH"/>
        </w:rPr>
        <w:t>om</w:t>
      </w:r>
      <w:r w:rsidR="00D0296B" w:rsidRPr="00731644">
        <w:rPr>
          <w:lang w:val="fr-CH"/>
        </w:rPr>
        <w:t>s et non roms)</w:t>
      </w:r>
      <w:r w:rsidR="00445088" w:rsidRPr="00731644">
        <w:rPr>
          <w:lang w:val="fr-CH"/>
        </w:rPr>
        <w:t xml:space="preserve"> aux fins de l</w:t>
      </w:r>
      <w:r w:rsidR="00425386" w:rsidRPr="00731644">
        <w:rPr>
          <w:lang w:val="fr-CH"/>
        </w:rPr>
        <w:t>’</w:t>
      </w:r>
      <w:r w:rsidR="00445088" w:rsidRPr="00731644">
        <w:rPr>
          <w:lang w:val="fr-CH"/>
        </w:rPr>
        <w:t>intégration</w:t>
      </w:r>
      <w:r w:rsidR="00D0296B" w:rsidRPr="00731644">
        <w:rPr>
          <w:lang w:val="fr-CH"/>
        </w:rPr>
        <w:t xml:space="preserve">, et </w:t>
      </w:r>
      <w:r w:rsidR="002D62AB" w:rsidRPr="00731644">
        <w:rPr>
          <w:lang w:val="fr-CH"/>
        </w:rPr>
        <w:t>la représentation d</w:t>
      </w:r>
      <w:r w:rsidR="00425386" w:rsidRPr="00731644">
        <w:rPr>
          <w:lang w:val="fr-CH"/>
        </w:rPr>
        <w:t>’</w:t>
      </w:r>
      <w:r w:rsidR="002D62AB" w:rsidRPr="00731644">
        <w:rPr>
          <w:lang w:val="fr-CH"/>
        </w:rPr>
        <w:t>un certain nombre de villes</w:t>
      </w:r>
      <w:r w:rsidR="00D0296B" w:rsidRPr="00731644">
        <w:rPr>
          <w:lang w:val="fr-CH"/>
        </w:rPr>
        <w:t xml:space="preserve"> </w:t>
      </w:r>
      <w:r w:rsidR="004C7BF6" w:rsidRPr="00731644">
        <w:rPr>
          <w:lang w:val="fr-CH"/>
        </w:rPr>
        <w:t xml:space="preserve">(Bijelo Polje, Niksic, Podgorica, Herceg Novi). </w:t>
      </w:r>
      <w:r w:rsidR="002D62AB" w:rsidRPr="00731644">
        <w:rPr>
          <w:lang w:val="fr-CH"/>
        </w:rPr>
        <w:t>Les responsables du</w:t>
      </w:r>
      <w:r w:rsidR="00F31DD5" w:rsidRPr="00731644">
        <w:rPr>
          <w:lang w:val="fr-CH"/>
        </w:rPr>
        <w:t xml:space="preserve"> </w:t>
      </w:r>
      <w:r w:rsidR="002D62AB" w:rsidRPr="00731644">
        <w:rPr>
          <w:lang w:val="fr-CH"/>
        </w:rPr>
        <w:t>projet prévoyaient qu</w:t>
      </w:r>
      <w:r w:rsidR="00425386" w:rsidRPr="00731644">
        <w:rPr>
          <w:lang w:val="fr-CH"/>
        </w:rPr>
        <w:t>’</w:t>
      </w:r>
      <w:r w:rsidR="002D62AB" w:rsidRPr="00731644">
        <w:rPr>
          <w:lang w:val="fr-CH"/>
        </w:rPr>
        <w:t>au moins 30</w:t>
      </w:r>
      <w:r w:rsidR="006443F6" w:rsidRPr="00731644">
        <w:rPr>
          <w:lang w:val="fr-CH"/>
        </w:rPr>
        <w:t>%</w:t>
      </w:r>
      <w:r w:rsidR="002D62AB" w:rsidRPr="00731644">
        <w:rPr>
          <w:lang w:val="fr-CH"/>
        </w:rPr>
        <w:t xml:space="preserve"> des participants trouveraient un emploi. Un certain nombre d</w:t>
      </w:r>
      <w:r w:rsidR="00425386" w:rsidRPr="00731644">
        <w:rPr>
          <w:lang w:val="fr-CH"/>
        </w:rPr>
        <w:t>’</w:t>
      </w:r>
      <w:r w:rsidR="002D62AB" w:rsidRPr="00731644">
        <w:rPr>
          <w:lang w:val="fr-CH"/>
        </w:rPr>
        <w:t xml:space="preserve">employeurs, prêts à former des participants et à les engager dans leur entreprise une fois </w:t>
      </w:r>
      <w:r w:rsidR="00445088" w:rsidRPr="00731644">
        <w:rPr>
          <w:lang w:val="fr-CH"/>
        </w:rPr>
        <w:t>qu</w:t>
      </w:r>
      <w:r w:rsidR="00425386" w:rsidRPr="00731644">
        <w:rPr>
          <w:lang w:val="fr-CH"/>
        </w:rPr>
        <w:t>’</w:t>
      </w:r>
      <w:r w:rsidR="00E42688" w:rsidRPr="00731644">
        <w:rPr>
          <w:lang w:val="fr-CH"/>
        </w:rPr>
        <w:t>ils</w:t>
      </w:r>
      <w:r w:rsidR="002D62AB" w:rsidRPr="00731644">
        <w:rPr>
          <w:lang w:val="fr-CH"/>
        </w:rPr>
        <w:t xml:space="preserve"> auraient obtenu leur qualification, ont été choisis. La sélection s</w:t>
      </w:r>
      <w:r w:rsidR="00425386" w:rsidRPr="00731644">
        <w:rPr>
          <w:lang w:val="fr-CH"/>
        </w:rPr>
        <w:t>’</w:t>
      </w:r>
      <w:r w:rsidR="002D62AB" w:rsidRPr="00731644">
        <w:rPr>
          <w:lang w:val="fr-CH"/>
        </w:rPr>
        <w:t xml:space="preserve">est faite </w:t>
      </w:r>
      <w:r w:rsidR="00445088" w:rsidRPr="00731644">
        <w:rPr>
          <w:lang w:val="fr-CH"/>
        </w:rPr>
        <w:t>à partir</w:t>
      </w:r>
      <w:r w:rsidR="002D62AB" w:rsidRPr="00731644">
        <w:rPr>
          <w:lang w:val="fr-CH"/>
        </w:rPr>
        <w:t xml:space="preserve"> des résultats de l</w:t>
      </w:r>
      <w:r w:rsidR="00425386" w:rsidRPr="00731644">
        <w:rPr>
          <w:lang w:val="fr-CH"/>
        </w:rPr>
        <w:t>’</w:t>
      </w:r>
      <w:r w:rsidR="002D62AB" w:rsidRPr="00731644">
        <w:rPr>
          <w:lang w:val="fr-CH"/>
        </w:rPr>
        <w:t xml:space="preserve">enquête </w:t>
      </w:r>
      <w:r w:rsidR="00445088" w:rsidRPr="00731644">
        <w:rPr>
          <w:lang w:val="fr-CH"/>
        </w:rPr>
        <w:t xml:space="preserve">menée </w:t>
      </w:r>
      <w:r w:rsidR="002D62AB" w:rsidRPr="00731644">
        <w:rPr>
          <w:lang w:val="fr-CH"/>
        </w:rPr>
        <w:t xml:space="preserve">en </w:t>
      </w:r>
      <w:r w:rsidR="004C7BF6" w:rsidRPr="00731644">
        <w:rPr>
          <w:lang w:val="fr-CH"/>
        </w:rPr>
        <w:t>2009/2010</w:t>
      </w:r>
      <w:r w:rsidR="002D62AB" w:rsidRPr="00731644">
        <w:rPr>
          <w:lang w:val="fr-CH"/>
        </w:rPr>
        <w:t xml:space="preserve"> auprès des employeurs, dont certains avaient ré</w:t>
      </w:r>
      <w:r w:rsidR="003037C5" w:rsidRPr="00731644">
        <w:rPr>
          <w:lang w:val="fr-CH"/>
        </w:rPr>
        <w:t>agi</w:t>
      </w:r>
      <w:r w:rsidR="002D62AB" w:rsidRPr="00731644">
        <w:rPr>
          <w:lang w:val="fr-CH"/>
        </w:rPr>
        <w:t xml:space="preserve"> favorablement </w:t>
      </w:r>
      <w:r w:rsidR="003037C5" w:rsidRPr="00731644">
        <w:rPr>
          <w:lang w:val="fr-CH"/>
        </w:rPr>
        <w:t xml:space="preserve">aux observations relatives à la nécessité </w:t>
      </w:r>
      <w:r w:rsidR="00445088" w:rsidRPr="00731644">
        <w:rPr>
          <w:lang w:val="fr-CH"/>
        </w:rPr>
        <w:t xml:space="preserve">de recruter </w:t>
      </w:r>
      <w:r w:rsidR="003037C5" w:rsidRPr="00731644">
        <w:rPr>
          <w:lang w:val="fr-CH"/>
        </w:rPr>
        <w:t xml:space="preserve">des Roms, </w:t>
      </w:r>
      <w:r w:rsidR="00445088" w:rsidRPr="00731644">
        <w:rPr>
          <w:lang w:val="fr-CH"/>
        </w:rPr>
        <w:t>d</w:t>
      </w:r>
      <w:r w:rsidR="003037C5" w:rsidRPr="00731644">
        <w:rPr>
          <w:lang w:val="fr-CH"/>
        </w:rPr>
        <w:t xml:space="preserve">es </w:t>
      </w:r>
      <w:r w:rsidR="002A5033" w:rsidRPr="00731644">
        <w:rPr>
          <w:lang w:val="fr-CH"/>
        </w:rPr>
        <w:t>Ashkali</w:t>
      </w:r>
      <w:r w:rsidR="003037C5" w:rsidRPr="00731644">
        <w:rPr>
          <w:lang w:val="fr-CH"/>
        </w:rPr>
        <w:t xml:space="preserve"> et </w:t>
      </w:r>
      <w:r w:rsidR="00445088" w:rsidRPr="00731644">
        <w:rPr>
          <w:lang w:val="fr-CH"/>
        </w:rPr>
        <w:t>des tziganes à</w:t>
      </w:r>
      <w:r w:rsidR="003037C5" w:rsidRPr="00731644">
        <w:rPr>
          <w:lang w:val="fr-CH"/>
        </w:rPr>
        <w:t xml:space="preserve"> certains postes</w:t>
      </w:r>
      <w:r w:rsidR="004C7BF6" w:rsidRPr="00731644">
        <w:rPr>
          <w:lang w:val="fr-CH"/>
        </w:rPr>
        <w:t>.</w:t>
      </w:r>
    </w:p>
    <w:p w:rsidR="004C7BF6" w:rsidRPr="00731644" w:rsidRDefault="00655F5D" w:rsidP="004C7BF6">
      <w:pPr>
        <w:pStyle w:val="SingleTxtG"/>
        <w:rPr>
          <w:lang w:val="fr-CH"/>
        </w:rPr>
      </w:pPr>
      <w:r w:rsidRPr="00731644">
        <w:rPr>
          <w:lang w:val="fr-CH"/>
        </w:rPr>
        <w:t>263.</w:t>
      </w:r>
      <w:r w:rsidRPr="00731644">
        <w:rPr>
          <w:lang w:val="fr-CH"/>
        </w:rPr>
        <w:tab/>
      </w:r>
      <w:r w:rsidR="00036257" w:rsidRPr="00731644">
        <w:rPr>
          <w:lang w:val="fr-CH"/>
        </w:rPr>
        <w:t>Cinquante-cinq</w:t>
      </w:r>
      <w:r w:rsidR="00CB7658" w:rsidRPr="00731644">
        <w:rPr>
          <w:lang w:val="fr-CH"/>
        </w:rPr>
        <w:t> personnes</w:t>
      </w:r>
      <w:r w:rsidR="003037C5" w:rsidRPr="00731644">
        <w:rPr>
          <w:lang w:val="fr-CH"/>
        </w:rPr>
        <w:t xml:space="preserve"> </w:t>
      </w:r>
      <w:r w:rsidR="00036257" w:rsidRPr="00731644">
        <w:rPr>
          <w:lang w:val="fr-CH"/>
        </w:rPr>
        <w:t>o</w:t>
      </w:r>
      <w:r w:rsidR="003037C5" w:rsidRPr="00731644">
        <w:rPr>
          <w:lang w:val="fr-CH"/>
        </w:rPr>
        <w:t>nt participé au programme de qualification</w:t>
      </w:r>
      <w:r w:rsidR="00F31DD5" w:rsidRPr="00731644">
        <w:rPr>
          <w:lang w:val="fr-CH"/>
        </w:rPr>
        <w:t>;</w:t>
      </w:r>
      <w:r w:rsidR="004C7BF6" w:rsidRPr="00731644">
        <w:rPr>
          <w:lang w:val="fr-CH"/>
        </w:rPr>
        <w:t xml:space="preserve"> 48 </w:t>
      </w:r>
      <w:r w:rsidR="00036257" w:rsidRPr="00731644">
        <w:rPr>
          <w:lang w:val="fr-CH"/>
        </w:rPr>
        <w:t>d</w:t>
      </w:r>
      <w:r w:rsidR="00425386" w:rsidRPr="00731644">
        <w:rPr>
          <w:lang w:val="fr-CH"/>
        </w:rPr>
        <w:t>’</w:t>
      </w:r>
      <w:r w:rsidR="00036257" w:rsidRPr="00731644">
        <w:rPr>
          <w:lang w:val="fr-CH"/>
        </w:rPr>
        <w:t>entre elles (dont 19 femmes , soit</w:t>
      </w:r>
      <w:r w:rsidR="00F31DD5" w:rsidRPr="00731644">
        <w:rPr>
          <w:lang w:val="fr-CH"/>
        </w:rPr>
        <w:t xml:space="preserve"> </w:t>
      </w:r>
      <w:r w:rsidR="00036257" w:rsidRPr="00731644">
        <w:rPr>
          <w:lang w:val="fr-CH"/>
        </w:rPr>
        <w:t>39,5</w:t>
      </w:r>
      <w:r w:rsidR="006443F6" w:rsidRPr="00731644">
        <w:rPr>
          <w:lang w:val="fr-CH"/>
        </w:rPr>
        <w:t>%</w:t>
      </w:r>
      <w:r w:rsidR="00036257" w:rsidRPr="00731644">
        <w:rPr>
          <w:lang w:val="fr-CH"/>
        </w:rPr>
        <w:t xml:space="preserve">) </w:t>
      </w:r>
      <w:r w:rsidR="003037C5" w:rsidRPr="00731644">
        <w:rPr>
          <w:lang w:val="fr-CH"/>
        </w:rPr>
        <w:t xml:space="preserve">étaient des Roms, des </w:t>
      </w:r>
      <w:r w:rsidR="002A5033" w:rsidRPr="00731644">
        <w:rPr>
          <w:lang w:val="fr-CH"/>
        </w:rPr>
        <w:t>Ashkali</w:t>
      </w:r>
      <w:r w:rsidR="003037C5" w:rsidRPr="00731644">
        <w:rPr>
          <w:lang w:val="fr-CH"/>
        </w:rPr>
        <w:t xml:space="preserve"> ou des </w:t>
      </w:r>
      <w:r w:rsidR="00445088" w:rsidRPr="00731644">
        <w:rPr>
          <w:lang w:val="fr-CH"/>
        </w:rPr>
        <w:t>tziganes</w:t>
      </w:r>
      <w:r w:rsidR="00036257" w:rsidRPr="00731644">
        <w:rPr>
          <w:lang w:val="fr-CH"/>
        </w:rPr>
        <w:t xml:space="preserve"> qui ont été formés </w:t>
      </w:r>
      <w:r w:rsidR="00683558" w:rsidRPr="00731644">
        <w:rPr>
          <w:lang w:val="fr-CH"/>
        </w:rPr>
        <w:t xml:space="preserve">à travailler comme </w:t>
      </w:r>
      <w:r w:rsidR="00036257" w:rsidRPr="00731644">
        <w:rPr>
          <w:lang w:val="fr-CH"/>
        </w:rPr>
        <w:t>employé</w:t>
      </w:r>
      <w:r w:rsidR="009B2A38" w:rsidRPr="00731644">
        <w:rPr>
          <w:lang w:val="fr-CH"/>
        </w:rPr>
        <w:t>(</w:t>
      </w:r>
      <w:r w:rsidR="00036257" w:rsidRPr="00731644">
        <w:rPr>
          <w:lang w:val="fr-CH"/>
        </w:rPr>
        <w:t>e</w:t>
      </w:r>
      <w:r w:rsidR="009B2A38" w:rsidRPr="00731644">
        <w:rPr>
          <w:lang w:val="fr-CH"/>
        </w:rPr>
        <w:t>)</w:t>
      </w:r>
      <w:r w:rsidR="00036257" w:rsidRPr="00731644">
        <w:rPr>
          <w:lang w:val="fr-CH"/>
        </w:rPr>
        <w:t xml:space="preserve">s de maison, </w:t>
      </w:r>
      <w:r w:rsidR="009B2A38" w:rsidRPr="00731644">
        <w:rPr>
          <w:lang w:val="fr-CH"/>
        </w:rPr>
        <w:t xml:space="preserve">agents de </w:t>
      </w:r>
      <w:r w:rsidR="00A332AD" w:rsidRPr="00731644">
        <w:rPr>
          <w:lang w:val="fr-CH"/>
        </w:rPr>
        <w:t>propreté</w:t>
      </w:r>
      <w:r w:rsidR="009B2A38" w:rsidRPr="00731644">
        <w:rPr>
          <w:lang w:val="fr-CH"/>
        </w:rPr>
        <w:t>, agents d</w:t>
      </w:r>
      <w:r w:rsidR="00425386" w:rsidRPr="00731644">
        <w:rPr>
          <w:lang w:val="fr-CH"/>
        </w:rPr>
        <w:t>’</w:t>
      </w:r>
      <w:r w:rsidR="009B2A38" w:rsidRPr="00731644">
        <w:rPr>
          <w:lang w:val="fr-CH"/>
        </w:rPr>
        <w:t>hygiène de services collectifs,</w:t>
      </w:r>
      <w:r w:rsidR="004C7BF6" w:rsidRPr="00731644">
        <w:rPr>
          <w:lang w:val="fr-CH"/>
        </w:rPr>
        <w:t xml:space="preserve"> </w:t>
      </w:r>
      <w:r w:rsidR="00036257" w:rsidRPr="00731644">
        <w:rPr>
          <w:lang w:val="fr-CH"/>
        </w:rPr>
        <w:t>carreleur</w:t>
      </w:r>
      <w:r w:rsidR="00683558" w:rsidRPr="00731644">
        <w:rPr>
          <w:lang w:val="fr-CH"/>
        </w:rPr>
        <w:t>s</w:t>
      </w:r>
      <w:r w:rsidR="00036257" w:rsidRPr="00731644">
        <w:rPr>
          <w:lang w:val="fr-CH"/>
        </w:rPr>
        <w:t xml:space="preserve"> et</w:t>
      </w:r>
      <w:r w:rsidR="004C7BF6" w:rsidRPr="00731644">
        <w:rPr>
          <w:lang w:val="fr-CH"/>
        </w:rPr>
        <w:t xml:space="preserve"> a</w:t>
      </w:r>
      <w:r w:rsidR="009B2A38" w:rsidRPr="00731644">
        <w:rPr>
          <w:lang w:val="fr-CH"/>
        </w:rPr>
        <w:t xml:space="preserve">ides </w:t>
      </w:r>
      <w:r w:rsidR="00036257" w:rsidRPr="00731644">
        <w:rPr>
          <w:lang w:val="fr-CH"/>
        </w:rPr>
        <w:t>ouvrier</w:t>
      </w:r>
      <w:r w:rsidR="009B2A38" w:rsidRPr="00731644">
        <w:rPr>
          <w:lang w:val="fr-CH"/>
        </w:rPr>
        <w:t>s</w:t>
      </w:r>
      <w:r w:rsidR="00036257" w:rsidRPr="00731644">
        <w:rPr>
          <w:lang w:val="fr-CH"/>
        </w:rPr>
        <w:t xml:space="preserve"> agricol</w:t>
      </w:r>
      <w:r w:rsidR="009B2A38" w:rsidRPr="00731644">
        <w:rPr>
          <w:lang w:val="fr-CH"/>
        </w:rPr>
        <w:t>es</w:t>
      </w:r>
      <w:r w:rsidR="00261D5D" w:rsidRPr="00731644">
        <w:rPr>
          <w:lang w:val="fr-CH"/>
        </w:rPr>
        <w:t xml:space="preserve"> dans</w:t>
      </w:r>
      <w:r w:rsidR="00F31DD5" w:rsidRPr="00731644">
        <w:rPr>
          <w:lang w:val="fr-CH"/>
        </w:rPr>
        <w:t xml:space="preserve"> </w:t>
      </w:r>
      <w:r w:rsidR="00261D5D" w:rsidRPr="00731644">
        <w:rPr>
          <w:lang w:val="fr-CH"/>
        </w:rPr>
        <w:t>les vergers et les vignobles</w:t>
      </w:r>
      <w:r w:rsidR="004C7BF6" w:rsidRPr="00731644">
        <w:rPr>
          <w:lang w:val="fr-CH"/>
        </w:rPr>
        <w:t xml:space="preserve">. </w:t>
      </w:r>
      <w:r w:rsidR="00261D5D" w:rsidRPr="00731644">
        <w:rPr>
          <w:lang w:val="fr-CH"/>
        </w:rPr>
        <w:t xml:space="preserve">Outre que dix-huit </w:t>
      </w:r>
      <w:r w:rsidR="00B569C5" w:rsidRPr="00731644">
        <w:rPr>
          <w:lang w:val="fr-CH"/>
        </w:rPr>
        <w:t>des personnes</w:t>
      </w:r>
      <w:r w:rsidR="00261D5D" w:rsidRPr="00731644">
        <w:rPr>
          <w:lang w:val="fr-CH"/>
        </w:rPr>
        <w:t xml:space="preserve"> formées (soit 32</w:t>
      </w:r>
      <w:r w:rsidR="006443F6" w:rsidRPr="00731644">
        <w:rPr>
          <w:lang w:val="fr-CH"/>
        </w:rPr>
        <w:t>%</w:t>
      </w:r>
      <w:r w:rsidR="00261D5D" w:rsidRPr="00731644">
        <w:rPr>
          <w:lang w:val="fr-CH"/>
        </w:rPr>
        <w:t xml:space="preserve">) ont trouvé un emploi, le projet a contribué à </w:t>
      </w:r>
      <w:r w:rsidR="00683558" w:rsidRPr="00731644">
        <w:rPr>
          <w:lang w:val="fr-CH"/>
        </w:rPr>
        <w:t>encourager</w:t>
      </w:r>
      <w:r w:rsidR="00261D5D" w:rsidRPr="00731644">
        <w:rPr>
          <w:lang w:val="fr-CH"/>
        </w:rPr>
        <w:t xml:space="preserve"> les employeurs à </w:t>
      </w:r>
      <w:r w:rsidR="009B2A38" w:rsidRPr="00731644">
        <w:rPr>
          <w:lang w:val="fr-CH"/>
        </w:rPr>
        <w:t>embauch</w:t>
      </w:r>
      <w:r w:rsidR="00261D5D" w:rsidRPr="00731644">
        <w:rPr>
          <w:lang w:val="fr-CH"/>
        </w:rPr>
        <w:t xml:space="preserve">er des Roms, </w:t>
      </w:r>
      <w:r w:rsidR="008F2D7B" w:rsidRPr="00731644">
        <w:rPr>
          <w:lang w:val="fr-CH"/>
        </w:rPr>
        <w:t>d</w:t>
      </w:r>
      <w:r w:rsidR="00261D5D" w:rsidRPr="00731644">
        <w:rPr>
          <w:lang w:val="fr-CH"/>
        </w:rPr>
        <w:t xml:space="preserve">es </w:t>
      </w:r>
      <w:r w:rsidR="002A5033" w:rsidRPr="00731644">
        <w:rPr>
          <w:lang w:val="fr-CH"/>
        </w:rPr>
        <w:t>Ashkali</w:t>
      </w:r>
      <w:r w:rsidR="00261D5D" w:rsidRPr="00731644">
        <w:rPr>
          <w:lang w:val="fr-CH"/>
        </w:rPr>
        <w:t xml:space="preserve"> et </w:t>
      </w:r>
      <w:r w:rsidR="008F2D7B" w:rsidRPr="00731644">
        <w:rPr>
          <w:lang w:val="fr-CH"/>
        </w:rPr>
        <w:t>d</w:t>
      </w:r>
      <w:r w:rsidR="00261D5D" w:rsidRPr="00731644">
        <w:rPr>
          <w:lang w:val="fr-CH"/>
        </w:rPr>
        <w:t xml:space="preserve">es </w:t>
      </w:r>
      <w:r w:rsidR="009B2A38" w:rsidRPr="00731644">
        <w:rPr>
          <w:lang w:val="fr-CH"/>
        </w:rPr>
        <w:t>tzigane</w:t>
      </w:r>
      <w:r w:rsidR="00261D5D" w:rsidRPr="00731644">
        <w:rPr>
          <w:lang w:val="fr-CH"/>
        </w:rPr>
        <w:t>s, à prévenir la</w:t>
      </w:r>
      <w:r w:rsidR="00F31DD5" w:rsidRPr="00731644">
        <w:rPr>
          <w:lang w:val="fr-CH"/>
        </w:rPr>
        <w:t xml:space="preserve"> </w:t>
      </w:r>
      <w:r w:rsidR="004C7BF6" w:rsidRPr="00731644">
        <w:rPr>
          <w:lang w:val="fr-CH"/>
        </w:rPr>
        <w:t>discrimination</w:t>
      </w:r>
      <w:r w:rsidR="00261D5D" w:rsidRPr="00731644">
        <w:rPr>
          <w:lang w:val="fr-CH"/>
        </w:rPr>
        <w:t>, à instaurer l</w:t>
      </w:r>
      <w:r w:rsidR="00425386" w:rsidRPr="00731644">
        <w:rPr>
          <w:lang w:val="fr-CH"/>
        </w:rPr>
        <w:t>’</w:t>
      </w:r>
      <w:r w:rsidR="00261D5D" w:rsidRPr="00731644">
        <w:rPr>
          <w:lang w:val="fr-CH"/>
        </w:rPr>
        <w:t>égali</w:t>
      </w:r>
      <w:r w:rsidR="009B2A38" w:rsidRPr="00731644">
        <w:rPr>
          <w:lang w:val="fr-CH"/>
        </w:rPr>
        <w:t>té d</w:t>
      </w:r>
      <w:r w:rsidR="00425386" w:rsidRPr="00731644">
        <w:rPr>
          <w:lang w:val="fr-CH"/>
        </w:rPr>
        <w:t>’</w:t>
      </w:r>
      <w:r w:rsidR="009B2A38" w:rsidRPr="00731644">
        <w:rPr>
          <w:lang w:val="fr-CH"/>
        </w:rPr>
        <w:t>accès au marché du travail</w:t>
      </w:r>
      <w:r w:rsidR="00261D5D" w:rsidRPr="00731644">
        <w:rPr>
          <w:lang w:val="fr-CH"/>
        </w:rPr>
        <w:t xml:space="preserve"> et à créer un partenariat social.</w:t>
      </w:r>
      <w:r w:rsidR="00F31DD5" w:rsidRPr="00731644">
        <w:rPr>
          <w:lang w:val="fr-CH"/>
        </w:rPr>
        <w:t xml:space="preserve"> </w:t>
      </w:r>
    </w:p>
    <w:p w:rsidR="004C7BF6" w:rsidRPr="00731644" w:rsidRDefault="00261D5D" w:rsidP="00655F5D">
      <w:pPr>
        <w:pStyle w:val="H4G"/>
        <w:rPr>
          <w:lang w:val="fr-CH"/>
        </w:rPr>
      </w:pPr>
      <w:r w:rsidRPr="00731644">
        <w:rPr>
          <w:lang w:val="fr-CH"/>
        </w:rPr>
        <w:tab/>
      </w:r>
      <w:r w:rsidRPr="00731644">
        <w:rPr>
          <w:lang w:val="fr-CH"/>
        </w:rPr>
        <w:tab/>
      </w:r>
      <w:r w:rsidR="001745F0" w:rsidRPr="00731644">
        <w:rPr>
          <w:lang w:val="fr-CH"/>
        </w:rPr>
        <w:t xml:space="preserve">Incitation des employeurs à </w:t>
      </w:r>
      <w:r w:rsidR="00A332AD" w:rsidRPr="00731644">
        <w:rPr>
          <w:lang w:val="fr-CH"/>
        </w:rPr>
        <w:t>embaucher</w:t>
      </w:r>
      <w:r w:rsidR="001745F0" w:rsidRPr="00731644">
        <w:rPr>
          <w:lang w:val="fr-CH"/>
        </w:rPr>
        <w:t xml:space="preserve"> des Roms, </w:t>
      </w:r>
      <w:r w:rsidR="009B2A38" w:rsidRPr="00731644">
        <w:rPr>
          <w:lang w:val="fr-CH"/>
        </w:rPr>
        <w:t>d</w:t>
      </w:r>
      <w:r w:rsidR="001745F0" w:rsidRPr="00731644">
        <w:rPr>
          <w:lang w:val="fr-CH"/>
        </w:rPr>
        <w:t xml:space="preserve">es </w:t>
      </w:r>
      <w:r w:rsidR="002A5033" w:rsidRPr="00731644">
        <w:rPr>
          <w:lang w:val="fr-CH"/>
        </w:rPr>
        <w:t>Ashkali</w:t>
      </w:r>
      <w:r w:rsidR="001745F0" w:rsidRPr="00731644">
        <w:rPr>
          <w:lang w:val="fr-CH"/>
        </w:rPr>
        <w:t xml:space="preserve"> et </w:t>
      </w:r>
      <w:r w:rsidR="009B2A38" w:rsidRPr="00731644">
        <w:rPr>
          <w:lang w:val="fr-CH"/>
        </w:rPr>
        <w:t>d</w:t>
      </w:r>
      <w:r w:rsidR="001745F0" w:rsidRPr="00731644">
        <w:rPr>
          <w:lang w:val="fr-CH"/>
        </w:rPr>
        <w:t xml:space="preserve">es </w:t>
      </w:r>
      <w:r w:rsidR="009B2A38" w:rsidRPr="00731644">
        <w:rPr>
          <w:lang w:val="fr-CH"/>
        </w:rPr>
        <w:t>tziganes</w:t>
      </w:r>
    </w:p>
    <w:p w:rsidR="0064526E" w:rsidRPr="00731644" w:rsidRDefault="00655F5D" w:rsidP="004C7BF6">
      <w:pPr>
        <w:pStyle w:val="SingleTxtG"/>
        <w:rPr>
          <w:lang w:val="fr-CH"/>
        </w:rPr>
      </w:pPr>
      <w:r w:rsidRPr="00731644">
        <w:rPr>
          <w:lang w:val="fr-CH"/>
        </w:rPr>
        <w:t>264.</w:t>
      </w:r>
      <w:r w:rsidRPr="00731644">
        <w:rPr>
          <w:lang w:val="fr-CH"/>
        </w:rPr>
        <w:tab/>
      </w:r>
      <w:r w:rsidR="0064526E" w:rsidRPr="00731644">
        <w:rPr>
          <w:lang w:val="fr-CH"/>
        </w:rPr>
        <w:t>L</w:t>
      </w:r>
      <w:r w:rsidR="00425386" w:rsidRPr="00731644">
        <w:rPr>
          <w:lang w:val="fr-CH"/>
        </w:rPr>
        <w:t>’</w:t>
      </w:r>
      <w:r w:rsidR="0064526E" w:rsidRPr="00731644">
        <w:rPr>
          <w:lang w:val="fr-CH"/>
        </w:rPr>
        <w:t>Agence pour l</w:t>
      </w:r>
      <w:r w:rsidR="00425386" w:rsidRPr="00731644">
        <w:rPr>
          <w:lang w:val="fr-CH"/>
        </w:rPr>
        <w:t>’</w:t>
      </w:r>
      <w:r w:rsidR="0064526E" w:rsidRPr="00731644">
        <w:rPr>
          <w:lang w:val="fr-CH"/>
        </w:rPr>
        <w:t>emploi veille tout particulièrement à coopérer avec les employeurs en vue du recrutement de Roms et d</w:t>
      </w:r>
      <w:r w:rsidR="009B2A38" w:rsidRPr="00731644">
        <w:rPr>
          <w:lang w:val="fr-CH"/>
        </w:rPr>
        <w:t>e tziganes</w:t>
      </w:r>
      <w:r w:rsidR="0064526E" w:rsidRPr="00731644">
        <w:rPr>
          <w:lang w:val="fr-CH"/>
        </w:rPr>
        <w:t>. À cette fin, elle intervient, dans la mesure du possible et conformément aux principes de l</w:t>
      </w:r>
      <w:r w:rsidR="00425386" w:rsidRPr="00731644">
        <w:rPr>
          <w:lang w:val="fr-CH"/>
        </w:rPr>
        <w:t>’</w:t>
      </w:r>
      <w:r w:rsidR="0064526E" w:rsidRPr="00731644">
        <w:rPr>
          <w:lang w:val="fr-CH"/>
        </w:rPr>
        <w:t xml:space="preserve">action positive, </w:t>
      </w:r>
      <w:r w:rsidR="009B2A38" w:rsidRPr="00731644">
        <w:rPr>
          <w:lang w:val="fr-CH"/>
        </w:rPr>
        <w:t>afin de</w:t>
      </w:r>
      <w:r w:rsidR="0064526E" w:rsidRPr="00731644">
        <w:rPr>
          <w:lang w:val="fr-CH"/>
        </w:rPr>
        <w:t xml:space="preserve"> trouver des emplois, du travail saisonnier et des postes dans des travaux d</w:t>
      </w:r>
      <w:r w:rsidR="00425386" w:rsidRPr="00731644">
        <w:rPr>
          <w:lang w:val="fr-CH"/>
        </w:rPr>
        <w:t>’</w:t>
      </w:r>
      <w:r w:rsidR="0064526E" w:rsidRPr="00731644">
        <w:rPr>
          <w:lang w:val="fr-CH"/>
        </w:rPr>
        <w:t xml:space="preserve">intérêt public pour </w:t>
      </w:r>
      <w:r w:rsidR="00CB7658" w:rsidRPr="00731644">
        <w:rPr>
          <w:lang w:val="fr-CH"/>
        </w:rPr>
        <w:t>les personnes</w:t>
      </w:r>
      <w:r w:rsidR="0064526E" w:rsidRPr="00731644">
        <w:rPr>
          <w:lang w:val="fr-CH"/>
        </w:rPr>
        <w:t xml:space="preserve"> qui ont </w:t>
      </w:r>
      <w:r w:rsidR="00967FE8" w:rsidRPr="00731644">
        <w:rPr>
          <w:lang w:val="fr-CH"/>
        </w:rPr>
        <w:t>été jusqu</w:t>
      </w:r>
      <w:r w:rsidR="00425386" w:rsidRPr="00731644">
        <w:rPr>
          <w:lang w:val="fr-CH"/>
        </w:rPr>
        <w:t>’</w:t>
      </w:r>
      <w:r w:rsidR="00967FE8" w:rsidRPr="00731644">
        <w:rPr>
          <w:lang w:val="fr-CH"/>
        </w:rPr>
        <w:t>au bout des</w:t>
      </w:r>
      <w:r w:rsidR="0064526E" w:rsidRPr="00731644">
        <w:rPr>
          <w:lang w:val="fr-CH"/>
        </w:rPr>
        <w:t xml:space="preserve"> programmes d</w:t>
      </w:r>
      <w:r w:rsidR="00425386" w:rsidRPr="00731644">
        <w:rPr>
          <w:lang w:val="fr-CH"/>
        </w:rPr>
        <w:t>’</w:t>
      </w:r>
      <w:r w:rsidR="0064526E" w:rsidRPr="00731644">
        <w:rPr>
          <w:lang w:val="fr-CH"/>
        </w:rPr>
        <w:t xml:space="preserve">éducation et de qualification. </w:t>
      </w:r>
    </w:p>
    <w:p w:rsidR="004C7BF6" w:rsidRPr="00731644" w:rsidRDefault="00655F5D" w:rsidP="004C7BF6">
      <w:pPr>
        <w:pStyle w:val="SingleTxtG"/>
        <w:rPr>
          <w:lang w:val="fr-CH"/>
        </w:rPr>
      </w:pPr>
      <w:r w:rsidRPr="00731644">
        <w:rPr>
          <w:lang w:val="fr-CH"/>
        </w:rPr>
        <w:t>265.</w:t>
      </w:r>
      <w:r w:rsidRPr="00731644">
        <w:rPr>
          <w:lang w:val="fr-CH"/>
        </w:rPr>
        <w:tab/>
      </w:r>
      <w:r w:rsidR="000F2A1E" w:rsidRPr="00731644">
        <w:rPr>
          <w:lang w:val="fr-CH"/>
        </w:rPr>
        <w:t>Parmi les</w:t>
      </w:r>
      <w:r w:rsidR="0064526E" w:rsidRPr="00731644">
        <w:rPr>
          <w:lang w:val="fr-CH"/>
        </w:rPr>
        <w:t xml:space="preserve"> incitations offertes </w:t>
      </w:r>
      <w:r w:rsidR="000F2A1E" w:rsidRPr="00731644">
        <w:rPr>
          <w:lang w:val="fr-CH"/>
        </w:rPr>
        <w:t xml:space="preserve">aux employeurs figurent celles prévues dans le </w:t>
      </w:r>
      <w:r w:rsidR="000F2A1E" w:rsidRPr="00A828E9">
        <w:rPr>
          <w:i/>
          <w:lang w:val="fr-CH"/>
        </w:rPr>
        <w:t>décret relatif aux subventions liées à l</w:t>
      </w:r>
      <w:r w:rsidR="00425386" w:rsidRPr="00A828E9">
        <w:rPr>
          <w:i/>
          <w:lang w:val="fr-CH"/>
        </w:rPr>
        <w:t>’</w:t>
      </w:r>
      <w:r w:rsidR="000F2A1E" w:rsidRPr="00A828E9">
        <w:rPr>
          <w:i/>
          <w:lang w:val="fr-CH"/>
        </w:rPr>
        <w:t>emploi de certaines catégories de chôm</w:t>
      </w:r>
      <w:r w:rsidR="00967FE8" w:rsidRPr="00A828E9">
        <w:rPr>
          <w:i/>
          <w:lang w:val="fr-CH"/>
        </w:rPr>
        <w:t>eurs</w:t>
      </w:r>
      <w:r w:rsidR="000F2A1E" w:rsidRPr="00731644">
        <w:rPr>
          <w:lang w:val="fr-CH"/>
        </w:rPr>
        <w:t>, adopté par le Gouvernement le 17 mars 2011</w:t>
      </w:r>
      <w:r w:rsidR="004C7BF6" w:rsidRPr="00731644">
        <w:rPr>
          <w:lang w:val="fr-CH"/>
        </w:rPr>
        <w:t xml:space="preserve">. </w:t>
      </w:r>
      <w:r w:rsidR="000F2A1E" w:rsidRPr="00731644">
        <w:rPr>
          <w:lang w:val="fr-CH"/>
        </w:rPr>
        <w:t>Ce texte fixe les montants des aides allouées aux entrepreneurs qui embauchent certaines catégories de chômeurs inscrits à l</w:t>
      </w:r>
      <w:r w:rsidR="00425386" w:rsidRPr="00731644">
        <w:rPr>
          <w:lang w:val="fr-CH"/>
        </w:rPr>
        <w:t>’</w:t>
      </w:r>
      <w:r w:rsidR="000F2A1E" w:rsidRPr="00731644">
        <w:rPr>
          <w:lang w:val="fr-CH"/>
        </w:rPr>
        <w:t>Agence pour l</w:t>
      </w:r>
      <w:r w:rsidR="00425386" w:rsidRPr="00731644">
        <w:rPr>
          <w:lang w:val="fr-CH"/>
        </w:rPr>
        <w:t>’</w:t>
      </w:r>
      <w:r w:rsidR="000F2A1E" w:rsidRPr="00731644">
        <w:rPr>
          <w:lang w:val="fr-CH"/>
        </w:rPr>
        <w:t xml:space="preserve">emploi, dont les Roms, les </w:t>
      </w:r>
      <w:r w:rsidR="002A5033" w:rsidRPr="00731644">
        <w:rPr>
          <w:lang w:val="fr-CH"/>
        </w:rPr>
        <w:t>Ashkali</w:t>
      </w:r>
      <w:r w:rsidR="000F2A1E" w:rsidRPr="00731644">
        <w:rPr>
          <w:lang w:val="fr-CH"/>
        </w:rPr>
        <w:t xml:space="preserve"> et les </w:t>
      </w:r>
      <w:r w:rsidR="00967FE8" w:rsidRPr="00731644">
        <w:rPr>
          <w:lang w:val="fr-CH"/>
        </w:rPr>
        <w:t>tzigane</w:t>
      </w:r>
      <w:r w:rsidR="000F2A1E" w:rsidRPr="00731644">
        <w:rPr>
          <w:lang w:val="fr-CH"/>
        </w:rPr>
        <w:t>s.</w:t>
      </w:r>
      <w:r w:rsidR="004C7BF6" w:rsidRPr="00731644">
        <w:rPr>
          <w:lang w:val="fr-CH"/>
        </w:rPr>
        <w:t xml:space="preserve"> </w:t>
      </w:r>
      <w:r w:rsidR="00967FE8" w:rsidRPr="00731644">
        <w:rPr>
          <w:lang w:val="fr-CH"/>
        </w:rPr>
        <w:t>Dans leur cas</w:t>
      </w:r>
      <w:r w:rsidR="000F2A1E" w:rsidRPr="00731644">
        <w:rPr>
          <w:lang w:val="fr-CH"/>
        </w:rPr>
        <w:t>, l</w:t>
      </w:r>
      <w:r w:rsidR="00425386" w:rsidRPr="00731644">
        <w:rPr>
          <w:lang w:val="fr-CH"/>
        </w:rPr>
        <w:t>’</w:t>
      </w:r>
      <w:r w:rsidR="000F2A1E" w:rsidRPr="00731644">
        <w:rPr>
          <w:lang w:val="fr-CH"/>
        </w:rPr>
        <w:t xml:space="preserve">Agence paie les cotisations obligatoires à la sécurité sociale </w:t>
      </w:r>
      <w:r w:rsidR="004C7BF6" w:rsidRPr="00731644">
        <w:rPr>
          <w:lang w:val="fr-CH"/>
        </w:rPr>
        <w:t>(</w:t>
      </w:r>
      <w:r w:rsidR="00967FE8" w:rsidRPr="00731644">
        <w:rPr>
          <w:lang w:val="fr-CH"/>
        </w:rPr>
        <w:t>assurances</w:t>
      </w:r>
      <w:r w:rsidR="000F2A1E" w:rsidRPr="00731644">
        <w:rPr>
          <w:lang w:val="fr-CH"/>
        </w:rPr>
        <w:t xml:space="preserve"> vieillesse et invalidité</w:t>
      </w:r>
      <w:r w:rsidR="004C7BF6" w:rsidRPr="00731644">
        <w:rPr>
          <w:lang w:val="fr-CH"/>
        </w:rPr>
        <w:t xml:space="preserve">, </w:t>
      </w:r>
      <w:r w:rsidR="000F2A1E" w:rsidRPr="00731644">
        <w:rPr>
          <w:lang w:val="fr-CH"/>
        </w:rPr>
        <w:t>maladie et chômage</w:t>
      </w:r>
      <w:r w:rsidR="004C7BF6" w:rsidRPr="00731644">
        <w:rPr>
          <w:lang w:val="fr-CH"/>
        </w:rPr>
        <w:t xml:space="preserve">) </w:t>
      </w:r>
      <w:r w:rsidR="001D3D53" w:rsidRPr="00731644">
        <w:rPr>
          <w:lang w:val="fr-CH"/>
        </w:rPr>
        <w:t>et les cotisations au</w:t>
      </w:r>
      <w:r w:rsidR="00967FE8" w:rsidRPr="00731644">
        <w:rPr>
          <w:lang w:val="fr-CH"/>
        </w:rPr>
        <w:t xml:space="preserve"> Fonds pour l</w:t>
      </w:r>
      <w:r w:rsidR="00425386" w:rsidRPr="00731644">
        <w:rPr>
          <w:lang w:val="fr-CH"/>
        </w:rPr>
        <w:t>’</w:t>
      </w:r>
      <w:r w:rsidR="00967FE8" w:rsidRPr="00731644">
        <w:rPr>
          <w:lang w:val="fr-CH"/>
        </w:rPr>
        <w:t>emploi</w:t>
      </w:r>
      <w:r w:rsidR="004C7BF6" w:rsidRPr="00731644">
        <w:rPr>
          <w:lang w:val="fr-CH"/>
        </w:rPr>
        <w:t xml:space="preserve">, </w:t>
      </w:r>
      <w:r w:rsidR="000F2A1E" w:rsidRPr="00731644">
        <w:rPr>
          <w:lang w:val="fr-CH"/>
        </w:rPr>
        <w:t>ainsi que</w:t>
      </w:r>
      <w:r w:rsidR="00F31DD5" w:rsidRPr="00731644">
        <w:rPr>
          <w:lang w:val="fr-CH"/>
        </w:rPr>
        <w:t xml:space="preserve"> </w:t>
      </w:r>
      <w:r w:rsidR="000F2A1E" w:rsidRPr="00731644">
        <w:rPr>
          <w:lang w:val="fr-CH"/>
        </w:rPr>
        <w:t>l</w:t>
      </w:r>
      <w:r w:rsidR="00425386" w:rsidRPr="00731644">
        <w:rPr>
          <w:lang w:val="fr-CH"/>
        </w:rPr>
        <w:t>’</w:t>
      </w:r>
      <w:r w:rsidR="000F2A1E" w:rsidRPr="00731644">
        <w:rPr>
          <w:lang w:val="fr-CH"/>
        </w:rPr>
        <w:t xml:space="preserve">impôt sur le revenu </w:t>
      </w:r>
      <w:r w:rsidR="00B569C5" w:rsidRPr="00731644">
        <w:rPr>
          <w:lang w:val="fr-CH"/>
        </w:rPr>
        <w:t>des personnes</w:t>
      </w:r>
      <w:r w:rsidR="000F2A1E" w:rsidRPr="00731644">
        <w:rPr>
          <w:lang w:val="fr-CH"/>
        </w:rPr>
        <w:t xml:space="preserve"> physiques </w:t>
      </w:r>
      <w:r w:rsidR="004C7BF6" w:rsidRPr="00731644">
        <w:rPr>
          <w:lang w:val="fr-CH"/>
        </w:rPr>
        <w:t>(80</w:t>
      </w:r>
      <w:r w:rsidR="006443F6" w:rsidRPr="00731644">
        <w:rPr>
          <w:lang w:val="fr-CH"/>
        </w:rPr>
        <w:t>%</w:t>
      </w:r>
      <w:r w:rsidR="000F2A1E" w:rsidRPr="00731644">
        <w:rPr>
          <w:lang w:val="fr-CH"/>
        </w:rPr>
        <w:t xml:space="preserve"> des recettes budgétaires du </w:t>
      </w:r>
      <w:r w:rsidR="0002115B" w:rsidRPr="00731644">
        <w:rPr>
          <w:lang w:val="fr-CH"/>
        </w:rPr>
        <w:t>pays</w:t>
      </w:r>
      <w:r w:rsidR="004C7BF6" w:rsidRPr="00731644">
        <w:rPr>
          <w:lang w:val="fr-CH"/>
        </w:rPr>
        <w:t xml:space="preserve">). </w:t>
      </w:r>
      <w:r w:rsidR="000F2A1E" w:rsidRPr="00731644">
        <w:rPr>
          <w:lang w:val="fr-CH"/>
        </w:rPr>
        <w:t xml:space="preserve">Cette réglementation entrera en vigueur le </w:t>
      </w:r>
      <w:r w:rsidR="004C7BF6" w:rsidRPr="00731644">
        <w:rPr>
          <w:lang w:val="fr-CH"/>
        </w:rPr>
        <w:t xml:space="preserve">31 </w:t>
      </w:r>
      <w:r w:rsidR="000F2A1E" w:rsidRPr="00731644">
        <w:rPr>
          <w:lang w:val="fr-CH"/>
        </w:rPr>
        <w:t>décembre</w:t>
      </w:r>
      <w:r w:rsidR="004C7BF6" w:rsidRPr="00731644">
        <w:rPr>
          <w:lang w:val="fr-CH"/>
        </w:rPr>
        <w:t xml:space="preserve"> 2011.</w:t>
      </w:r>
    </w:p>
    <w:p w:rsidR="00CB74C1" w:rsidRPr="00731644" w:rsidRDefault="00655F5D" w:rsidP="004C7BF6">
      <w:pPr>
        <w:pStyle w:val="SingleTxtG"/>
        <w:rPr>
          <w:bCs/>
          <w:lang w:val="fr-CH"/>
        </w:rPr>
      </w:pPr>
      <w:r w:rsidRPr="00731644">
        <w:rPr>
          <w:bCs/>
          <w:lang w:val="fr-CH"/>
        </w:rPr>
        <w:t>266.</w:t>
      </w:r>
      <w:r w:rsidRPr="00731644">
        <w:rPr>
          <w:b/>
          <w:bCs/>
          <w:lang w:val="fr-CH"/>
        </w:rPr>
        <w:tab/>
      </w:r>
      <w:r w:rsidR="0002115B" w:rsidRPr="00731644">
        <w:rPr>
          <w:bCs/>
          <w:lang w:val="fr-CH"/>
        </w:rPr>
        <w:t>La conception des mesures et activités de la politique dynamique de l</w:t>
      </w:r>
      <w:r w:rsidR="00425386" w:rsidRPr="00731644">
        <w:rPr>
          <w:bCs/>
          <w:lang w:val="fr-CH"/>
        </w:rPr>
        <w:t>’</w:t>
      </w:r>
      <w:r w:rsidR="0002115B" w:rsidRPr="00731644">
        <w:rPr>
          <w:bCs/>
          <w:lang w:val="fr-CH"/>
        </w:rPr>
        <w:t>emploi reposent dans une large mesure sur les résultats de l</w:t>
      </w:r>
      <w:r w:rsidR="00425386" w:rsidRPr="00731644">
        <w:rPr>
          <w:bCs/>
          <w:lang w:val="fr-CH"/>
        </w:rPr>
        <w:t>’</w:t>
      </w:r>
      <w:r w:rsidR="001D3D53" w:rsidRPr="00731644">
        <w:rPr>
          <w:bCs/>
          <w:lang w:val="fr-CH"/>
        </w:rPr>
        <w:t xml:space="preserve">enquête </w:t>
      </w:r>
      <w:r w:rsidR="0002115B" w:rsidRPr="00731644">
        <w:rPr>
          <w:bCs/>
          <w:lang w:val="fr-CH"/>
        </w:rPr>
        <w:t>réalisée</w:t>
      </w:r>
      <w:r w:rsidR="001D3D53" w:rsidRPr="00731644">
        <w:rPr>
          <w:bCs/>
          <w:lang w:val="fr-CH"/>
        </w:rPr>
        <w:t xml:space="preserve"> en</w:t>
      </w:r>
      <w:r w:rsidR="004C7BF6" w:rsidRPr="00731644">
        <w:rPr>
          <w:bCs/>
          <w:lang w:val="fr-CH"/>
        </w:rPr>
        <w:t xml:space="preserve"> 2009/2010</w:t>
      </w:r>
      <w:r w:rsidR="001D3D53" w:rsidRPr="00731644">
        <w:rPr>
          <w:bCs/>
          <w:lang w:val="fr-CH"/>
        </w:rPr>
        <w:t xml:space="preserve"> auprès des employeurs dans le cadre des </w:t>
      </w:r>
      <w:r w:rsidR="0002115B" w:rsidRPr="00731644">
        <w:rPr>
          <w:bCs/>
          <w:lang w:val="fr-CH"/>
        </w:rPr>
        <w:t>étude</w:t>
      </w:r>
      <w:r w:rsidR="001D3D53" w:rsidRPr="00731644">
        <w:rPr>
          <w:bCs/>
          <w:lang w:val="fr-CH"/>
        </w:rPr>
        <w:t xml:space="preserve">s </w:t>
      </w:r>
      <w:r w:rsidR="0002115B" w:rsidRPr="00731644">
        <w:rPr>
          <w:bCs/>
          <w:lang w:val="fr-CH"/>
        </w:rPr>
        <w:t>d</w:t>
      </w:r>
      <w:r w:rsidR="00425386" w:rsidRPr="00731644">
        <w:rPr>
          <w:bCs/>
          <w:lang w:val="fr-CH"/>
        </w:rPr>
        <w:t>’</w:t>
      </w:r>
      <w:r w:rsidR="0002115B" w:rsidRPr="00731644">
        <w:rPr>
          <w:bCs/>
          <w:lang w:val="fr-CH"/>
        </w:rPr>
        <w:t xml:space="preserve">analyse de la conjoncture et des perspectives </w:t>
      </w:r>
      <w:r w:rsidR="001D3D53" w:rsidRPr="00731644">
        <w:rPr>
          <w:bCs/>
          <w:lang w:val="fr-CH"/>
        </w:rPr>
        <w:t>menées systématiquement par</w:t>
      </w:r>
      <w:r w:rsidR="0002115B" w:rsidRPr="00731644">
        <w:rPr>
          <w:bCs/>
          <w:lang w:val="fr-CH"/>
        </w:rPr>
        <w:t xml:space="preserve"> l</w:t>
      </w:r>
      <w:r w:rsidR="00425386" w:rsidRPr="00731644">
        <w:rPr>
          <w:bCs/>
          <w:lang w:val="fr-CH"/>
        </w:rPr>
        <w:t>’</w:t>
      </w:r>
      <w:r w:rsidR="0002115B" w:rsidRPr="00731644">
        <w:rPr>
          <w:bCs/>
          <w:lang w:val="fr-CH"/>
        </w:rPr>
        <w:t>Agence pour l</w:t>
      </w:r>
      <w:r w:rsidR="00425386" w:rsidRPr="00731644">
        <w:rPr>
          <w:bCs/>
          <w:lang w:val="fr-CH"/>
        </w:rPr>
        <w:t>’</w:t>
      </w:r>
      <w:r w:rsidR="0002115B" w:rsidRPr="00731644">
        <w:rPr>
          <w:bCs/>
          <w:lang w:val="fr-CH"/>
        </w:rPr>
        <w:t>emploi</w:t>
      </w:r>
      <w:r w:rsidR="00CB74C1" w:rsidRPr="00731644">
        <w:rPr>
          <w:bCs/>
          <w:lang w:val="fr-CH"/>
        </w:rPr>
        <w:t xml:space="preserve">. </w:t>
      </w:r>
    </w:p>
    <w:p w:rsidR="004C7BF6" w:rsidRPr="00731644" w:rsidRDefault="00655F5D" w:rsidP="004C7BF6">
      <w:pPr>
        <w:pStyle w:val="SingleTxtG"/>
        <w:rPr>
          <w:lang w:val="fr-CH"/>
        </w:rPr>
      </w:pPr>
      <w:r w:rsidRPr="00731644">
        <w:rPr>
          <w:lang w:val="fr-CH"/>
        </w:rPr>
        <w:t>267.</w:t>
      </w:r>
      <w:r w:rsidRPr="00731644">
        <w:rPr>
          <w:lang w:val="fr-CH"/>
        </w:rPr>
        <w:tab/>
      </w:r>
      <w:r w:rsidR="00CB74C1" w:rsidRPr="00731644">
        <w:rPr>
          <w:lang w:val="fr-CH"/>
        </w:rPr>
        <w:t>Cette enquête compr</w:t>
      </w:r>
      <w:r w:rsidR="0002115B" w:rsidRPr="00731644">
        <w:rPr>
          <w:lang w:val="fr-CH"/>
        </w:rPr>
        <w:t>e</w:t>
      </w:r>
      <w:r w:rsidR="00CB74C1" w:rsidRPr="00731644">
        <w:rPr>
          <w:lang w:val="fr-CH"/>
        </w:rPr>
        <w:t>nait notamment des questions</w:t>
      </w:r>
      <w:r w:rsidR="004C7BF6" w:rsidRPr="00731644">
        <w:rPr>
          <w:lang w:val="fr-CH"/>
        </w:rPr>
        <w:t xml:space="preserve"> </w:t>
      </w:r>
      <w:r w:rsidR="00CB74C1" w:rsidRPr="00731644">
        <w:rPr>
          <w:lang w:val="fr-CH"/>
        </w:rPr>
        <w:t>relatives à l</w:t>
      </w:r>
      <w:r w:rsidR="00425386" w:rsidRPr="00731644">
        <w:rPr>
          <w:lang w:val="fr-CH"/>
        </w:rPr>
        <w:t>’</w:t>
      </w:r>
      <w:r w:rsidR="00CB74C1" w:rsidRPr="00731644">
        <w:rPr>
          <w:lang w:val="fr-CH"/>
        </w:rPr>
        <w:t>emploi des Roms</w:t>
      </w:r>
      <w:r w:rsidR="00F31DD5" w:rsidRPr="00731644">
        <w:rPr>
          <w:lang w:val="fr-CH"/>
        </w:rPr>
        <w:t>;</w:t>
      </w:r>
      <w:r w:rsidR="0002115B" w:rsidRPr="00731644">
        <w:rPr>
          <w:lang w:val="fr-CH"/>
        </w:rPr>
        <w:t xml:space="preserve"> il était demandé par exemple aux </w:t>
      </w:r>
      <w:r w:rsidR="00CB74C1" w:rsidRPr="00731644">
        <w:rPr>
          <w:lang w:val="fr-CH"/>
        </w:rPr>
        <w:t xml:space="preserve">employeurs </w:t>
      </w:r>
      <w:r w:rsidR="0002115B" w:rsidRPr="00731644">
        <w:rPr>
          <w:lang w:val="fr-CH"/>
        </w:rPr>
        <w:t>s</w:t>
      </w:r>
      <w:r w:rsidR="00425386" w:rsidRPr="00731644">
        <w:rPr>
          <w:lang w:val="fr-CH"/>
        </w:rPr>
        <w:t>’</w:t>
      </w:r>
      <w:r w:rsidR="0002115B" w:rsidRPr="00731644">
        <w:rPr>
          <w:lang w:val="fr-CH"/>
        </w:rPr>
        <w:t>ils comptaient en</w:t>
      </w:r>
      <w:r w:rsidR="00CB74C1" w:rsidRPr="00731644">
        <w:rPr>
          <w:lang w:val="fr-CH"/>
        </w:rPr>
        <w:t xml:space="preserve"> recrute</w:t>
      </w:r>
      <w:r w:rsidR="0002115B" w:rsidRPr="00731644">
        <w:rPr>
          <w:lang w:val="fr-CH"/>
        </w:rPr>
        <w:t>r</w:t>
      </w:r>
      <w:r w:rsidR="00CB74C1" w:rsidRPr="00731644">
        <w:rPr>
          <w:lang w:val="fr-CH"/>
        </w:rPr>
        <w:t xml:space="preserve"> à l</w:t>
      </w:r>
      <w:r w:rsidR="00425386" w:rsidRPr="00731644">
        <w:rPr>
          <w:lang w:val="fr-CH"/>
        </w:rPr>
        <w:t>’</w:t>
      </w:r>
      <w:r w:rsidR="00CB74C1" w:rsidRPr="00731644">
        <w:rPr>
          <w:lang w:val="fr-CH"/>
        </w:rPr>
        <w:t xml:space="preserve">avenir. Les résultats révèlent que les employeurs ont fait travailler ces deux dernières années </w:t>
      </w:r>
      <w:r w:rsidR="00E7406A">
        <w:rPr>
          <w:lang w:val="fr-CH"/>
        </w:rPr>
        <w:t>605 </w:t>
      </w:r>
      <w:r w:rsidR="00CB74C1" w:rsidRPr="00731644">
        <w:rPr>
          <w:lang w:val="fr-CH"/>
        </w:rPr>
        <w:t xml:space="preserve">Roms, </w:t>
      </w:r>
      <w:r w:rsidR="002A5033" w:rsidRPr="00731644">
        <w:rPr>
          <w:lang w:val="fr-CH"/>
        </w:rPr>
        <w:t>Ashkali</w:t>
      </w:r>
      <w:r w:rsidR="00CB74C1" w:rsidRPr="00731644">
        <w:rPr>
          <w:lang w:val="fr-CH"/>
        </w:rPr>
        <w:t xml:space="preserve"> </w:t>
      </w:r>
      <w:r w:rsidR="00E42688" w:rsidRPr="00731644">
        <w:rPr>
          <w:lang w:val="fr-CH"/>
        </w:rPr>
        <w:t>et</w:t>
      </w:r>
      <w:r w:rsidR="0002115B" w:rsidRPr="00731644">
        <w:rPr>
          <w:lang w:val="fr-CH"/>
        </w:rPr>
        <w:t xml:space="preserve"> tziganes</w:t>
      </w:r>
      <w:r w:rsidR="00CB74C1" w:rsidRPr="00731644">
        <w:rPr>
          <w:lang w:val="fr-CH"/>
        </w:rPr>
        <w:t xml:space="preserve"> et qu</w:t>
      </w:r>
      <w:r w:rsidR="00425386" w:rsidRPr="00731644">
        <w:rPr>
          <w:lang w:val="fr-CH"/>
        </w:rPr>
        <w:t>’</w:t>
      </w:r>
      <w:r w:rsidR="00CB74C1" w:rsidRPr="00731644">
        <w:rPr>
          <w:lang w:val="fr-CH"/>
        </w:rPr>
        <w:t xml:space="preserve">ils sont disposés à en employer </w:t>
      </w:r>
      <w:r w:rsidR="004C7BF6" w:rsidRPr="00731644">
        <w:rPr>
          <w:lang w:val="fr-CH"/>
        </w:rPr>
        <w:t>1</w:t>
      </w:r>
      <w:r w:rsidR="00976D48">
        <w:rPr>
          <w:lang w:val="fr-CH"/>
        </w:rPr>
        <w:t> </w:t>
      </w:r>
      <w:r w:rsidR="004C7BF6" w:rsidRPr="00731644">
        <w:rPr>
          <w:lang w:val="fr-CH"/>
        </w:rPr>
        <w:t xml:space="preserve">445 </w:t>
      </w:r>
      <w:r w:rsidR="00CB74C1" w:rsidRPr="00731644">
        <w:rPr>
          <w:lang w:val="fr-CH"/>
        </w:rPr>
        <w:t>à l</w:t>
      </w:r>
      <w:r w:rsidR="00425386" w:rsidRPr="00731644">
        <w:rPr>
          <w:lang w:val="fr-CH"/>
        </w:rPr>
        <w:t>’</w:t>
      </w:r>
      <w:r w:rsidR="00CB74C1" w:rsidRPr="00731644">
        <w:rPr>
          <w:lang w:val="fr-CH"/>
        </w:rPr>
        <w:t>avenir</w:t>
      </w:r>
      <w:r w:rsidR="004C7BF6" w:rsidRPr="00731644">
        <w:rPr>
          <w:lang w:val="fr-CH"/>
        </w:rPr>
        <w:t>.</w:t>
      </w:r>
    </w:p>
    <w:p w:rsidR="004C7BF6" w:rsidRPr="00731644" w:rsidRDefault="00CB74C1" w:rsidP="00655F5D">
      <w:pPr>
        <w:pStyle w:val="H4G"/>
        <w:rPr>
          <w:lang w:val="fr-CH"/>
        </w:rPr>
      </w:pPr>
      <w:r w:rsidRPr="00731644">
        <w:rPr>
          <w:lang w:val="fr-CH"/>
        </w:rPr>
        <w:tab/>
      </w:r>
      <w:r w:rsidRPr="00731644">
        <w:rPr>
          <w:lang w:val="fr-CH"/>
        </w:rPr>
        <w:tab/>
        <w:t xml:space="preserve">Les droits </w:t>
      </w:r>
      <w:r w:rsidR="000439A0" w:rsidRPr="00731644">
        <w:rPr>
          <w:lang w:val="fr-CH"/>
        </w:rPr>
        <w:t xml:space="preserve">aux </w:t>
      </w:r>
      <w:r w:rsidR="00D853F8" w:rsidRPr="00731644">
        <w:rPr>
          <w:lang w:val="fr-CH"/>
        </w:rPr>
        <w:t>prest</w:t>
      </w:r>
      <w:r w:rsidR="000439A0" w:rsidRPr="00731644">
        <w:rPr>
          <w:lang w:val="fr-CH"/>
        </w:rPr>
        <w:t xml:space="preserve">ations </w:t>
      </w:r>
      <w:r w:rsidRPr="00731644">
        <w:rPr>
          <w:lang w:val="fr-CH"/>
        </w:rPr>
        <w:t>de l</w:t>
      </w:r>
      <w:r w:rsidR="00425386" w:rsidRPr="00731644">
        <w:rPr>
          <w:lang w:val="fr-CH"/>
        </w:rPr>
        <w:t>’</w:t>
      </w:r>
      <w:r w:rsidRPr="00731644">
        <w:rPr>
          <w:lang w:val="fr-CH"/>
        </w:rPr>
        <w:t xml:space="preserve">assurance chômage </w:t>
      </w:r>
    </w:p>
    <w:p w:rsidR="004C7BF6" w:rsidRPr="00731644" w:rsidRDefault="00655F5D" w:rsidP="004C7BF6">
      <w:pPr>
        <w:pStyle w:val="SingleTxtG"/>
        <w:rPr>
          <w:lang w:val="fr-CH"/>
        </w:rPr>
      </w:pPr>
      <w:r w:rsidRPr="00731644">
        <w:rPr>
          <w:lang w:val="fr-CH"/>
        </w:rPr>
        <w:t>268.</w:t>
      </w:r>
      <w:r w:rsidRPr="00731644">
        <w:rPr>
          <w:lang w:val="fr-CH"/>
        </w:rPr>
        <w:tab/>
      </w:r>
      <w:r w:rsidR="00CB74C1" w:rsidRPr="00731644">
        <w:rPr>
          <w:lang w:val="fr-CH"/>
        </w:rPr>
        <w:t xml:space="preserve">En vertu de la </w:t>
      </w:r>
      <w:r w:rsidR="00CB74C1" w:rsidRPr="00CD7AFB">
        <w:rPr>
          <w:iCs/>
          <w:lang w:val="fr-CH"/>
        </w:rPr>
        <w:t>loi relative à l</w:t>
      </w:r>
      <w:r w:rsidR="00425386" w:rsidRPr="00CD7AFB">
        <w:rPr>
          <w:iCs/>
          <w:lang w:val="fr-CH"/>
        </w:rPr>
        <w:t>’</w:t>
      </w:r>
      <w:r w:rsidR="00CB74C1" w:rsidRPr="00CD7AFB">
        <w:rPr>
          <w:iCs/>
          <w:lang w:val="fr-CH"/>
        </w:rPr>
        <w:t xml:space="preserve">emploi et </w:t>
      </w:r>
      <w:r w:rsidR="00E42688" w:rsidRPr="00CD7AFB">
        <w:rPr>
          <w:iCs/>
          <w:lang w:val="fr-CH"/>
        </w:rPr>
        <w:t>aux</w:t>
      </w:r>
      <w:r w:rsidR="00CB74C1" w:rsidRPr="00CD7AFB">
        <w:rPr>
          <w:iCs/>
          <w:lang w:val="fr-CH"/>
        </w:rPr>
        <w:t xml:space="preserve"> droits </w:t>
      </w:r>
      <w:r w:rsidR="000439A0" w:rsidRPr="00CD7AFB">
        <w:rPr>
          <w:iCs/>
          <w:lang w:val="fr-CH"/>
        </w:rPr>
        <w:t xml:space="preserve">aux </w:t>
      </w:r>
      <w:r w:rsidR="00D853F8" w:rsidRPr="00CD7AFB">
        <w:rPr>
          <w:iCs/>
          <w:lang w:val="fr-CH"/>
        </w:rPr>
        <w:t>prest</w:t>
      </w:r>
      <w:r w:rsidR="000439A0" w:rsidRPr="00CD7AFB">
        <w:rPr>
          <w:iCs/>
          <w:lang w:val="fr-CH"/>
        </w:rPr>
        <w:t>ations de</w:t>
      </w:r>
      <w:r w:rsidR="00CB74C1" w:rsidRPr="00CD7AFB">
        <w:rPr>
          <w:iCs/>
          <w:lang w:val="fr-CH"/>
        </w:rPr>
        <w:t xml:space="preserve"> l</w:t>
      </w:r>
      <w:r w:rsidR="00425386" w:rsidRPr="00CD7AFB">
        <w:rPr>
          <w:iCs/>
          <w:lang w:val="fr-CH"/>
        </w:rPr>
        <w:t>’</w:t>
      </w:r>
      <w:r w:rsidR="00CB74C1" w:rsidRPr="00CD7AFB">
        <w:rPr>
          <w:iCs/>
          <w:lang w:val="fr-CH"/>
        </w:rPr>
        <w:t>assurance chômage</w:t>
      </w:r>
      <w:r w:rsidR="00CB74C1" w:rsidRPr="00731644">
        <w:rPr>
          <w:lang w:val="fr-CH"/>
        </w:rPr>
        <w:t>, une personne qui n</w:t>
      </w:r>
      <w:r w:rsidR="00425386" w:rsidRPr="00731644">
        <w:rPr>
          <w:lang w:val="fr-CH"/>
        </w:rPr>
        <w:t>’</w:t>
      </w:r>
      <w:r w:rsidR="00CB74C1" w:rsidRPr="00731644">
        <w:rPr>
          <w:lang w:val="fr-CH"/>
        </w:rPr>
        <w:t xml:space="preserve">a pas de travail </w:t>
      </w:r>
      <w:r w:rsidR="0002115B" w:rsidRPr="00731644">
        <w:rPr>
          <w:lang w:val="fr-CH"/>
        </w:rPr>
        <w:t>reçoit</w:t>
      </w:r>
      <w:r w:rsidR="00CB74C1" w:rsidRPr="00731644">
        <w:rPr>
          <w:lang w:val="fr-CH"/>
        </w:rPr>
        <w:t xml:space="preserve"> une </w:t>
      </w:r>
      <w:r w:rsidR="00E10D56" w:rsidRPr="00731644">
        <w:rPr>
          <w:lang w:val="fr-CH"/>
        </w:rPr>
        <w:t>alloc</w:t>
      </w:r>
      <w:r w:rsidR="00CB74C1" w:rsidRPr="00731644">
        <w:rPr>
          <w:lang w:val="fr-CH"/>
        </w:rPr>
        <w:t>ation</w:t>
      </w:r>
      <w:r w:rsidR="00A22D71" w:rsidRPr="00731644">
        <w:rPr>
          <w:lang w:val="fr-CH"/>
        </w:rPr>
        <w:t xml:space="preserve"> dont le versement donne droit aux prestations de l</w:t>
      </w:r>
      <w:r w:rsidR="00425386" w:rsidRPr="00731644">
        <w:rPr>
          <w:lang w:val="fr-CH"/>
        </w:rPr>
        <w:t>’</w:t>
      </w:r>
      <w:r w:rsidR="00A22D71" w:rsidRPr="00731644">
        <w:rPr>
          <w:lang w:val="fr-CH"/>
        </w:rPr>
        <w:t>assurance maladie, vieillesse et invalidité. A droit à l</w:t>
      </w:r>
      <w:r w:rsidR="00425386" w:rsidRPr="00731644">
        <w:rPr>
          <w:lang w:val="fr-CH"/>
        </w:rPr>
        <w:t>’</w:t>
      </w:r>
      <w:r w:rsidR="00A22D71" w:rsidRPr="00731644">
        <w:rPr>
          <w:lang w:val="fr-CH"/>
        </w:rPr>
        <w:t xml:space="preserve">allocation quiconque a </w:t>
      </w:r>
      <w:r w:rsidR="000439A0" w:rsidRPr="00731644">
        <w:rPr>
          <w:lang w:val="fr-CH"/>
        </w:rPr>
        <w:t>cotis</w:t>
      </w:r>
      <w:r w:rsidR="00A22D71" w:rsidRPr="00731644">
        <w:rPr>
          <w:lang w:val="fr-CH"/>
        </w:rPr>
        <w:t>é pendant 12 mois consécutifs</w:t>
      </w:r>
      <w:r w:rsidR="00E10D56" w:rsidRPr="00731644">
        <w:rPr>
          <w:lang w:val="fr-CH"/>
        </w:rPr>
        <w:t>, ou</w:t>
      </w:r>
      <w:r w:rsidR="00F31DD5" w:rsidRPr="00731644">
        <w:rPr>
          <w:lang w:val="fr-CH"/>
        </w:rPr>
        <w:t xml:space="preserve"> </w:t>
      </w:r>
      <w:r w:rsidR="00E10D56" w:rsidRPr="00731644">
        <w:rPr>
          <w:lang w:val="fr-CH"/>
        </w:rPr>
        <w:t xml:space="preserve">par intermittence </w:t>
      </w:r>
      <w:r w:rsidR="00A22D71" w:rsidRPr="00731644">
        <w:rPr>
          <w:lang w:val="fr-CH"/>
        </w:rPr>
        <w:t>au</w:t>
      </w:r>
      <w:r w:rsidR="004C7BF6" w:rsidRPr="00731644">
        <w:rPr>
          <w:lang w:val="fr-CH"/>
        </w:rPr>
        <w:t xml:space="preserve"> </w:t>
      </w:r>
      <w:r w:rsidR="00A22D71" w:rsidRPr="00731644">
        <w:rPr>
          <w:lang w:val="fr-CH"/>
        </w:rPr>
        <w:t>cours des 18 mois</w:t>
      </w:r>
      <w:r w:rsidR="00E10D56" w:rsidRPr="00731644">
        <w:rPr>
          <w:lang w:val="fr-CH"/>
        </w:rPr>
        <w:t xml:space="preserve"> écoulés</w:t>
      </w:r>
      <w:r w:rsidR="00A22D71" w:rsidRPr="00731644">
        <w:rPr>
          <w:lang w:val="fr-CH"/>
        </w:rPr>
        <w:t xml:space="preserve">. </w:t>
      </w:r>
    </w:p>
    <w:p w:rsidR="004C7BF6" w:rsidRPr="00731644" w:rsidRDefault="00655F5D" w:rsidP="004C7BF6">
      <w:pPr>
        <w:pStyle w:val="SingleTxtG"/>
        <w:rPr>
          <w:lang w:val="fr-CH"/>
        </w:rPr>
      </w:pPr>
      <w:r w:rsidRPr="00731644">
        <w:rPr>
          <w:lang w:val="fr-CH"/>
        </w:rPr>
        <w:t>269.</w:t>
      </w:r>
      <w:r w:rsidRPr="00731644">
        <w:rPr>
          <w:lang w:val="fr-CH"/>
        </w:rPr>
        <w:tab/>
      </w:r>
      <w:r w:rsidR="00A22D71" w:rsidRPr="00731644">
        <w:rPr>
          <w:lang w:val="fr-CH"/>
        </w:rPr>
        <w:t>À l</w:t>
      </w:r>
      <w:r w:rsidR="00425386" w:rsidRPr="00731644">
        <w:rPr>
          <w:lang w:val="fr-CH"/>
        </w:rPr>
        <w:t>’</w:t>
      </w:r>
      <w:r w:rsidR="00A22D71" w:rsidRPr="00731644">
        <w:rPr>
          <w:lang w:val="fr-CH"/>
        </w:rPr>
        <w:t xml:space="preserve">heure actuelle, </w:t>
      </w:r>
      <w:r w:rsidR="004C7BF6" w:rsidRPr="00731644">
        <w:rPr>
          <w:lang w:val="fr-CH"/>
        </w:rPr>
        <w:t xml:space="preserve">17 </w:t>
      </w:r>
      <w:r w:rsidR="00A22D71" w:rsidRPr="00731644">
        <w:rPr>
          <w:lang w:val="fr-CH"/>
        </w:rPr>
        <w:t>demandeurs d</w:t>
      </w:r>
      <w:r w:rsidR="00425386" w:rsidRPr="00731644">
        <w:rPr>
          <w:lang w:val="fr-CH"/>
        </w:rPr>
        <w:t>’</w:t>
      </w:r>
      <w:r w:rsidR="00A22D71" w:rsidRPr="00731644">
        <w:rPr>
          <w:lang w:val="fr-CH"/>
        </w:rPr>
        <w:t>emploi rom</w:t>
      </w:r>
      <w:r w:rsidR="00E10D56" w:rsidRPr="00731644">
        <w:rPr>
          <w:lang w:val="fr-CH"/>
        </w:rPr>
        <w:t>s</w:t>
      </w:r>
      <w:r w:rsidR="00A22D71" w:rsidRPr="00731644">
        <w:rPr>
          <w:lang w:val="fr-CH"/>
        </w:rPr>
        <w:t xml:space="preserve">, </w:t>
      </w:r>
      <w:r w:rsidR="002A5033" w:rsidRPr="00731644">
        <w:rPr>
          <w:lang w:val="fr-CH"/>
        </w:rPr>
        <w:t>ashkali</w:t>
      </w:r>
      <w:r w:rsidR="00A22D71" w:rsidRPr="00731644">
        <w:rPr>
          <w:lang w:val="fr-CH"/>
        </w:rPr>
        <w:t xml:space="preserve"> ou </w:t>
      </w:r>
      <w:r w:rsidR="000439A0" w:rsidRPr="00731644">
        <w:rPr>
          <w:lang w:val="fr-CH"/>
        </w:rPr>
        <w:t>tziga</w:t>
      </w:r>
      <w:r w:rsidR="00A22D71" w:rsidRPr="00731644">
        <w:rPr>
          <w:lang w:val="fr-CH"/>
        </w:rPr>
        <w:t>ne</w:t>
      </w:r>
      <w:r w:rsidR="00E10D56" w:rsidRPr="00731644">
        <w:rPr>
          <w:lang w:val="fr-CH"/>
        </w:rPr>
        <w:t>s</w:t>
      </w:r>
      <w:r w:rsidR="00A22D71" w:rsidRPr="00731644">
        <w:rPr>
          <w:lang w:val="fr-CH"/>
        </w:rPr>
        <w:t xml:space="preserve"> perçoivent des allocations chômage.</w:t>
      </w:r>
      <w:r w:rsidR="00F31DD5" w:rsidRPr="00731644">
        <w:rPr>
          <w:lang w:val="fr-CH"/>
        </w:rPr>
        <w:t xml:space="preserve"> </w:t>
      </w:r>
    </w:p>
    <w:p w:rsidR="00E00807" w:rsidRPr="00731644" w:rsidRDefault="00A22D71" w:rsidP="00655F5D">
      <w:pPr>
        <w:pStyle w:val="H4G"/>
        <w:rPr>
          <w:lang w:val="fr-CH"/>
        </w:rPr>
      </w:pPr>
      <w:r w:rsidRPr="00731644">
        <w:rPr>
          <w:lang w:val="fr-CH"/>
        </w:rPr>
        <w:tab/>
      </w:r>
      <w:r w:rsidRPr="00731644">
        <w:rPr>
          <w:lang w:val="fr-CH"/>
        </w:rPr>
        <w:tab/>
      </w:r>
      <w:r w:rsidR="00A332AD" w:rsidRPr="00731644">
        <w:rPr>
          <w:lang w:val="fr-CH"/>
        </w:rPr>
        <w:t>Situation</w:t>
      </w:r>
      <w:r w:rsidRPr="00731644">
        <w:rPr>
          <w:lang w:val="fr-CH"/>
        </w:rPr>
        <w:t xml:space="preserve"> </w:t>
      </w:r>
      <w:r w:rsidR="00B569C5" w:rsidRPr="00731644">
        <w:rPr>
          <w:lang w:val="fr-CH"/>
        </w:rPr>
        <w:t>des personnes</w:t>
      </w:r>
      <w:r w:rsidRPr="00731644">
        <w:rPr>
          <w:lang w:val="fr-CH"/>
        </w:rPr>
        <w:t xml:space="preserve"> déplacées et </w:t>
      </w:r>
      <w:r w:rsidR="00B569C5" w:rsidRPr="00731644">
        <w:rPr>
          <w:lang w:val="fr-CH"/>
        </w:rPr>
        <w:t>des personnes</w:t>
      </w:r>
      <w:r w:rsidRPr="00731644">
        <w:rPr>
          <w:lang w:val="fr-CH"/>
        </w:rPr>
        <w:t xml:space="preserve"> déplacées </w:t>
      </w:r>
      <w:r w:rsidR="00E00807" w:rsidRPr="00731644">
        <w:rPr>
          <w:lang w:val="fr-CH"/>
        </w:rPr>
        <w:t>dans</w:t>
      </w:r>
      <w:r w:rsidR="00F31DD5" w:rsidRPr="00731644">
        <w:rPr>
          <w:lang w:val="fr-CH"/>
        </w:rPr>
        <w:t xml:space="preserve"> </w:t>
      </w:r>
      <w:r w:rsidRPr="00731644">
        <w:rPr>
          <w:lang w:val="fr-CH"/>
        </w:rPr>
        <w:t xml:space="preserve">leur </w:t>
      </w:r>
      <w:r w:rsidR="00E00807" w:rsidRPr="00731644">
        <w:rPr>
          <w:lang w:val="fr-CH"/>
        </w:rPr>
        <w:t xml:space="preserve">propre </w:t>
      </w:r>
      <w:r w:rsidRPr="00731644">
        <w:rPr>
          <w:lang w:val="fr-CH"/>
        </w:rPr>
        <w:t>pays</w:t>
      </w:r>
      <w:r w:rsidR="00E00807" w:rsidRPr="00731644">
        <w:rPr>
          <w:lang w:val="fr-CH"/>
        </w:rPr>
        <w:t xml:space="preserve"> </w:t>
      </w:r>
      <w:r w:rsidR="00E10D56" w:rsidRPr="00731644">
        <w:rPr>
          <w:lang w:val="fr-CH"/>
        </w:rPr>
        <w:t xml:space="preserve">qui résident </w:t>
      </w:r>
      <w:r w:rsidR="00E00807" w:rsidRPr="00731644">
        <w:rPr>
          <w:lang w:val="fr-CH"/>
        </w:rPr>
        <w:t xml:space="preserve">au Monténégro </w:t>
      </w:r>
    </w:p>
    <w:p w:rsidR="00E00807" w:rsidRPr="00731644" w:rsidRDefault="00655F5D" w:rsidP="004C7BF6">
      <w:pPr>
        <w:pStyle w:val="SingleTxtG"/>
        <w:rPr>
          <w:lang w:val="fr-CH"/>
        </w:rPr>
      </w:pPr>
      <w:r w:rsidRPr="00731644">
        <w:rPr>
          <w:lang w:val="fr-CH"/>
        </w:rPr>
        <w:t>270.</w:t>
      </w:r>
      <w:r w:rsidRPr="00731644">
        <w:rPr>
          <w:lang w:val="fr-CH"/>
        </w:rPr>
        <w:tab/>
      </w:r>
      <w:r w:rsidR="00E10D56" w:rsidRPr="00731644">
        <w:rPr>
          <w:lang w:val="fr-CH"/>
        </w:rPr>
        <w:t>L</w:t>
      </w:r>
      <w:r w:rsidR="00E00807" w:rsidRPr="00731644">
        <w:rPr>
          <w:lang w:val="fr-CH"/>
        </w:rPr>
        <w:t xml:space="preserve">a </w:t>
      </w:r>
      <w:r w:rsidR="00E00807" w:rsidRPr="00CD7AFB">
        <w:rPr>
          <w:iCs/>
          <w:lang w:val="fr-CH"/>
        </w:rPr>
        <w:t>loi relative à l</w:t>
      </w:r>
      <w:r w:rsidR="00425386" w:rsidRPr="00CD7AFB">
        <w:rPr>
          <w:iCs/>
          <w:lang w:val="fr-CH"/>
        </w:rPr>
        <w:t>’</w:t>
      </w:r>
      <w:r w:rsidR="00E00807" w:rsidRPr="00CD7AFB">
        <w:rPr>
          <w:iCs/>
          <w:lang w:val="fr-CH"/>
        </w:rPr>
        <w:t xml:space="preserve">emploi et </w:t>
      </w:r>
      <w:r w:rsidR="00E42688" w:rsidRPr="00CD7AFB">
        <w:rPr>
          <w:iCs/>
          <w:lang w:val="fr-CH"/>
        </w:rPr>
        <w:t>aux</w:t>
      </w:r>
      <w:r w:rsidR="00E00807" w:rsidRPr="00CD7AFB">
        <w:rPr>
          <w:iCs/>
          <w:lang w:val="fr-CH"/>
        </w:rPr>
        <w:t xml:space="preserve"> droits </w:t>
      </w:r>
      <w:r w:rsidR="00E10D56" w:rsidRPr="00CD7AFB">
        <w:rPr>
          <w:iCs/>
          <w:lang w:val="fr-CH"/>
        </w:rPr>
        <w:t xml:space="preserve">aux </w:t>
      </w:r>
      <w:r w:rsidR="00D853F8" w:rsidRPr="00CD7AFB">
        <w:rPr>
          <w:iCs/>
          <w:lang w:val="fr-CH"/>
        </w:rPr>
        <w:t>prest</w:t>
      </w:r>
      <w:r w:rsidR="00E10D56" w:rsidRPr="00CD7AFB">
        <w:rPr>
          <w:iCs/>
          <w:lang w:val="fr-CH"/>
        </w:rPr>
        <w:t>ations de</w:t>
      </w:r>
      <w:r w:rsidR="00E00807" w:rsidRPr="00CD7AFB">
        <w:rPr>
          <w:iCs/>
          <w:lang w:val="fr-CH"/>
        </w:rPr>
        <w:t xml:space="preserve"> l</w:t>
      </w:r>
      <w:r w:rsidR="00425386" w:rsidRPr="00CD7AFB">
        <w:rPr>
          <w:iCs/>
          <w:lang w:val="fr-CH"/>
        </w:rPr>
        <w:t>’</w:t>
      </w:r>
      <w:r w:rsidR="00E00807" w:rsidRPr="00CD7AFB">
        <w:rPr>
          <w:iCs/>
          <w:lang w:val="fr-CH"/>
        </w:rPr>
        <w:t xml:space="preserve">assurance chômage </w:t>
      </w:r>
      <w:r w:rsidR="00E00807" w:rsidRPr="00731644">
        <w:rPr>
          <w:lang w:val="fr-CH"/>
        </w:rPr>
        <w:t>dispose qu</w:t>
      </w:r>
      <w:r w:rsidR="00425386" w:rsidRPr="00731644">
        <w:rPr>
          <w:lang w:val="fr-CH"/>
        </w:rPr>
        <w:t>’</w:t>
      </w:r>
      <w:r w:rsidR="00E00807" w:rsidRPr="00731644">
        <w:rPr>
          <w:lang w:val="fr-CH"/>
        </w:rPr>
        <w:t>un demandeur d</w:t>
      </w:r>
      <w:r w:rsidR="00425386" w:rsidRPr="00731644">
        <w:rPr>
          <w:lang w:val="fr-CH"/>
        </w:rPr>
        <w:t>’</w:t>
      </w:r>
      <w:r w:rsidR="00E00807" w:rsidRPr="00731644">
        <w:rPr>
          <w:lang w:val="fr-CH"/>
        </w:rPr>
        <w:t xml:space="preserve">emploi est une personne âgée de </w:t>
      </w:r>
      <w:r w:rsidR="004C7BF6" w:rsidRPr="00731644">
        <w:rPr>
          <w:lang w:val="fr-CH"/>
        </w:rPr>
        <w:t xml:space="preserve">15 </w:t>
      </w:r>
      <w:r w:rsidR="00E00807" w:rsidRPr="00731644">
        <w:rPr>
          <w:lang w:val="fr-CH"/>
        </w:rPr>
        <w:t>à</w:t>
      </w:r>
      <w:r w:rsidR="004C7BF6" w:rsidRPr="00731644">
        <w:rPr>
          <w:lang w:val="fr-CH"/>
        </w:rPr>
        <w:t xml:space="preserve"> 65</w:t>
      </w:r>
      <w:r w:rsidR="00976D48">
        <w:rPr>
          <w:lang w:val="fr-CH"/>
        </w:rPr>
        <w:t> ans</w:t>
      </w:r>
      <w:r w:rsidR="00E00807" w:rsidRPr="00731644">
        <w:rPr>
          <w:lang w:val="fr-CH"/>
        </w:rPr>
        <w:t>, ressortissante du Monténégro</w:t>
      </w:r>
      <w:r w:rsidR="00E10D56" w:rsidRPr="00731644">
        <w:rPr>
          <w:lang w:val="fr-CH"/>
        </w:rPr>
        <w:t>,</w:t>
      </w:r>
      <w:r w:rsidR="00E00807" w:rsidRPr="00731644">
        <w:rPr>
          <w:lang w:val="fr-CH"/>
        </w:rPr>
        <w:t xml:space="preserve"> ou de nationalité étrangère et titulaire d</w:t>
      </w:r>
      <w:r w:rsidR="00425386" w:rsidRPr="00731644">
        <w:rPr>
          <w:lang w:val="fr-CH"/>
        </w:rPr>
        <w:t>’</w:t>
      </w:r>
      <w:r w:rsidR="00E00807" w:rsidRPr="00731644">
        <w:rPr>
          <w:lang w:val="fr-CH"/>
        </w:rPr>
        <w:t>un permis de travail, qui est inscrite à l</w:t>
      </w:r>
      <w:r w:rsidR="00425386" w:rsidRPr="00731644">
        <w:rPr>
          <w:lang w:val="fr-CH"/>
        </w:rPr>
        <w:t>’</w:t>
      </w:r>
      <w:r w:rsidR="00E00807" w:rsidRPr="00731644">
        <w:rPr>
          <w:lang w:val="fr-CH"/>
        </w:rPr>
        <w:t>Agence pour l</w:t>
      </w:r>
      <w:r w:rsidR="00425386" w:rsidRPr="00731644">
        <w:rPr>
          <w:lang w:val="fr-CH"/>
        </w:rPr>
        <w:t>’</w:t>
      </w:r>
      <w:r w:rsidR="00E00807" w:rsidRPr="00731644">
        <w:rPr>
          <w:lang w:val="fr-CH"/>
        </w:rPr>
        <w:t>emploi, capable ou partiellement capable de travailler, qui n</w:t>
      </w:r>
      <w:r w:rsidR="00425386" w:rsidRPr="00731644">
        <w:rPr>
          <w:lang w:val="fr-CH"/>
        </w:rPr>
        <w:t>’</w:t>
      </w:r>
      <w:r w:rsidR="00E00807" w:rsidRPr="00731644">
        <w:rPr>
          <w:lang w:val="fr-CH"/>
        </w:rPr>
        <w:t xml:space="preserve">a pas de </w:t>
      </w:r>
      <w:r w:rsidR="00E10D56" w:rsidRPr="00731644">
        <w:rPr>
          <w:lang w:val="fr-CH"/>
        </w:rPr>
        <w:t xml:space="preserve">contrat de </w:t>
      </w:r>
      <w:r w:rsidR="00E00807" w:rsidRPr="00731644">
        <w:rPr>
          <w:lang w:val="fr-CH"/>
        </w:rPr>
        <w:t xml:space="preserve">travail et qui cherche activement un emploi. </w:t>
      </w:r>
    </w:p>
    <w:p w:rsidR="00C11DE6" w:rsidRPr="00731644" w:rsidRDefault="00655F5D" w:rsidP="004C7BF6">
      <w:pPr>
        <w:pStyle w:val="SingleTxtG"/>
        <w:rPr>
          <w:lang w:val="fr-CH"/>
        </w:rPr>
      </w:pPr>
      <w:r w:rsidRPr="00731644">
        <w:rPr>
          <w:lang w:val="fr-CH"/>
        </w:rPr>
        <w:t>271.</w:t>
      </w:r>
      <w:r w:rsidRPr="00731644">
        <w:rPr>
          <w:lang w:val="fr-CH"/>
        </w:rPr>
        <w:tab/>
      </w:r>
      <w:r w:rsidR="00E00807" w:rsidRPr="00731644">
        <w:rPr>
          <w:lang w:val="fr-CH"/>
        </w:rPr>
        <w:t>Peuvent s</w:t>
      </w:r>
      <w:r w:rsidR="00425386" w:rsidRPr="00731644">
        <w:rPr>
          <w:lang w:val="fr-CH"/>
        </w:rPr>
        <w:t>’</w:t>
      </w:r>
      <w:r w:rsidR="00E00807" w:rsidRPr="00731644">
        <w:rPr>
          <w:lang w:val="fr-CH"/>
        </w:rPr>
        <w:t>inscrire à l</w:t>
      </w:r>
      <w:r w:rsidR="00425386" w:rsidRPr="00731644">
        <w:rPr>
          <w:lang w:val="fr-CH"/>
        </w:rPr>
        <w:t>’</w:t>
      </w:r>
      <w:r w:rsidR="00E00807" w:rsidRPr="00731644">
        <w:rPr>
          <w:lang w:val="fr-CH"/>
        </w:rPr>
        <w:t>Agence pour l</w:t>
      </w:r>
      <w:r w:rsidR="00425386" w:rsidRPr="00731644">
        <w:rPr>
          <w:lang w:val="fr-CH"/>
        </w:rPr>
        <w:t>’</w:t>
      </w:r>
      <w:r w:rsidR="00E00807" w:rsidRPr="00731644">
        <w:rPr>
          <w:lang w:val="fr-CH"/>
        </w:rPr>
        <w:t xml:space="preserve">emploi les étrangers qui sont des résidents permanents, </w:t>
      </w:r>
      <w:r w:rsidR="00174B70" w:rsidRPr="00731644">
        <w:rPr>
          <w:lang w:val="fr-CH"/>
        </w:rPr>
        <w:t>l</w:t>
      </w:r>
      <w:r w:rsidR="00E00807" w:rsidRPr="00731644">
        <w:rPr>
          <w:lang w:val="fr-CH"/>
        </w:rPr>
        <w:t xml:space="preserve">es réfugiés reconnus comme tels en vertu de la </w:t>
      </w:r>
      <w:r w:rsidR="00E00807" w:rsidRPr="008B6294">
        <w:rPr>
          <w:iCs/>
          <w:lang w:val="fr-CH"/>
        </w:rPr>
        <w:t>loi relative à l</w:t>
      </w:r>
      <w:r w:rsidR="00425386" w:rsidRPr="008B6294">
        <w:rPr>
          <w:iCs/>
          <w:lang w:val="fr-CH"/>
        </w:rPr>
        <w:t>’</w:t>
      </w:r>
      <w:r w:rsidR="00E00807" w:rsidRPr="008B6294">
        <w:rPr>
          <w:iCs/>
          <w:lang w:val="fr-CH"/>
        </w:rPr>
        <w:t>asile</w:t>
      </w:r>
      <w:r w:rsidR="00E00807" w:rsidRPr="00731644">
        <w:rPr>
          <w:lang w:val="fr-CH"/>
        </w:rPr>
        <w:t xml:space="preserve">, et </w:t>
      </w:r>
      <w:r w:rsidR="00CB7658" w:rsidRPr="00731644">
        <w:rPr>
          <w:lang w:val="fr-CH"/>
        </w:rPr>
        <w:t>les personnes</w:t>
      </w:r>
      <w:r w:rsidR="00E00807" w:rsidRPr="00731644">
        <w:rPr>
          <w:lang w:val="fr-CH"/>
        </w:rPr>
        <w:t xml:space="preserve"> bénéficiant de la protection subsidiaire </w:t>
      </w:r>
      <w:r w:rsidR="00161362" w:rsidRPr="00731644">
        <w:rPr>
          <w:lang w:val="fr-CH"/>
        </w:rPr>
        <w:t>au titre</w:t>
      </w:r>
      <w:r w:rsidR="00E00807" w:rsidRPr="00731644">
        <w:rPr>
          <w:lang w:val="fr-CH"/>
        </w:rPr>
        <w:t xml:space="preserve"> de cette même loi.</w:t>
      </w:r>
      <w:r w:rsidR="00161362" w:rsidRPr="00731644">
        <w:rPr>
          <w:lang w:val="fr-CH"/>
        </w:rPr>
        <w:t xml:space="preserve"> Toutes ces catégories d</w:t>
      </w:r>
      <w:r w:rsidR="00425386" w:rsidRPr="00731644">
        <w:rPr>
          <w:lang w:val="fr-CH"/>
        </w:rPr>
        <w:t>’</w:t>
      </w:r>
      <w:r w:rsidR="00161362" w:rsidRPr="00731644">
        <w:rPr>
          <w:lang w:val="fr-CH"/>
        </w:rPr>
        <w:t xml:space="preserve">étrangers peuvent obtenir </w:t>
      </w:r>
      <w:r w:rsidR="00174B70" w:rsidRPr="00731644">
        <w:rPr>
          <w:lang w:val="fr-CH"/>
        </w:rPr>
        <w:t xml:space="preserve">sur demande </w:t>
      </w:r>
      <w:r w:rsidR="00161362" w:rsidRPr="00731644">
        <w:rPr>
          <w:lang w:val="fr-CH"/>
        </w:rPr>
        <w:t>un permis de travail délivré par l</w:t>
      </w:r>
      <w:r w:rsidR="00425386" w:rsidRPr="00731644">
        <w:rPr>
          <w:lang w:val="fr-CH"/>
        </w:rPr>
        <w:t>’</w:t>
      </w:r>
      <w:r w:rsidR="00161362" w:rsidRPr="00731644">
        <w:rPr>
          <w:lang w:val="fr-CH"/>
        </w:rPr>
        <w:t>Agence pour l</w:t>
      </w:r>
      <w:r w:rsidR="00425386" w:rsidRPr="00731644">
        <w:rPr>
          <w:lang w:val="fr-CH"/>
        </w:rPr>
        <w:t>’</w:t>
      </w:r>
      <w:r w:rsidR="00161362" w:rsidRPr="00731644">
        <w:rPr>
          <w:lang w:val="fr-CH"/>
        </w:rPr>
        <w:t xml:space="preserve">emploi conformément à la </w:t>
      </w:r>
      <w:r w:rsidR="00161362" w:rsidRPr="008B6294">
        <w:rPr>
          <w:iCs/>
          <w:lang w:val="fr-CH"/>
        </w:rPr>
        <w:t>loi relative à l</w:t>
      </w:r>
      <w:r w:rsidR="00425386" w:rsidRPr="008B6294">
        <w:rPr>
          <w:iCs/>
          <w:lang w:val="fr-CH"/>
        </w:rPr>
        <w:t>’</w:t>
      </w:r>
      <w:r w:rsidR="00161362" w:rsidRPr="008B6294">
        <w:rPr>
          <w:iCs/>
          <w:lang w:val="fr-CH"/>
        </w:rPr>
        <w:t xml:space="preserve">emploi et au travail des étrangers </w:t>
      </w:r>
      <w:r w:rsidR="00161362" w:rsidRPr="00731644">
        <w:rPr>
          <w:lang w:val="fr-CH"/>
        </w:rPr>
        <w:t>(</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161362" w:rsidRPr="00731644">
        <w:rPr>
          <w:lang w:val="fr-CH"/>
        </w:rPr>
        <w:t xml:space="preserve"> </w:t>
      </w:r>
      <w:r w:rsidR="005072A0">
        <w:rPr>
          <w:lang w:val="fr-CH"/>
        </w:rPr>
        <w:t>n</w:t>
      </w:r>
      <w:r w:rsidR="005072A0" w:rsidRPr="005072A0">
        <w:rPr>
          <w:vertAlign w:val="superscript"/>
          <w:lang w:val="fr-CH"/>
        </w:rPr>
        <w:t>o</w:t>
      </w:r>
      <w:r w:rsidR="005072A0">
        <w:rPr>
          <w:lang w:val="fr-CH"/>
        </w:rPr>
        <w:t> </w:t>
      </w:r>
      <w:r w:rsidR="004C7BF6" w:rsidRPr="00731644">
        <w:rPr>
          <w:lang w:val="fr-CH"/>
        </w:rPr>
        <w:t xml:space="preserve">22/08). </w:t>
      </w:r>
      <w:r w:rsidR="00161362" w:rsidRPr="00731644">
        <w:rPr>
          <w:lang w:val="fr-CH"/>
        </w:rPr>
        <w:t>L</w:t>
      </w:r>
      <w:r w:rsidR="00425386" w:rsidRPr="00731644">
        <w:rPr>
          <w:lang w:val="fr-CH"/>
        </w:rPr>
        <w:t>’</w:t>
      </w:r>
      <w:r w:rsidR="00161362" w:rsidRPr="00731644">
        <w:rPr>
          <w:lang w:val="fr-CH"/>
        </w:rPr>
        <w:t>ét</w:t>
      </w:r>
      <w:r w:rsidR="00174B70" w:rsidRPr="00731644">
        <w:rPr>
          <w:lang w:val="fr-CH"/>
        </w:rPr>
        <w:t>r</w:t>
      </w:r>
      <w:r w:rsidR="00161362" w:rsidRPr="00731644">
        <w:rPr>
          <w:lang w:val="fr-CH"/>
        </w:rPr>
        <w:t xml:space="preserve">anger </w:t>
      </w:r>
      <w:r w:rsidR="00174B70" w:rsidRPr="00731644">
        <w:rPr>
          <w:lang w:val="fr-CH"/>
        </w:rPr>
        <w:t>titulaire</w:t>
      </w:r>
      <w:r w:rsidR="00161362" w:rsidRPr="00731644">
        <w:rPr>
          <w:lang w:val="fr-CH"/>
        </w:rPr>
        <w:t xml:space="preserve"> d</w:t>
      </w:r>
      <w:r w:rsidR="00425386" w:rsidRPr="00731644">
        <w:rPr>
          <w:lang w:val="fr-CH"/>
        </w:rPr>
        <w:t>’</w:t>
      </w:r>
      <w:r w:rsidR="00161362" w:rsidRPr="00731644">
        <w:rPr>
          <w:lang w:val="fr-CH"/>
        </w:rPr>
        <w:t xml:space="preserve">un permis de travail peut accéder librement au marché </w:t>
      </w:r>
      <w:r w:rsidR="00174B70" w:rsidRPr="00731644">
        <w:rPr>
          <w:lang w:val="fr-CH"/>
        </w:rPr>
        <w:t>de l</w:t>
      </w:r>
      <w:r w:rsidR="00425386" w:rsidRPr="00731644">
        <w:rPr>
          <w:lang w:val="fr-CH"/>
        </w:rPr>
        <w:t>’</w:t>
      </w:r>
      <w:r w:rsidR="00174B70" w:rsidRPr="00731644">
        <w:rPr>
          <w:lang w:val="fr-CH"/>
        </w:rPr>
        <w:t>emploi</w:t>
      </w:r>
      <w:r w:rsidR="00161362" w:rsidRPr="00731644">
        <w:rPr>
          <w:lang w:val="fr-CH"/>
        </w:rPr>
        <w:t xml:space="preserve"> </w:t>
      </w:r>
      <w:r w:rsidR="00C11DE6" w:rsidRPr="00731644">
        <w:rPr>
          <w:lang w:val="fr-CH"/>
        </w:rPr>
        <w:t xml:space="preserve">et </w:t>
      </w:r>
      <w:r w:rsidR="00A332AD" w:rsidRPr="00731644">
        <w:rPr>
          <w:lang w:val="fr-CH"/>
        </w:rPr>
        <w:t>travailler</w:t>
      </w:r>
      <w:r w:rsidR="00C11DE6" w:rsidRPr="00731644">
        <w:rPr>
          <w:lang w:val="fr-CH"/>
        </w:rPr>
        <w:t xml:space="preserve"> dans les mêmes conditions que </w:t>
      </w:r>
      <w:r w:rsidR="00174B70" w:rsidRPr="00731644">
        <w:rPr>
          <w:lang w:val="fr-CH"/>
        </w:rPr>
        <w:t>t</w:t>
      </w:r>
      <w:r w:rsidR="00C11DE6" w:rsidRPr="00731644">
        <w:rPr>
          <w:lang w:val="fr-CH"/>
        </w:rPr>
        <w:t>out national monténégrin</w:t>
      </w:r>
      <w:r w:rsidR="00F31DD5" w:rsidRPr="00731644">
        <w:rPr>
          <w:lang w:val="fr-CH"/>
        </w:rPr>
        <w:t>;</w:t>
      </w:r>
      <w:r w:rsidR="00C11DE6" w:rsidRPr="00731644">
        <w:rPr>
          <w:lang w:val="fr-CH"/>
        </w:rPr>
        <w:t xml:space="preserve"> il peut s</w:t>
      </w:r>
      <w:r w:rsidR="00425386" w:rsidRPr="00731644">
        <w:rPr>
          <w:lang w:val="fr-CH"/>
        </w:rPr>
        <w:t>’</w:t>
      </w:r>
      <w:r w:rsidR="00C11DE6" w:rsidRPr="00731644">
        <w:rPr>
          <w:lang w:val="fr-CH"/>
        </w:rPr>
        <w:t>inscrire à l</w:t>
      </w:r>
      <w:r w:rsidR="00425386" w:rsidRPr="00731644">
        <w:rPr>
          <w:lang w:val="fr-CH"/>
        </w:rPr>
        <w:t>’</w:t>
      </w:r>
      <w:r w:rsidR="00C11DE6" w:rsidRPr="00731644">
        <w:rPr>
          <w:lang w:val="fr-CH"/>
        </w:rPr>
        <w:t>Agence pour l</w:t>
      </w:r>
      <w:r w:rsidR="00425386" w:rsidRPr="00731644">
        <w:rPr>
          <w:lang w:val="fr-CH"/>
        </w:rPr>
        <w:t>’</w:t>
      </w:r>
      <w:r w:rsidR="00C11DE6" w:rsidRPr="00731644">
        <w:rPr>
          <w:lang w:val="fr-CH"/>
        </w:rPr>
        <w:t>emploi s</w:t>
      </w:r>
      <w:r w:rsidR="00425386" w:rsidRPr="00731644">
        <w:rPr>
          <w:lang w:val="fr-CH"/>
        </w:rPr>
        <w:t>’</w:t>
      </w:r>
      <w:r w:rsidR="00C11DE6" w:rsidRPr="00731644">
        <w:rPr>
          <w:lang w:val="fr-CH"/>
        </w:rPr>
        <w:t xml:space="preserve">il est au chômage et exercer les droits </w:t>
      </w:r>
      <w:r w:rsidR="00174B70" w:rsidRPr="00731644">
        <w:rPr>
          <w:lang w:val="fr-CH"/>
        </w:rPr>
        <w:t>qui en découlent</w:t>
      </w:r>
      <w:r w:rsidR="00C11DE6" w:rsidRPr="00731644">
        <w:rPr>
          <w:lang w:val="fr-CH"/>
        </w:rPr>
        <w:t xml:space="preserve">. </w:t>
      </w:r>
    </w:p>
    <w:p w:rsidR="009B7CE0" w:rsidRPr="00731644" w:rsidRDefault="00655F5D" w:rsidP="009B7CE0">
      <w:pPr>
        <w:pStyle w:val="SingleTxtG"/>
        <w:rPr>
          <w:lang w:val="fr-CH"/>
        </w:rPr>
      </w:pPr>
      <w:r w:rsidRPr="00731644">
        <w:rPr>
          <w:lang w:val="fr-CH"/>
        </w:rPr>
        <w:t>272.</w:t>
      </w:r>
      <w:r w:rsidRPr="00731644">
        <w:rPr>
          <w:lang w:val="fr-CH"/>
        </w:rPr>
        <w:tab/>
      </w:r>
      <w:r w:rsidR="00174B70" w:rsidRPr="00731644">
        <w:rPr>
          <w:lang w:val="fr-CH"/>
        </w:rPr>
        <w:t>L</w:t>
      </w:r>
      <w:r w:rsidR="009D638F" w:rsidRPr="00731644">
        <w:rPr>
          <w:lang w:val="fr-CH"/>
        </w:rPr>
        <w:t>e décret relatif à l</w:t>
      </w:r>
      <w:r w:rsidR="00425386" w:rsidRPr="00731644">
        <w:rPr>
          <w:lang w:val="fr-CH"/>
        </w:rPr>
        <w:t>’</w:t>
      </w:r>
      <w:r w:rsidR="009D638F" w:rsidRPr="00731644">
        <w:rPr>
          <w:lang w:val="fr-CH"/>
        </w:rPr>
        <w:t xml:space="preserve">exercice des droits </w:t>
      </w:r>
      <w:r w:rsidR="00B569C5" w:rsidRPr="00731644">
        <w:rPr>
          <w:lang w:val="fr-CH"/>
        </w:rPr>
        <w:t>des personnes</w:t>
      </w:r>
      <w:r w:rsidR="009D638F" w:rsidRPr="00731644">
        <w:rPr>
          <w:lang w:val="fr-CH"/>
        </w:rPr>
        <w:t xml:space="preserve"> déplacées des républiques de l</w:t>
      </w:r>
      <w:r w:rsidR="00425386" w:rsidRPr="00731644">
        <w:rPr>
          <w:lang w:val="fr-CH"/>
        </w:rPr>
        <w:t>’</w:t>
      </w:r>
      <w:r w:rsidR="009D638F" w:rsidRPr="00731644">
        <w:rPr>
          <w:lang w:val="fr-CH"/>
        </w:rPr>
        <w:t>ex-</w:t>
      </w:r>
      <w:r w:rsidR="00A332AD" w:rsidRPr="00731644">
        <w:rPr>
          <w:lang w:val="fr-CH"/>
        </w:rPr>
        <w:t>Yougoslavie</w:t>
      </w:r>
      <w:r w:rsidR="009D638F" w:rsidRPr="00731644">
        <w:rPr>
          <w:lang w:val="fr-CH"/>
        </w:rPr>
        <w:t xml:space="preserve"> et </w:t>
      </w:r>
      <w:r w:rsidR="00B569C5" w:rsidRPr="00731644">
        <w:rPr>
          <w:lang w:val="fr-CH"/>
        </w:rPr>
        <w:t>des personnes</w:t>
      </w:r>
      <w:r w:rsidR="009D638F" w:rsidRPr="00731644">
        <w:rPr>
          <w:lang w:val="fr-CH"/>
        </w:rPr>
        <w:t xml:space="preserve"> déplacées dans leur propre pays originaires du Kosovo qui résident au Monténégro (</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F47A90">
        <w:rPr>
          <w:lang w:val="fr-CH"/>
        </w:rPr>
        <w:t xml:space="preserve"> </w:t>
      </w:r>
      <w:r w:rsidR="005072A0">
        <w:rPr>
          <w:lang w:val="fr-CH"/>
        </w:rPr>
        <w:t>n</w:t>
      </w:r>
      <w:r w:rsidR="005072A0" w:rsidRPr="005072A0">
        <w:rPr>
          <w:vertAlign w:val="superscript"/>
          <w:lang w:val="fr-CH"/>
        </w:rPr>
        <w:t>o</w:t>
      </w:r>
      <w:r w:rsidR="005072A0">
        <w:rPr>
          <w:lang w:val="fr-CH"/>
        </w:rPr>
        <w:t> </w:t>
      </w:r>
      <w:r w:rsidR="004C7BF6" w:rsidRPr="00731644">
        <w:rPr>
          <w:lang w:val="fr-CH"/>
        </w:rPr>
        <w:t xml:space="preserve">45/10, </w:t>
      </w:r>
      <w:r w:rsidR="009D638F" w:rsidRPr="00731644">
        <w:rPr>
          <w:lang w:val="fr-CH"/>
        </w:rPr>
        <w:t>du 4 août</w:t>
      </w:r>
      <w:r w:rsidR="004C7BF6" w:rsidRPr="00731644">
        <w:rPr>
          <w:lang w:val="fr-CH"/>
        </w:rPr>
        <w:t xml:space="preserve"> 2010</w:t>
      </w:r>
      <w:r w:rsidR="009D638F" w:rsidRPr="00731644">
        <w:rPr>
          <w:lang w:val="fr-CH"/>
        </w:rPr>
        <w:t>)</w:t>
      </w:r>
      <w:r w:rsidR="004C7BF6" w:rsidRPr="00731644">
        <w:rPr>
          <w:lang w:val="fr-CH"/>
        </w:rPr>
        <w:t xml:space="preserve">, </w:t>
      </w:r>
      <w:r w:rsidR="009B7CE0" w:rsidRPr="00731644">
        <w:rPr>
          <w:lang w:val="fr-CH"/>
        </w:rPr>
        <w:t xml:space="preserve">dispose que </w:t>
      </w:r>
      <w:r w:rsidR="00B569C5" w:rsidRPr="00731644">
        <w:rPr>
          <w:lang w:val="fr-CH"/>
        </w:rPr>
        <w:t>ces personnes</w:t>
      </w:r>
      <w:r w:rsidR="009B7CE0" w:rsidRPr="00731644">
        <w:rPr>
          <w:lang w:val="fr-CH"/>
        </w:rPr>
        <w:t>, en attendant d</w:t>
      </w:r>
      <w:r w:rsidR="00425386" w:rsidRPr="00731644">
        <w:rPr>
          <w:lang w:val="fr-CH"/>
        </w:rPr>
        <w:t>’</w:t>
      </w:r>
      <w:r w:rsidR="009B7CE0" w:rsidRPr="00731644">
        <w:rPr>
          <w:lang w:val="fr-CH"/>
        </w:rPr>
        <w:t>acquérir le statut d</w:t>
      </w:r>
      <w:r w:rsidR="00425386" w:rsidRPr="00731644">
        <w:rPr>
          <w:lang w:val="fr-CH"/>
        </w:rPr>
        <w:t>’</w:t>
      </w:r>
      <w:r w:rsidR="009B7CE0" w:rsidRPr="00731644">
        <w:rPr>
          <w:lang w:val="fr-CH"/>
        </w:rPr>
        <w:t>étranger</w:t>
      </w:r>
      <w:r w:rsidR="00174B70" w:rsidRPr="00731644">
        <w:rPr>
          <w:lang w:val="fr-CH"/>
        </w:rPr>
        <w:t>s</w:t>
      </w:r>
      <w:r w:rsidR="009B7CE0" w:rsidRPr="00731644">
        <w:rPr>
          <w:lang w:val="fr-CH"/>
        </w:rPr>
        <w:t xml:space="preserve"> résidents permanent</w:t>
      </w:r>
      <w:r w:rsidR="00174B70" w:rsidRPr="00731644">
        <w:rPr>
          <w:lang w:val="fr-CH"/>
        </w:rPr>
        <w:t>s</w:t>
      </w:r>
      <w:r w:rsidR="009B7CE0" w:rsidRPr="00731644">
        <w:rPr>
          <w:lang w:val="fr-CH"/>
        </w:rPr>
        <w:t xml:space="preserve"> conformément à la </w:t>
      </w:r>
      <w:r w:rsidR="009B7CE0" w:rsidRPr="008B6294">
        <w:rPr>
          <w:iCs/>
          <w:lang w:val="fr-CH"/>
        </w:rPr>
        <w:t>loi relative aux étrangers</w:t>
      </w:r>
      <w:r w:rsidR="009B7CE0" w:rsidRPr="00731644">
        <w:rPr>
          <w:lang w:val="fr-CH"/>
        </w:rPr>
        <w:t>, exercent dans des conditions d</w:t>
      </w:r>
      <w:r w:rsidR="00425386" w:rsidRPr="00731644">
        <w:rPr>
          <w:lang w:val="fr-CH"/>
        </w:rPr>
        <w:t>’</w:t>
      </w:r>
      <w:r w:rsidR="009B7CE0" w:rsidRPr="00731644">
        <w:rPr>
          <w:lang w:val="fr-CH"/>
        </w:rPr>
        <w:t>égalité avec les Monténégrins leurs droits en matière de travail</w:t>
      </w:r>
      <w:r w:rsidR="00174B70" w:rsidRPr="00731644">
        <w:rPr>
          <w:lang w:val="fr-CH"/>
        </w:rPr>
        <w:t>,</w:t>
      </w:r>
      <w:r w:rsidR="009B7CE0" w:rsidRPr="00731644">
        <w:rPr>
          <w:lang w:val="fr-CH"/>
        </w:rPr>
        <w:t xml:space="preserve"> d</w:t>
      </w:r>
      <w:r w:rsidR="00425386" w:rsidRPr="00731644">
        <w:rPr>
          <w:lang w:val="fr-CH"/>
        </w:rPr>
        <w:t>’</w:t>
      </w:r>
      <w:r w:rsidR="009B7CE0" w:rsidRPr="00731644">
        <w:rPr>
          <w:lang w:val="fr-CH"/>
        </w:rPr>
        <w:t xml:space="preserve">emploi et </w:t>
      </w:r>
      <w:r w:rsidR="00174B70" w:rsidRPr="00731644">
        <w:rPr>
          <w:lang w:val="fr-CH"/>
        </w:rPr>
        <w:t>d</w:t>
      </w:r>
      <w:r w:rsidR="00425386" w:rsidRPr="00731644">
        <w:rPr>
          <w:lang w:val="fr-CH"/>
        </w:rPr>
        <w:t>’</w:t>
      </w:r>
      <w:r w:rsidR="00174B70" w:rsidRPr="00731644">
        <w:rPr>
          <w:lang w:val="fr-CH"/>
        </w:rPr>
        <w:t xml:space="preserve">allocations </w:t>
      </w:r>
      <w:r w:rsidR="009B7CE0" w:rsidRPr="00731644">
        <w:rPr>
          <w:lang w:val="fr-CH"/>
        </w:rPr>
        <w:t>chômage conformément à la législation du travail et de l</w:t>
      </w:r>
      <w:r w:rsidR="00425386" w:rsidRPr="00731644">
        <w:rPr>
          <w:lang w:val="fr-CH"/>
        </w:rPr>
        <w:t>’</w:t>
      </w:r>
      <w:r w:rsidR="009B7CE0" w:rsidRPr="00731644">
        <w:rPr>
          <w:lang w:val="fr-CH"/>
        </w:rPr>
        <w:t xml:space="preserve">emploi, sauf </w:t>
      </w:r>
      <w:r w:rsidR="00174B70" w:rsidRPr="00731644">
        <w:rPr>
          <w:lang w:val="fr-CH"/>
        </w:rPr>
        <w:t>lorsqu</w:t>
      </w:r>
      <w:r w:rsidR="00425386" w:rsidRPr="00731644">
        <w:rPr>
          <w:lang w:val="fr-CH"/>
        </w:rPr>
        <w:t>’</w:t>
      </w:r>
      <w:r w:rsidR="00174B70" w:rsidRPr="00731644">
        <w:rPr>
          <w:lang w:val="fr-CH"/>
        </w:rPr>
        <w:t>une</w:t>
      </w:r>
      <w:r w:rsidR="009B7CE0" w:rsidRPr="00731644">
        <w:rPr>
          <w:lang w:val="fr-CH"/>
        </w:rPr>
        <w:t xml:space="preserve"> loi spécifique </w:t>
      </w:r>
      <w:r w:rsidR="00174B70" w:rsidRPr="00731644">
        <w:rPr>
          <w:lang w:val="fr-CH"/>
        </w:rPr>
        <w:t>exige</w:t>
      </w:r>
      <w:r w:rsidR="009B7CE0" w:rsidRPr="00731644">
        <w:rPr>
          <w:lang w:val="fr-CH"/>
        </w:rPr>
        <w:t xml:space="preserve"> la nationalité monténégrine. </w:t>
      </w:r>
    </w:p>
    <w:p w:rsidR="004C7BF6" w:rsidRPr="00731644" w:rsidRDefault="00655F5D" w:rsidP="004C7BF6">
      <w:pPr>
        <w:pStyle w:val="SingleTxtG"/>
        <w:rPr>
          <w:lang w:val="fr-CH"/>
        </w:rPr>
      </w:pPr>
      <w:r w:rsidRPr="00731644">
        <w:rPr>
          <w:lang w:val="fr-CH"/>
        </w:rPr>
        <w:t>273.</w:t>
      </w:r>
      <w:r w:rsidRPr="00731644">
        <w:rPr>
          <w:lang w:val="fr-CH"/>
        </w:rPr>
        <w:tab/>
      </w:r>
      <w:r w:rsidR="009B7CE0" w:rsidRPr="00731644">
        <w:rPr>
          <w:lang w:val="fr-CH"/>
        </w:rPr>
        <w:t>Il s</w:t>
      </w:r>
      <w:r w:rsidR="00425386" w:rsidRPr="00731644">
        <w:rPr>
          <w:lang w:val="fr-CH"/>
        </w:rPr>
        <w:t>’</w:t>
      </w:r>
      <w:r w:rsidR="009B7CE0" w:rsidRPr="00731644">
        <w:rPr>
          <w:lang w:val="fr-CH"/>
        </w:rPr>
        <w:t>ensuit qu</w:t>
      </w:r>
      <w:r w:rsidR="00425386" w:rsidRPr="00731644">
        <w:rPr>
          <w:lang w:val="fr-CH"/>
        </w:rPr>
        <w:t>’</w:t>
      </w:r>
      <w:r w:rsidR="00587316" w:rsidRPr="00731644">
        <w:rPr>
          <w:lang w:val="fr-CH"/>
        </w:rPr>
        <w:t xml:space="preserve">à défaut </w:t>
      </w:r>
      <w:r w:rsidR="00174B70" w:rsidRPr="00731644">
        <w:rPr>
          <w:lang w:val="fr-CH"/>
        </w:rPr>
        <w:t>de pareille</w:t>
      </w:r>
      <w:r w:rsidR="00505F85" w:rsidRPr="00731644">
        <w:rPr>
          <w:lang w:val="fr-CH"/>
        </w:rPr>
        <w:t xml:space="preserve"> loi, </w:t>
      </w:r>
      <w:r w:rsidR="00B569C5" w:rsidRPr="00731644">
        <w:rPr>
          <w:lang w:val="fr-CH"/>
        </w:rPr>
        <w:t>ces personnes</w:t>
      </w:r>
      <w:r w:rsidR="009B7CE0" w:rsidRPr="00731644">
        <w:rPr>
          <w:lang w:val="fr-CH"/>
        </w:rPr>
        <w:t>, en attendant d</w:t>
      </w:r>
      <w:r w:rsidR="00425386" w:rsidRPr="00731644">
        <w:rPr>
          <w:lang w:val="fr-CH"/>
        </w:rPr>
        <w:t>’</w:t>
      </w:r>
      <w:r w:rsidR="009B7CE0" w:rsidRPr="00731644">
        <w:rPr>
          <w:lang w:val="fr-CH"/>
        </w:rPr>
        <w:t>obtenir le statut d</w:t>
      </w:r>
      <w:r w:rsidR="00425386" w:rsidRPr="00731644">
        <w:rPr>
          <w:lang w:val="fr-CH"/>
        </w:rPr>
        <w:t>’</w:t>
      </w:r>
      <w:r w:rsidR="009B7CE0" w:rsidRPr="00731644">
        <w:rPr>
          <w:lang w:val="fr-CH"/>
        </w:rPr>
        <w:t>étranger résident permanent</w:t>
      </w:r>
      <w:r w:rsidR="00587316" w:rsidRPr="00731644">
        <w:rPr>
          <w:lang w:val="fr-CH"/>
        </w:rPr>
        <w:t>,</w:t>
      </w:r>
      <w:r w:rsidR="009B7CE0" w:rsidRPr="00731644">
        <w:rPr>
          <w:lang w:val="fr-CH"/>
        </w:rPr>
        <w:t xml:space="preserve"> peuvent travailler sans </w:t>
      </w:r>
      <w:r w:rsidR="00544DD3" w:rsidRPr="00731644">
        <w:rPr>
          <w:lang w:val="fr-CH"/>
        </w:rPr>
        <w:t xml:space="preserve">avoir </w:t>
      </w:r>
      <w:r w:rsidR="00587316" w:rsidRPr="00731644">
        <w:rPr>
          <w:lang w:val="fr-CH"/>
        </w:rPr>
        <w:t xml:space="preserve">un </w:t>
      </w:r>
      <w:r w:rsidR="009B7CE0" w:rsidRPr="00731644">
        <w:rPr>
          <w:lang w:val="fr-CH"/>
        </w:rPr>
        <w:t>permis de travail délivré par l</w:t>
      </w:r>
      <w:r w:rsidR="00425386" w:rsidRPr="00731644">
        <w:rPr>
          <w:lang w:val="fr-CH"/>
        </w:rPr>
        <w:t>’</w:t>
      </w:r>
      <w:r w:rsidR="009B7CE0" w:rsidRPr="00731644">
        <w:rPr>
          <w:lang w:val="fr-CH"/>
        </w:rPr>
        <w:t>Agence pour l</w:t>
      </w:r>
      <w:r w:rsidR="00425386" w:rsidRPr="00731644">
        <w:rPr>
          <w:lang w:val="fr-CH"/>
        </w:rPr>
        <w:t>’</w:t>
      </w:r>
      <w:r w:rsidR="009B7CE0" w:rsidRPr="00731644">
        <w:rPr>
          <w:lang w:val="fr-CH"/>
        </w:rPr>
        <w:t>emploi</w:t>
      </w:r>
      <w:r w:rsidR="004C7BF6" w:rsidRPr="00731644">
        <w:rPr>
          <w:lang w:val="fr-CH"/>
        </w:rPr>
        <w:t xml:space="preserve">. </w:t>
      </w:r>
      <w:r w:rsidR="00505F85" w:rsidRPr="00731644">
        <w:rPr>
          <w:lang w:val="fr-CH"/>
        </w:rPr>
        <w:t>Si elles sont au chômage, elles peuvent s</w:t>
      </w:r>
      <w:r w:rsidR="00425386" w:rsidRPr="00731644">
        <w:rPr>
          <w:lang w:val="fr-CH"/>
        </w:rPr>
        <w:t>’</w:t>
      </w:r>
      <w:r w:rsidR="00505F85" w:rsidRPr="00731644">
        <w:rPr>
          <w:lang w:val="fr-CH"/>
        </w:rPr>
        <w:t>inscrire à l</w:t>
      </w:r>
      <w:r w:rsidR="00425386" w:rsidRPr="00731644">
        <w:rPr>
          <w:lang w:val="fr-CH"/>
        </w:rPr>
        <w:t>’</w:t>
      </w:r>
      <w:r w:rsidR="00505F85" w:rsidRPr="00731644">
        <w:rPr>
          <w:lang w:val="fr-CH"/>
        </w:rPr>
        <w:t xml:space="preserve">Agence et exercer les droits </w:t>
      </w:r>
      <w:r w:rsidR="00587316" w:rsidRPr="00731644">
        <w:rPr>
          <w:lang w:val="fr-CH"/>
        </w:rPr>
        <w:t>qui s</w:t>
      </w:r>
      <w:r w:rsidR="00425386" w:rsidRPr="00731644">
        <w:rPr>
          <w:lang w:val="fr-CH"/>
        </w:rPr>
        <w:t>’</w:t>
      </w:r>
      <w:r w:rsidR="00587316" w:rsidRPr="00731644">
        <w:rPr>
          <w:lang w:val="fr-CH"/>
        </w:rPr>
        <w:t>attachent à</w:t>
      </w:r>
      <w:r w:rsidR="00505F85" w:rsidRPr="00731644">
        <w:rPr>
          <w:lang w:val="fr-CH"/>
        </w:rPr>
        <w:t xml:space="preserve"> leur inscription, conformément à la </w:t>
      </w:r>
      <w:r w:rsidR="00505F85" w:rsidRPr="000977E1">
        <w:rPr>
          <w:iCs/>
          <w:lang w:val="fr-CH"/>
        </w:rPr>
        <w:t>loi relat</w:t>
      </w:r>
      <w:r w:rsidR="00587316" w:rsidRPr="000977E1">
        <w:rPr>
          <w:iCs/>
          <w:lang w:val="fr-CH"/>
        </w:rPr>
        <w:t>i</w:t>
      </w:r>
      <w:r w:rsidR="00505F85" w:rsidRPr="000977E1">
        <w:rPr>
          <w:iCs/>
          <w:lang w:val="fr-CH"/>
        </w:rPr>
        <w:t>ve à l</w:t>
      </w:r>
      <w:r w:rsidR="00425386" w:rsidRPr="000977E1">
        <w:rPr>
          <w:iCs/>
          <w:lang w:val="fr-CH"/>
        </w:rPr>
        <w:t>’</w:t>
      </w:r>
      <w:r w:rsidR="00505F85" w:rsidRPr="000977E1">
        <w:rPr>
          <w:iCs/>
          <w:lang w:val="fr-CH"/>
        </w:rPr>
        <w:t xml:space="preserve">emploi et </w:t>
      </w:r>
      <w:r w:rsidR="00E42688" w:rsidRPr="000977E1">
        <w:rPr>
          <w:iCs/>
          <w:lang w:val="fr-CH"/>
        </w:rPr>
        <w:t>aux</w:t>
      </w:r>
      <w:r w:rsidR="00505F85" w:rsidRPr="000977E1">
        <w:rPr>
          <w:iCs/>
          <w:lang w:val="fr-CH"/>
        </w:rPr>
        <w:t xml:space="preserve"> droits aux </w:t>
      </w:r>
      <w:r w:rsidR="00E42688" w:rsidRPr="000977E1">
        <w:rPr>
          <w:iCs/>
          <w:lang w:val="fr-CH"/>
        </w:rPr>
        <w:t>prest</w:t>
      </w:r>
      <w:r w:rsidR="00505F85" w:rsidRPr="000977E1">
        <w:rPr>
          <w:iCs/>
          <w:lang w:val="fr-CH"/>
        </w:rPr>
        <w:t>ations de l</w:t>
      </w:r>
      <w:r w:rsidR="00425386" w:rsidRPr="000977E1">
        <w:rPr>
          <w:iCs/>
          <w:lang w:val="fr-CH"/>
        </w:rPr>
        <w:t>’</w:t>
      </w:r>
      <w:r w:rsidR="00A332AD" w:rsidRPr="000977E1">
        <w:rPr>
          <w:iCs/>
          <w:lang w:val="fr-CH"/>
        </w:rPr>
        <w:t>assurance</w:t>
      </w:r>
      <w:r w:rsidR="00505F85" w:rsidRPr="000977E1">
        <w:rPr>
          <w:iCs/>
          <w:lang w:val="fr-CH"/>
        </w:rPr>
        <w:t xml:space="preserve"> chômage</w:t>
      </w:r>
      <w:r w:rsidR="00505F85" w:rsidRPr="00731644">
        <w:rPr>
          <w:lang w:val="fr-CH"/>
        </w:rPr>
        <w:t>. Pour exercer ces droits, elles peuvent prouver leur statut à l</w:t>
      </w:r>
      <w:r w:rsidR="00425386" w:rsidRPr="00731644">
        <w:rPr>
          <w:lang w:val="fr-CH"/>
        </w:rPr>
        <w:t>’</w:t>
      </w:r>
      <w:r w:rsidR="00505F85" w:rsidRPr="00731644">
        <w:rPr>
          <w:lang w:val="fr-CH"/>
        </w:rPr>
        <w:t>aide d</w:t>
      </w:r>
      <w:r w:rsidR="00425386" w:rsidRPr="00731644">
        <w:rPr>
          <w:lang w:val="fr-CH"/>
        </w:rPr>
        <w:t>’</w:t>
      </w:r>
      <w:r w:rsidR="00505F85" w:rsidRPr="00731644">
        <w:rPr>
          <w:lang w:val="fr-CH"/>
        </w:rPr>
        <w:t>un certificat émanant du Bureau de l</w:t>
      </w:r>
      <w:r w:rsidR="00425386" w:rsidRPr="00731644">
        <w:rPr>
          <w:lang w:val="fr-CH"/>
        </w:rPr>
        <w:t>’</w:t>
      </w:r>
      <w:r w:rsidR="00505F85" w:rsidRPr="00731644">
        <w:rPr>
          <w:lang w:val="fr-CH"/>
        </w:rPr>
        <w:t>asile du Ministère des affaires intérieures si elles sont déplacées d</w:t>
      </w:r>
      <w:r w:rsidR="00425386" w:rsidRPr="00731644">
        <w:rPr>
          <w:lang w:val="fr-CH"/>
        </w:rPr>
        <w:t>’</w:t>
      </w:r>
      <w:r w:rsidR="00505F85" w:rsidRPr="00731644">
        <w:rPr>
          <w:lang w:val="fr-CH"/>
        </w:rPr>
        <w:t>une république de l</w:t>
      </w:r>
      <w:r w:rsidR="00425386" w:rsidRPr="00731644">
        <w:rPr>
          <w:lang w:val="fr-CH"/>
        </w:rPr>
        <w:t>’</w:t>
      </w:r>
      <w:r w:rsidR="00505F85" w:rsidRPr="00731644">
        <w:rPr>
          <w:lang w:val="fr-CH"/>
        </w:rPr>
        <w:t>ex-Yougoslavie, et d</w:t>
      </w:r>
      <w:r w:rsidR="00425386" w:rsidRPr="00731644">
        <w:rPr>
          <w:lang w:val="fr-CH"/>
        </w:rPr>
        <w:t>’</w:t>
      </w:r>
      <w:r w:rsidR="00505F85" w:rsidRPr="00731644">
        <w:rPr>
          <w:lang w:val="fr-CH"/>
        </w:rPr>
        <w:t>un certificat délivré par l</w:t>
      </w:r>
      <w:r w:rsidR="00425386" w:rsidRPr="00731644">
        <w:rPr>
          <w:lang w:val="fr-CH"/>
        </w:rPr>
        <w:t>’</w:t>
      </w:r>
      <w:r w:rsidR="00505F85" w:rsidRPr="00731644">
        <w:rPr>
          <w:lang w:val="fr-CH"/>
        </w:rPr>
        <w:t xml:space="preserve">Institut </w:t>
      </w:r>
      <w:r w:rsidR="00587316" w:rsidRPr="00731644">
        <w:rPr>
          <w:lang w:val="fr-CH"/>
        </w:rPr>
        <w:t>d</w:t>
      </w:r>
      <w:r w:rsidR="00425386" w:rsidRPr="00731644">
        <w:rPr>
          <w:lang w:val="fr-CH"/>
        </w:rPr>
        <w:t>’</w:t>
      </w:r>
      <w:r w:rsidR="00587316" w:rsidRPr="00731644">
        <w:rPr>
          <w:lang w:val="fr-CH"/>
        </w:rPr>
        <w:t>aide aux</w:t>
      </w:r>
      <w:r w:rsidR="00505F85" w:rsidRPr="00731644">
        <w:rPr>
          <w:lang w:val="fr-CH"/>
        </w:rPr>
        <w:t xml:space="preserve"> réfugiés si elles sont originaires du Kosovo et déplacées dans leur propre </w:t>
      </w:r>
      <w:r w:rsidR="00A332AD" w:rsidRPr="00731644">
        <w:rPr>
          <w:lang w:val="fr-CH"/>
        </w:rPr>
        <w:t>pays.</w:t>
      </w:r>
    </w:p>
    <w:p w:rsidR="004C7BF6" w:rsidRPr="00731644" w:rsidRDefault="00655F5D" w:rsidP="004C7BF6">
      <w:pPr>
        <w:pStyle w:val="SingleTxtG"/>
        <w:rPr>
          <w:lang w:val="fr-CH"/>
        </w:rPr>
      </w:pPr>
      <w:r w:rsidRPr="00731644">
        <w:rPr>
          <w:lang w:val="fr-CH"/>
        </w:rPr>
        <w:t>274.</w:t>
      </w:r>
      <w:r w:rsidRPr="00731644">
        <w:rPr>
          <w:lang w:val="fr-CH"/>
        </w:rPr>
        <w:tab/>
      </w:r>
      <w:r w:rsidR="00831F11" w:rsidRPr="00731644">
        <w:rPr>
          <w:lang w:val="fr-CH"/>
        </w:rPr>
        <w:t xml:space="preserve">Le décret a pris effet le 12 août </w:t>
      </w:r>
      <w:r w:rsidR="004C7BF6" w:rsidRPr="00731644">
        <w:rPr>
          <w:lang w:val="fr-CH"/>
        </w:rPr>
        <w:t xml:space="preserve">2010 </w:t>
      </w:r>
      <w:r w:rsidR="00831F11" w:rsidRPr="00731644">
        <w:rPr>
          <w:lang w:val="fr-CH"/>
        </w:rPr>
        <w:t>et restera en vigueur jusqu</w:t>
      </w:r>
      <w:r w:rsidR="00425386" w:rsidRPr="00731644">
        <w:rPr>
          <w:lang w:val="fr-CH"/>
        </w:rPr>
        <w:t>’</w:t>
      </w:r>
      <w:r w:rsidR="00831F11" w:rsidRPr="00731644">
        <w:rPr>
          <w:lang w:val="fr-CH"/>
        </w:rPr>
        <w:t xml:space="preserve">au 7 janvier </w:t>
      </w:r>
      <w:r w:rsidR="004C7BF6" w:rsidRPr="00731644">
        <w:rPr>
          <w:lang w:val="fr-CH"/>
        </w:rPr>
        <w:t>2012.</w:t>
      </w:r>
    </w:p>
    <w:p w:rsidR="004C7BF6" w:rsidRPr="00731644" w:rsidRDefault="00655F5D" w:rsidP="004C7BF6">
      <w:pPr>
        <w:pStyle w:val="SingleTxtG"/>
        <w:rPr>
          <w:lang w:val="fr-CH"/>
        </w:rPr>
      </w:pPr>
      <w:r w:rsidRPr="00731644">
        <w:rPr>
          <w:lang w:val="fr-CH"/>
        </w:rPr>
        <w:t>275.</w:t>
      </w:r>
      <w:r w:rsidRPr="00731644">
        <w:rPr>
          <w:lang w:val="fr-CH"/>
        </w:rPr>
        <w:tab/>
      </w:r>
      <w:r w:rsidR="00831F11" w:rsidRPr="00731644">
        <w:rPr>
          <w:lang w:val="fr-CH"/>
        </w:rPr>
        <w:t>En mars</w:t>
      </w:r>
      <w:r w:rsidR="004C7BF6" w:rsidRPr="00731644">
        <w:rPr>
          <w:lang w:val="fr-CH"/>
        </w:rPr>
        <w:t xml:space="preserve"> 2011, 171</w:t>
      </w:r>
      <w:r w:rsidR="00CB7658" w:rsidRPr="00731644">
        <w:rPr>
          <w:lang w:val="fr-CH"/>
        </w:rPr>
        <w:t> personnes</w:t>
      </w:r>
      <w:r w:rsidR="00831F11" w:rsidRPr="00731644">
        <w:rPr>
          <w:lang w:val="fr-CH"/>
        </w:rPr>
        <w:t xml:space="preserve"> déplacées ou déplacées dans leur propre pays étaient inscrites à l</w:t>
      </w:r>
      <w:r w:rsidR="00425386" w:rsidRPr="00731644">
        <w:rPr>
          <w:lang w:val="fr-CH"/>
        </w:rPr>
        <w:t>’</w:t>
      </w:r>
      <w:r w:rsidR="00831F11" w:rsidRPr="00731644">
        <w:rPr>
          <w:lang w:val="fr-CH"/>
        </w:rPr>
        <w:t>Agence pour l</w:t>
      </w:r>
      <w:r w:rsidR="00425386" w:rsidRPr="00731644">
        <w:rPr>
          <w:lang w:val="fr-CH"/>
        </w:rPr>
        <w:t>’</w:t>
      </w:r>
      <w:r w:rsidR="00831F11" w:rsidRPr="00731644">
        <w:rPr>
          <w:lang w:val="fr-CH"/>
        </w:rPr>
        <w:t>emploi</w:t>
      </w:r>
      <w:r w:rsidR="00F31DD5" w:rsidRPr="00731644">
        <w:rPr>
          <w:lang w:val="fr-CH"/>
        </w:rPr>
        <w:t>;</w:t>
      </w:r>
      <w:r w:rsidR="00831F11" w:rsidRPr="00731644">
        <w:rPr>
          <w:lang w:val="fr-CH"/>
        </w:rPr>
        <w:t xml:space="preserve"> quatre étaient des Roms ou des </w:t>
      </w:r>
      <w:r w:rsidR="00587316" w:rsidRPr="00731644">
        <w:rPr>
          <w:lang w:val="fr-CH"/>
        </w:rPr>
        <w:t>t</w:t>
      </w:r>
      <w:r w:rsidR="00A95D03" w:rsidRPr="00731644">
        <w:rPr>
          <w:lang w:val="fr-CH"/>
        </w:rPr>
        <w:t>ziganes</w:t>
      </w:r>
      <w:r w:rsidR="00831F11" w:rsidRPr="00731644">
        <w:rPr>
          <w:lang w:val="fr-CH"/>
        </w:rPr>
        <w:t xml:space="preserve"> sans emploi ni qualification</w:t>
      </w:r>
      <w:r w:rsidR="004C7BF6" w:rsidRPr="00731644">
        <w:rPr>
          <w:lang w:val="fr-CH"/>
        </w:rPr>
        <w:t>.</w:t>
      </w:r>
    </w:p>
    <w:p w:rsidR="004C7BF6" w:rsidRPr="00731644" w:rsidRDefault="00831F11" w:rsidP="00655F5D">
      <w:pPr>
        <w:pStyle w:val="H4G"/>
        <w:rPr>
          <w:lang w:val="fr-CH"/>
        </w:rPr>
      </w:pPr>
      <w:r w:rsidRPr="00731644">
        <w:rPr>
          <w:lang w:val="fr-CH"/>
        </w:rPr>
        <w:tab/>
      </w:r>
      <w:r w:rsidRPr="00731644">
        <w:rPr>
          <w:lang w:val="fr-CH"/>
        </w:rPr>
        <w:tab/>
        <w:t>Le droit au logement</w:t>
      </w:r>
    </w:p>
    <w:p w:rsidR="004C7BF6" w:rsidRPr="00731644" w:rsidRDefault="00655F5D" w:rsidP="004C7BF6">
      <w:pPr>
        <w:pStyle w:val="SingleTxtG"/>
        <w:rPr>
          <w:lang w:val="fr-CH"/>
        </w:rPr>
      </w:pPr>
      <w:r w:rsidRPr="00731644">
        <w:rPr>
          <w:lang w:val="fr-CH"/>
        </w:rPr>
        <w:t>276.</w:t>
      </w:r>
      <w:r w:rsidRPr="00731644">
        <w:rPr>
          <w:lang w:val="fr-CH"/>
        </w:rPr>
        <w:tab/>
      </w:r>
      <w:r w:rsidR="00587316" w:rsidRPr="00731644">
        <w:rPr>
          <w:lang w:val="fr-CH"/>
        </w:rPr>
        <w:t>L</w:t>
      </w:r>
      <w:r w:rsidR="00227546" w:rsidRPr="00731644">
        <w:rPr>
          <w:lang w:val="fr-CH"/>
        </w:rPr>
        <w:t xml:space="preserve">a base de données relatives aux Roms, </w:t>
      </w:r>
      <w:r w:rsidR="002A5033" w:rsidRPr="00731644">
        <w:rPr>
          <w:lang w:val="fr-CH"/>
        </w:rPr>
        <w:t>Ashkali</w:t>
      </w:r>
      <w:r w:rsidR="00227546" w:rsidRPr="00731644">
        <w:rPr>
          <w:lang w:val="fr-CH"/>
        </w:rPr>
        <w:t xml:space="preserve"> et </w:t>
      </w:r>
      <w:r w:rsidR="00587316" w:rsidRPr="00731644">
        <w:rPr>
          <w:lang w:val="fr-CH"/>
        </w:rPr>
        <w:t xml:space="preserve">tziganes </w:t>
      </w:r>
      <w:r w:rsidR="00227546" w:rsidRPr="00731644">
        <w:rPr>
          <w:lang w:val="fr-CH"/>
        </w:rPr>
        <w:t>du Monténégro</w:t>
      </w:r>
      <w:r w:rsidR="00587316" w:rsidRPr="00731644">
        <w:rPr>
          <w:lang w:val="fr-CH"/>
        </w:rPr>
        <w:t xml:space="preserve"> dénombr</w:t>
      </w:r>
      <w:r w:rsidR="00B05C24" w:rsidRPr="00731644">
        <w:rPr>
          <w:lang w:val="fr-CH"/>
        </w:rPr>
        <w:t>ait</w:t>
      </w:r>
      <w:r w:rsidR="00227546" w:rsidRPr="00731644">
        <w:rPr>
          <w:lang w:val="fr-CH"/>
        </w:rPr>
        <w:t xml:space="preserve"> 2 020 appartements occupés par des Roms</w:t>
      </w:r>
      <w:r w:rsidR="003A2C5B" w:rsidRPr="00731644">
        <w:rPr>
          <w:rStyle w:val="FootnoteReference"/>
          <w:lang w:val="fr-CH"/>
        </w:rPr>
        <w:footnoteReference w:id="19"/>
      </w:r>
      <w:r w:rsidR="00544DD3" w:rsidRPr="00731644">
        <w:rPr>
          <w:lang w:val="fr-CH"/>
        </w:rPr>
        <w:t xml:space="preserve">, dont </w:t>
      </w:r>
      <w:r w:rsidR="00B05C24" w:rsidRPr="00731644">
        <w:rPr>
          <w:lang w:val="fr-CH"/>
        </w:rPr>
        <w:t>84,06</w:t>
      </w:r>
      <w:r w:rsidR="006443F6" w:rsidRPr="00731644">
        <w:rPr>
          <w:lang w:val="fr-CH"/>
        </w:rPr>
        <w:t>%</w:t>
      </w:r>
      <w:r w:rsidR="00B05C24" w:rsidRPr="00731644">
        <w:rPr>
          <w:lang w:val="fr-CH"/>
        </w:rPr>
        <w:t xml:space="preserve"> </w:t>
      </w:r>
      <w:r w:rsidR="00427E35" w:rsidRPr="00731644">
        <w:rPr>
          <w:lang w:val="fr-CH"/>
        </w:rPr>
        <w:t>avaie</w:t>
      </w:r>
      <w:r w:rsidR="00227546" w:rsidRPr="00731644">
        <w:rPr>
          <w:lang w:val="fr-CH"/>
        </w:rPr>
        <w:t>nt l</w:t>
      </w:r>
      <w:r w:rsidR="00425386" w:rsidRPr="00731644">
        <w:rPr>
          <w:lang w:val="fr-CH"/>
        </w:rPr>
        <w:t>’</w:t>
      </w:r>
      <w:r w:rsidR="00227546" w:rsidRPr="00731644">
        <w:rPr>
          <w:lang w:val="fr-CH"/>
        </w:rPr>
        <w:t>électricité</w:t>
      </w:r>
      <w:r w:rsidR="00BC0422" w:rsidRPr="00731644">
        <w:rPr>
          <w:lang w:val="fr-CH"/>
        </w:rPr>
        <w:t>. D</w:t>
      </w:r>
      <w:r w:rsidR="00427E35" w:rsidRPr="00731644">
        <w:rPr>
          <w:lang w:val="fr-CH"/>
        </w:rPr>
        <w:t>ans</w:t>
      </w:r>
      <w:r w:rsidR="00227546" w:rsidRPr="00731644">
        <w:rPr>
          <w:lang w:val="fr-CH"/>
        </w:rPr>
        <w:t xml:space="preserve"> 82</w:t>
      </w:r>
      <w:r w:rsidR="00B05C24" w:rsidRPr="00731644">
        <w:rPr>
          <w:lang w:val="fr-CH"/>
        </w:rPr>
        <w:t>,08</w:t>
      </w:r>
      <w:r w:rsidR="006443F6" w:rsidRPr="00731644">
        <w:rPr>
          <w:lang w:val="fr-CH"/>
        </w:rPr>
        <w:t>%</w:t>
      </w:r>
      <w:r w:rsidR="00227546" w:rsidRPr="00731644">
        <w:rPr>
          <w:lang w:val="fr-CH"/>
        </w:rPr>
        <w:t xml:space="preserve"> </w:t>
      </w:r>
      <w:r w:rsidR="00427E35" w:rsidRPr="00731644">
        <w:rPr>
          <w:lang w:val="fr-CH"/>
        </w:rPr>
        <w:t xml:space="preserve">des cas, </w:t>
      </w:r>
      <w:r w:rsidR="00227546" w:rsidRPr="00731644">
        <w:rPr>
          <w:lang w:val="fr-CH"/>
        </w:rPr>
        <w:t>l</w:t>
      </w:r>
      <w:r w:rsidR="00425386" w:rsidRPr="00731644">
        <w:rPr>
          <w:lang w:val="fr-CH"/>
        </w:rPr>
        <w:t>’</w:t>
      </w:r>
      <w:r w:rsidR="00227546" w:rsidRPr="00731644">
        <w:rPr>
          <w:lang w:val="fr-CH"/>
        </w:rPr>
        <w:t xml:space="preserve">eau courante </w:t>
      </w:r>
      <w:r w:rsidR="00BC0422" w:rsidRPr="00731644">
        <w:rPr>
          <w:lang w:val="fr-CH"/>
        </w:rPr>
        <w:t>était disponible</w:t>
      </w:r>
      <w:r w:rsidR="00427E35" w:rsidRPr="00731644">
        <w:rPr>
          <w:lang w:val="fr-CH"/>
        </w:rPr>
        <w:t xml:space="preserve"> dans l</w:t>
      </w:r>
      <w:r w:rsidR="00425386" w:rsidRPr="00731644">
        <w:rPr>
          <w:lang w:val="fr-CH"/>
        </w:rPr>
        <w:t>’</w:t>
      </w:r>
      <w:r w:rsidR="00427E35" w:rsidRPr="00731644">
        <w:rPr>
          <w:lang w:val="fr-CH"/>
        </w:rPr>
        <w:t>appartement ou à proximité</w:t>
      </w:r>
      <w:r w:rsidR="00F31DD5" w:rsidRPr="00731644">
        <w:rPr>
          <w:lang w:val="fr-CH"/>
        </w:rPr>
        <w:t>;</w:t>
      </w:r>
      <w:r w:rsidR="00BC0422" w:rsidRPr="00731644">
        <w:rPr>
          <w:lang w:val="fr-CH"/>
        </w:rPr>
        <w:t xml:space="preserve"> 51,24</w:t>
      </w:r>
      <w:r w:rsidR="006443F6" w:rsidRPr="00731644">
        <w:rPr>
          <w:lang w:val="fr-CH"/>
        </w:rPr>
        <w:t>%</w:t>
      </w:r>
      <w:r w:rsidR="00BC0422" w:rsidRPr="00731644">
        <w:rPr>
          <w:lang w:val="fr-CH"/>
        </w:rPr>
        <w:t xml:space="preserve"> des appartements avaient un écoulement d</w:t>
      </w:r>
      <w:r w:rsidR="00425386" w:rsidRPr="00731644">
        <w:rPr>
          <w:lang w:val="fr-CH"/>
        </w:rPr>
        <w:t>’</w:t>
      </w:r>
      <w:r w:rsidR="00BC0422" w:rsidRPr="00731644">
        <w:rPr>
          <w:lang w:val="fr-CH"/>
        </w:rPr>
        <w:t>eau.</w:t>
      </w:r>
      <w:r w:rsidR="00F31DD5" w:rsidRPr="00731644">
        <w:rPr>
          <w:lang w:val="fr-CH"/>
        </w:rPr>
        <w:t xml:space="preserve"> </w:t>
      </w:r>
      <w:r w:rsidR="00427E35" w:rsidRPr="00731644">
        <w:rPr>
          <w:lang w:val="fr-CH"/>
        </w:rPr>
        <w:t xml:space="preserve">Une décharge publique était accessible dans </w:t>
      </w:r>
      <w:r w:rsidR="004C7BF6" w:rsidRPr="00731644">
        <w:rPr>
          <w:lang w:val="fr-CH"/>
        </w:rPr>
        <w:t>61</w:t>
      </w:r>
      <w:r w:rsidR="006443F6" w:rsidRPr="00731644">
        <w:rPr>
          <w:lang w:val="fr-CH"/>
        </w:rPr>
        <w:t>%</w:t>
      </w:r>
      <w:r w:rsidR="00427E35" w:rsidRPr="00731644">
        <w:rPr>
          <w:lang w:val="fr-CH"/>
        </w:rPr>
        <w:t xml:space="preserve"> des cas</w:t>
      </w:r>
      <w:r w:rsidR="004C7BF6" w:rsidRPr="00731644">
        <w:rPr>
          <w:lang w:val="fr-CH"/>
        </w:rPr>
        <w:t xml:space="preserve">. </w:t>
      </w:r>
      <w:r w:rsidR="00427E35" w:rsidRPr="00731644">
        <w:rPr>
          <w:lang w:val="fr-CH"/>
        </w:rPr>
        <w:t xml:space="preserve">La surface disponible par personne était en moyenne de </w:t>
      </w:r>
      <w:r w:rsidR="004C7BF6" w:rsidRPr="00731644">
        <w:rPr>
          <w:lang w:val="fr-CH"/>
        </w:rPr>
        <w:t>8</w:t>
      </w:r>
      <w:r w:rsidR="00427E35" w:rsidRPr="00731644">
        <w:rPr>
          <w:lang w:val="fr-CH"/>
        </w:rPr>
        <w:t>,</w:t>
      </w:r>
      <w:r w:rsidR="00976D48">
        <w:rPr>
          <w:lang w:val="fr-CH"/>
        </w:rPr>
        <w:t>3 </w:t>
      </w:r>
      <w:r w:rsidR="004C7BF6" w:rsidRPr="00731644">
        <w:rPr>
          <w:lang w:val="fr-CH"/>
        </w:rPr>
        <w:t>m</w:t>
      </w:r>
      <w:r w:rsidR="004C7BF6" w:rsidRPr="00976D48">
        <w:rPr>
          <w:vertAlign w:val="superscript"/>
          <w:lang w:val="fr-CH"/>
        </w:rPr>
        <w:t>2</w:t>
      </w:r>
      <w:r w:rsidR="004C7BF6" w:rsidRPr="00731644">
        <w:rPr>
          <w:lang w:val="fr-CH"/>
        </w:rPr>
        <w:t xml:space="preserve">. </w:t>
      </w:r>
      <w:r w:rsidR="00B05C24" w:rsidRPr="00731644">
        <w:rPr>
          <w:lang w:val="fr-CH"/>
        </w:rPr>
        <w:t xml:space="preserve">Trente-sept pour cent de ces </w:t>
      </w:r>
      <w:r w:rsidR="00427E35" w:rsidRPr="00731644">
        <w:rPr>
          <w:lang w:val="fr-CH"/>
        </w:rPr>
        <w:t xml:space="preserve">logements </w:t>
      </w:r>
      <w:r w:rsidR="00B05C24" w:rsidRPr="00731644">
        <w:rPr>
          <w:lang w:val="fr-CH"/>
        </w:rPr>
        <w:t xml:space="preserve">avaient une structure </w:t>
      </w:r>
      <w:r w:rsidR="00427E35" w:rsidRPr="00731644">
        <w:rPr>
          <w:lang w:val="fr-CH"/>
        </w:rPr>
        <w:t>en bois</w:t>
      </w:r>
      <w:r w:rsidR="00B05C24" w:rsidRPr="00731644">
        <w:rPr>
          <w:lang w:val="fr-CH"/>
        </w:rPr>
        <w:t>, et</w:t>
      </w:r>
      <w:r w:rsidR="00427E35" w:rsidRPr="00731644">
        <w:rPr>
          <w:lang w:val="fr-CH"/>
        </w:rPr>
        <w:t xml:space="preserve"> </w:t>
      </w:r>
      <w:r w:rsidR="00B05C24" w:rsidRPr="00731644">
        <w:rPr>
          <w:lang w:val="fr-CH"/>
        </w:rPr>
        <w:t>53</w:t>
      </w:r>
      <w:r w:rsidR="006443F6" w:rsidRPr="00731644">
        <w:rPr>
          <w:lang w:val="fr-CH"/>
        </w:rPr>
        <w:t>%</w:t>
      </w:r>
      <w:r w:rsidR="00B05C24" w:rsidRPr="00731644">
        <w:rPr>
          <w:lang w:val="fr-CH"/>
        </w:rPr>
        <w:t xml:space="preserve"> une structure</w:t>
      </w:r>
      <w:r w:rsidR="00427E35" w:rsidRPr="00731644">
        <w:rPr>
          <w:lang w:val="fr-CH"/>
        </w:rPr>
        <w:t xml:space="preserve"> maçonnée.</w:t>
      </w:r>
      <w:r w:rsidR="00F31DD5" w:rsidRPr="00731644">
        <w:rPr>
          <w:lang w:val="fr-CH"/>
        </w:rPr>
        <w:t xml:space="preserve"> </w:t>
      </w:r>
      <w:r w:rsidR="00427E35" w:rsidRPr="00731644">
        <w:rPr>
          <w:lang w:val="fr-CH"/>
        </w:rPr>
        <w:t>Les habitations restantes (10</w:t>
      </w:r>
      <w:r w:rsidR="006443F6" w:rsidRPr="00731644">
        <w:rPr>
          <w:lang w:val="fr-CH"/>
        </w:rPr>
        <w:t>%</w:t>
      </w:r>
      <w:r w:rsidR="00427E35" w:rsidRPr="00731644">
        <w:rPr>
          <w:lang w:val="fr-CH"/>
        </w:rPr>
        <w:t xml:space="preserve">) étaient </w:t>
      </w:r>
      <w:r w:rsidR="00B05C24" w:rsidRPr="00731644">
        <w:rPr>
          <w:lang w:val="fr-CH"/>
        </w:rPr>
        <w:t>d</w:t>
      </w:r>
      <w:r w:rsidR="00425386" w:rsidRPr="00731644">
        <w:rPr>
          <w:lang w:val="fr-CH"/>
        </w:rPr>
        <w:t>’</w:t>
      </w:r>
      <w:r w:rsidR="00B05C24" w:rsidRPr="00731644">
        <w:rPr>
          <w:lang w:val="fr-CH"/>
        </w:rPr>
        <w:t xml:space="preserve">une </w:t>
      </w:r>
      <w:r w:rsidR="00427E35" w:rsidRPr="00731644">
        <w:rPr>
          <w:lang w:val="fr-CH"/>
        </w:rPr>
        <w:t>aut</w:t>
      </w:r>
      <w:r w:rsidR="00B05C24" w:rsidRPr="00731644">
        <w:rPr>
          <w:lang w:val="fr-CH"/>
        </w:rPr>
        <w:t>r</w:t>
      </w:r>
      <w:r w:rsidR="00427E35" w:rsidRPr="00731644">
        <w:rPr>
          <w:lang w:val="fr-CH"/>
        </w:rPr>
        <w:t>e sorte (</w:t>
      </w:r>
      <w:r w:rsidR="00B05C24" w:rsidRPr="00731644">
        <w:rPr>
          <w:lang w:val="fr-CH"/>
        </w:rPr>
        <w:t xml:space="preserve">assemblage de </w:t>
      </w:r>
      <w:r w:rsidR="00427E35" w:rsidRPr="00731644">
        <w:rPr>
          <w:lang w:val="fr-CH"/>
        </w:rPr>
        <w:t>carton</w:t>
      </w:r>
      <w:r w:rsidR="00B05C24" w:rsidRPr="00731644">
        <w:rPr>
          <w:lang w:val="fr-CH"/>
        </w:rPr>
        <w:t>s</w:t>
      </w:r>
      <w:r w:rsidR="00427E35" w:rsidRPr="00731644">
        <w:rPr>
          <w:lang w:val="fr-CH"/>
        </w:rPr>
        <w:t>, caravane, logement collectif, etc.)</w:t>
      </w:r>
      <w:r w:rsidR="004C7BF6" w:rsidRPr="00731644">
        <w:rPr>
          <w:lang w:val="fr-CH"/>
        </w:rPr>
        <w:t xml:space="preserve">. </w:t>
      </w:r>
      <w:r w:rsidR="00427E35" w:rsidRPr="00731644">
        <w:rPr>
          <w:lang w:val="fr-CH"/>
        </w:rPr>
        <w:t xml:space="preserve">Trente-cinq pour cent des Roms </w:t>
      </w:r>
      <w:r w:rsidR="00887A3D" w:rsidRPr="00731644">
        <w:rPr>
          <w:lang w:val="fr-CH"/>
        </w:rPr>
        <w:t>interrogés</w:t>
      </w:r>
      <w:r w:rsidR="00427E35" w:rsidRPr="00731644">
        <w:rPr>
          <w:lang w:val="fr-CH"/>
        </w:rPr>
        <w:t xml:space="preserve"> </w:t>
      </w:r>
      <w:r w:rsidR="00BC0422" w:rsidRPr="00731644">
        <w:rPr>
          <w:lang w:val="fr-CH"/>
        </w:rPr>
        <w:t xml:space="preserve">étaient réputés propriétaires, et </w:t>
      </w:r>
      <w:r w:rsidR="004825C8" w:rsidRPr="00731644">
        <w:rPr>
          <w:lang w:val="fr-CH"/>
        </w:rPr>
        <w:t>34</w:t>
      </w:r>
      <w:r w:rsidR="006443F6" w:rsidRPr="00731644">
        <w:rPr>
          <w:lang w:val="fr-CH"/>
        </w:rPr>
        <w:t>%</w:t>
      </w:r>
      <w:r w:rsidR="004825C8" w:rsidRPr="00731644">
        <w:rPr>
          <w:lang w:val="fr-CH"/>
        </w:rPr>
        <w:t xml:space="preserve"> </w:t>
      </w:r>
      <w:r w:rsidR="00544DD3" w:rsidRPr="00731644">
        <w:rPr>
          <w:lang w:val="fr-CH"/>
        </w:rPr>
        <w:t xml:space="preserve">de ces derniers </w:t>
      </w:r>
      <w:r w:rsidR="00BC0422" w:rsidRPr="00731644">
        <w:rPr>
          <w:lang w:val="fr-CH"/>
        </w:rPr>
        <w:t>n</w:t>
      </w:r>
      <w:r w:rsidR="00425386" w:rsidRPr="00731644">
        <w:rPr>
          <w:lang w:val="fr-CH"/>
        </w:rPr>
        <w:t>’</w:t>
      </w:r>
      <w:r w:rsidR="00BC0422" w:rsidRPr="00731644">
        <w:rPr>
          <w:lang w:val="fr-CH"/>
        </w:rPr>
        <w:t xml:space="preserve">avaient aucun </w:t>
      </w:r>
      <w:r w:rsidR="00B05C24" w:rsidRPr="00731644">
        <w:rPr>
          <w:lang w:val="fr-CH"/>
        </w:rPr>
        <w:t>titre</w:t>
      </w:r>
      <w:r w:rsidR="00BC0422" w:rsidRPr="00731644">
        <w:rPr>
          <w:lang w:val="fr-CH"/>
        </w:rPr>
        <w:t xml:space="preserve"> de propriété</w:t>
      </w:r>
      <w:r w:rsidR="00F31DD5" w:rsidRPr="00731644">
        <w:rPr>
          <w:lang w:val="fr-CH"/>
        </w:rPr>
        <w:t>;</w:t>
      </w:r>
      <w:r w:rsidR="00BC0422" w:rsidRPr="00731644">
        <w:rPr>
          <w:lang w:val="fr-CH"/>
        </w:rPr>
        <w:t xml:space="preserve"> 21</w:t>
      </w:r>
      <w:r w:rsidR="006443F6" w:rsidRPr="00731644">
        <w:rPr>
          <w:lang w:val="fr-CH"/>
        </w:rPr>
        <w:t>%</w:t>
      </w:r>
      <w:r w:rsidR="00BC0422" w:rsidRPr="00731644">
        <w:rPr>
          <w:lang w:val="fr-CH"/>
        </w:rPr>
        <w:t xml:space="preserve"> étaient locataires. Quelque 2</w:t>
      </w:r>
      <w:r w:rsidR="006443F6" w:rsidRPr="00731644">
        <w:rPr>
          <w:lang w:val="fr-CH"/>
        </w:rPr>
        <w:t>%</w:t>
      </w:r>
      <w:r w:rsidR="00BC0422" w:rsidRPr="00731644">
        <w:rPr>
          <w:lang w:val="fr-CH"/>
        </w:rPr>
        <w:t xml:space="preserve"> vivaient dans des logements collectifs, et pour 5</w:t>
      </w:r>
      <w:r w:rsidR="006443F6" w:rsidRPr="00731644">
        <w:rPr>
          <w:lang w:val="fr-CH"/>
        </w:rPr>
        <w:t>%</w:t>
      </w:r>
      <w:r w:rsidR="00BC0422" w:rsidRPr="00731644">
        <w:rPr>
          <w:lang w:val="fr-CH"/>
        </w:rPr>
        <w:t xml:space="preserve"> environ </w:t>
      </w:r>
      <w:r w:rsidR="00B569C5" w:rsidRPr="00731644">
        <w:rPr>
          <w:lang w:val="fr-CH"/>
        </w:rPr>
        <w:t>des personnes</w:t>
      </w:r>
      <w:r w:rsidR="00BC0422" w:rsidRPr="00731644">
        <w:rPr>
          <w:lang w:val="fr-CH"/>
        </w:rPr>
        <w:t>, les données font défaut.</w:t>
      </w:r>
      <w:r w:rsidR="00F31DD5" w:rsidRPr="00731644">
        <w:rPr>
          <w:lang w:val="fr-CH"/>
        </w:rPr>
        <w:t xml:space="preserve"> </w:t>
      </w:r>
    </w:p>
    <w:p w:rsidR="004C7BF6" w:rsidRPr="00731644" w:rsidRDefault="00BC0422" w:rsidP="00655F5D">
      <w:pPr>
        <w:pStyle w:val="H4G"/>
        <w:rPr>
          <w:lang w:val="fr-CH"/>
        </w:rPr>
      </w:pPr>
      <w:r w:rsidRPr="00731644">
        <w:rPr>
          <w:lang w:val="fr-CH"/>
        </w:rPr>
        <w:tab/>
      </w:r>
      <w:r w:rsidRPr="00731644">
        <w:rPr>
          <w:lang w:val="fr-CH"/>
        </w:rPr>
        <w:tab/>
        <w:t>Soins de santé et sécurité sociale</w:t>
      </w:r>
    </w:p>
    <w:p w:rsidR="004C7BF6" w:rsidRPr="00731644" w:rsidRDefault="003A2C5B" w:rsidP="00275B13">
      <w:pPr>
        <w:pStyle w:val="SingleTxtG"/>
        <w:rPr>
          <w:lang w:val="fr-CH"/>
        </w:rPr>
      </w:pPr>
      <w:r w:rsidRPr="00731644">
        <w:rPr>
          <w:lang w:val="fr-CH"/>
        </w:rPr>
        <w:t>277.</w:t>
      </w:r>
      <w:r w:rsidRPr="00731644">
        <w:rPr>
          <w:lang w:val="fr-CH"/>
        </w:rPr>
        <w:tab/>
      </w:r>
      <w:r w:rsidR="00BC0422" w:rsidRPr="00731644">
        <w:rPr>
          <w:lang w:val="fr-CH"/>
        </w:rPr>
        <w:t xml:space="preserve">En vertu de </w:t>
      </w:r>
      <w:r w:rsidR="00374D76" w:rsidRPr="00731644">
        <w:rPr>
          <w:lang w:val="fr-CH"/>
        </w:rPr>
        <w:t>l</w:t>
      </w:r>
      <w:r w:rsidR="00425386" w:rsidRPr="00731644">
        <w:rPr>
          <w:lang w:val="fr-CH"/>
        </w:rPr>
        <w:t>’</w:t>
      </w:r>
      <w:r w:rsidR="001753EC">
        <w:rPr>
          <w:lang w:val="fr-CH"/>
        </w:rPr>
        <w:t>article </w:t>
      </w:r>
      <w:r w:rsidR="004C7BF6" w:rsidRPr="00731644">
        <w:rPr>
          <w:lang w:val="fr-CH"/>
        </w:rPr>
        <w:t xml:space="preserve">18 </w:t>
      </w:r>
      <w:r w:rsidR="00BC0422" w:rsidRPr="00731644">
        <w:rPr>
          <w:lang w:val="fr-CH"/>
        </w:rPr>
        <w:t xml:space="preserve">de la </w:t>
      </w:r>
      <w:r w:rsidR="00BC0422" w:rsidRPr="003B4A8D">
        <w:rPr>
          <w:iCs/>
          <w:lang w:val="fr-CH"/>
        </w:rPr>
        <w:t>loi relative aux soins de santé</w:t>
      </w:r>
      <w:r w:rsidR="00BC0422" w:rsidRPr="00731644">
        <w:rPr>
          <w:lang w:val="fr-CH"/>
        </w:rPr>
        <w:t>, tout citoyen monténégrin a droit à l</w:t>
      </w:r>
      <w:r w:rsidR="00425386" w:rsidRPr="00731644">
        <w:rPr>
          <w:lang w:val="fr-CH"/>
        </w:rPr>
        <w:t>’</w:t>
      </w:r>
      <w:r w:rsidR="00BC0422" w:rsidRPr="00731644">
        <w:rPr>
          <w:lang w:val="fr-CH"/>
        </w:rPr>
        <w:t>égalité en matière de soins de santé primai</w:t>
      </w:r>
      <w:r w:rsidR="009177CC" w:rsidRPr="00731644">
        <w:rPr>
          <w:lang w:val="fr-CH"/>
        </w:rPr>
        <w:t>res, secondaires et terti</w:t>
      </w:r>
      <w:r w:rsidR="00BC0422" w:rsidRPr="00731644">
        <w:rPr>
          <w:lang w:val="fr-CH"/>
        </w:rPr>
        <w:t>aires</w:t>
      </w:r>
      <w:r w:rsidR="009177CC" w:rsidRPr="00731644">
        <w:rPr>
          <w:lang w:val="fr-CH"/>
        </w:rPr>
        <w:t>.</w:t>
      </w:r>
      <w:r w:rsidR="00F31DD5" w:rsidRPr="00731644">
        <w:rPr>
          <w:lang w:val="fr-CH"/>
        </w:rPr>
        <w:t xml:space="preserve"> </w:t>
      </w:r>
      <w:r w:rsidR="009177CC" w:rsidRPr="00731644">
        <w:rPr>
          <w:lang w:val="fr-CH"/>
        </w:rPr>
        <w:t xml:space="preserve">Les rapports entre les </w:t>
      </w:r>
      <w:r w:rsidR="004825C8" w:rsidRPr="00731644">
        <w:rPr>
          <w:lang w:val="fr-CH"/>
        </w:rPr>
        <w:t xml:space="preserve">personnels de santé </w:t>
      </w:r>
      <w:r w:rsidR="009177CC" w:rsidRPr="00731644">
        <w:rPr>
          <w:lang w:val="fr-CH"/>
        </w:rPr>
        <w:t>et la population reposent sur le respect mutuel, la confiance et la protection de la dignité de la personne.</w:t>
      </w:r>
      <w:r w:rsidR="00F31DD5" w:rsidRPr="00731644">
        <w:rPr>
          <w:lang w:val="fr-CH"/>
        </w:rPr>
        <w:t xml:space="preserve"> </w:t>
      </w:r>
      <w:r w:rsidR="009177CC" w:rsidRPr="00731644">
        <w:rPr>
          <w:lang w:val="fr-CH"/>
        </w:rPr>
        <w:t>Lors des soins, les convictions personnelles</w:t>
      </w:r>
      <w:r w:rsidR="00F31DD5" w:rsidRPr="00731644">
        <w:rPr>
          <w:lang w:val="fr-CH"/>
        </w:rPr>
        <w:t xml:space="preserve"> – </w:t>
      </w:r>
      <w:r w:rsidR="009177CC" w:rsidRPr="00731644">
        <w:rPr>
          <w:lang w:val="fr-CH"/>
        </w:rPr>
        <w:t>religieuses, culturelles, morales et autres – doivent être respectées</w:t>
      </w:r>
      <w:r w:rsidR="006443F6" w:rsidRPr="00731644">
        <w:rPr>
          <w:lang w:val="fr-CH"/>
        </w:rPr>
        <w:t xml:space="preserve"> </w:t>
      </w:r>
      <w:r w:rsidR="004C7BF6" w:rsidRPr="00731644">
        <w:rPr>
          <w:lang w:val="fr-CH"/>
        </w:rPr>
        <w:t>(</w:t>
      </w:r>
      <w:r w:rsidR="00F31DD5" w:rsidRPr="00731644">
        <w:rPr>
          <w:lang w:val="fr-CH"/>
        </w:rPr>
        <w:t>art. </w:t>
      </w:r>
      <w:r w:rsidR="004C7BF6" w:rsidRPr="00731644">
        <w:rPr>
          <w:lang w:val="fr-CH"/>
        </w:rPr>
        <w:t>20).</w:t>
      </w:r>
    </w:p>
    <w:p w:rsidR="004C7BF6" w:rsidRPr="00731644" w:rsidRDefault="003A2C5B" w:rsidP="004C7BF6">
      <w:pPr>
        <w:pStyle w:val="SingleTxtG"/>
        <w:rPr>
          <w:lang w:val="fr-CH"/>
        </w:rPr>
      </w:pPr>
      <w:r w:rsidRPr="00731644">
        <w:rPr>
          <w:lang w:val="fr-CH"/>
        </w:rPr>
        <w:t>278.</w:t>
      </w:r>
      <w:r w:rsidRPr="00731644">
        <w:rPr>
          <w:lang w:val="fr-CH"/>
        </w:rPr>
        <w:tab/>
      </w:r>
      <w:r w:rsidR="00997714" w:rsidRPr="00731644">
        <w:rPr>
          <w:lang w:val="fr-CH"/>
        </w:rPr>
        <w:t>Les demandeurs d</w:t>
      </w:r>
      <w:r w:rsidR="00425386" w:rsidRPr="00731644">
        <w:rPr>
          <w:lang w:val="fr-CH"/>
        </w:rPr>
        <w:t>’</w:t>
      </w:r>
      <w:r w:rsidR="00997714" w:rsidRPr="00731644">
        <w:rPr>
          <w:lang w:val="fr-CH"/>
        </w:rPr>
        <w:t xml:space="preserve">asile, les réfugiés statutaires, les bénéficiaires de la protection subsidiaire et </w:t>
      </w:r>
      <w:r w:rsidR="00CB7658" w:rsidRPr="00731644">
        <w:rPr>
          <w:lang w:val="fr-CH"/>
        </w:rPr>
        <w:t>les personnes</w:t>
      </w:r>
      <w:r w:rsidR="00997714" w:rsidRPr="00731644">
        <w:rPr>
          <w:lang w:val="fr-CH"/>
        </w:rPr>
        <w:t xml:space="preserve"> à qui le Monténégro a accordé une protection temporaire ont droit aux soins de santé conformément </w:t>
      </w:r>
      <w:r w:rsidR="00544DD3" w:rsidRPr="00731644">
        <w:rPr>
          <w:lang w:val="fr-CH"/>
        </w:rPr>
        <w:t>à</w:t>
      </w:r>
      <w:r w:rsidR="00997714" w:rsidRPr="00731644">
        <w:rPr>
          <w:lang w:val="fr-CH"/>
        </w:rPr>
        <w:t xml:space="preserve"> la loi</w:t>
      </w:r>
      <w:r w:rsidR="00544DD3" w:rsidRPr="00731644">
        <w:rPr>
          <w:lang w:val="fr-CH"/>
        </w:rPr>
        <w:t xml:space="preserve"> précitée</w:t>
      </w:r>
      <w:r w:rsidR="00997714" w:rsidRPr="00731644">
        <w:rPr>
          <w:lang w:val="fr-CH"/>
        </w:rPr>
        <w:t>, sauf disposition contraire d</w:t>
      </w:r>
      <w:r w:rsidR="00425386" w:rsidRPr="00731644">
        <w:rPr>
          <w:lang w:val="fr-CH"/>
        </w:rPr>
        <w:t>’</w:t>
      </w:r>
      <w:r w:rsidR="00997714" w:rsidRPr="00731644">
        <w:rPr>
          <w:lang w:val="fr-CH"/>
        </w:rPr>
        <w:t xml:space="preserve">un accord international. </w:t>
      </w:r>
    </w:p>
    <w:p w:rsidR="004C7BF6" w:rsidRPr="00731644" w:rsidRDefault="003A2C5B" w:rsidP="00275B13">
      <w:pPr>
        <w:pStyle w:val="SingleTxtG"/>
        <w:rPr>
          <w:lang w:val="fr-CH"/>
        </w:rPr>
      </w:pPr>
      <w:r w:rsidRPr="00731644">
        <w:rPr>
          <w:lang w:val="fr-CH"/>
        </w:rPr>
        <w:t>279.</w:t>
      </w:r>
      <w:r w:rsidRPr="00731644">
        <w:rPr>
          <w:lang w:val="fr-CH"/>
        </w:rPr>
        <w:tab/>
      </w:r>
      <w:r w:rsidR="00997714" w:rsidRPr="00731644">
        <w:rPr>
          <w:lang w:val="fr-CH"/>
        </w:rPr>
        <w:t xml:space="preserve">La </w:t>
      </w:r>
      <w:r w:rsidR="00997714" w:rsidRPr="00A828E9">
        <w:rPr>
          <w:i/>
          <w:lang w:val="fr-CH"/>
        </w:rPr>
        <w:t xml:space="preserve">loi </w:t>
      </w:r>
      <w:r w:rsidR="00A332AD" w:rsidRPr="00A828E9">
        <w:rPr>
          <w:i/>
          <w:lang w:val="fr-CH"/>
        </w:rPr>
        <w:t>relative</w:t>
      </w:r>
      <w:r w:rsidR="00997714" w:rsidRPr="00A828E9">
        <w:rPr>
          <w:i/>
          <w:lang w:val="fr-CH"/>
        </w:rPr>
        <w:t xml:space="preserve"> aux droits des patients</w:t>
      </w:r>
      <w:r w:rsidR="00997714" w:rsidRPr="00731644">
        <w:rPr>
          <w:lang w:val="fr-CH"/>
        </w:rPr>
        <w:t xml:space="preserve"> dispose que les usagers des services de santé sont traités dans le respect de la dignité </w:t>
      </w:r>
      <w:r w:rsidR="00544DD3" w:rsidRPr="00731644">
        <w:rPr>
          <w:lang w:val="fr-CH"/>
        </w:rPr>
        <w:t xml:space="preserve">inhérente à </w:t>
      </w:r>
      <w:r w:rsidR="00997714" w:rsidRPr="00731644">
        <w:rPr>
          <w:lang w:val="fr-CH"/>
        </w:rPr>
        <w:t>la personne humaine ainsi que de leur intégrité physique et</w:t>
      </w:r>
      <w:r w:rsidR="00F31DD5" w:rsidRPr="00731644">
        <w:rPr>
          <w:lang w:val="fr-CH"/>
        </w:rPr>
        <w:t xml:space="preserve"> </w:t>
      </w:r>
      <w:r w:rsidR="004C7BF6" w:rsidRPr="00731644">
        <w:rPr>
          <w:lang w:val="fr-CH"/>
        </w:rPr>
        <w:t>psychologi</w:t>
      </w:r>
      <w:r w:rsidR="00997714" w:rsidRPr="00731644">
        <w:rPr>
          <w:lang w:val="fr-CH"/>
        </w:rPr>
        <w:t xml:space="preserve">que, et que leurs droits sont protégés. </w:t>
      </w:r>
      <w:r w:rsidR="00887A3D" w:rsidRPr="00731644">
        <w:rPr>
          <w:lang w:val="fr-CH"/>
        </w:rPr>
        <w:t>Ce texte</w:t>
      </w:r>
      <w:r w:rsidR="00997714" w:rsidRPr="00731644">
        <w:rPr>
          <w:lang w:val="fr-CH"/>
        </w:rPr>
        <w:t xml:space="preserve"> s</w:t>
      </w:r>
      <w:r w:rsidR="00425386" w:rsidRPr="00731644">
        <w:rPr>
          <w:lang w:val="fr-CH"/>
        </w:rPr>
        <w:t>’</w:t>
      </w:r>
      <w:r w:rsidR="00997714" w:rsidRPr="00731644">
        <w:rPr>
          <w:lang w:val="fr-CH"/>
        </w:rPr>
        <w:t xml:space="preserve">applique aussi aux étrangers </w:t>
      </w:r>
      <w:r w:rsidR="00744ADC" w:rsidRPr="00731644">
        <w:rPr>
          <w:lang w:val="fr-CH"/>
        </w:rPr>
        <w:t>soign</w:t>
      </w:r>
      <w:r w:rsidR="00997714" w:rsidRPr="00731644">
        <w:rPr>
          <w:lang w:val="fr-CH"/>
        </w:rPr>
        <w:t xml:space="preserve">és dans les établissements de santé monténégrins en vertu de la loi et des accords internationaux </w:t>
      </w:r>
      <w:r w:rsidR="004C7BF6" w:rsidRPr="00731644">
        <w:rPr>
          <w:lang w:val="fr-CH"/>
        </w:rPr>
        <w:t>(</w:t>
      </w:r>
      <w:r w:rsidR="00F31DD5" w:rsidRPr="00731644">
        <w:rPr>
          <w:lang w:val="fr-CH"/>
        </w:rPr>
        <w:t>art. </w:t>
      </w:r>
      <w:r w:rsidR="004C7BF6" w:rsidRPr="00731644">
        <w:rPr>
          <w:lang w:val="fr-CH"/>
        </w:rPr>
        <w:t xml:space="preserve">3). </w:t>
      </w:r>
      <w:r w:rsidR="00997714" w:rsidRPr="00731644">
        <w:rPr>
          <w:lang w:val="fr-CH"/>
        </w:rPr>
        <w:t>Compte tenu du droit des p</w:t>
      </w:r>
      <w:r w:rsidR="004C7BF6" w:rsidRPr="00731644">
        <w:rPr>
          <w:lang w:val="fr-CH"/>
        </w:rPr>
        <w:t>atients</w:t>
      </w:r>
      <w:r w:rsidR="00997714" w:rsidRPr="00731644">
        <w:rPr>
          <w:lang w:val="fr-CH"/>
        </w:rPr>
        <w:t xml:space="preserve"> à l</w:t>
      </w:r>
      <w:r w:rsidR="00425386" w:rsidRPr="00731644">
        <w:rPr>
          <w:lang w:val="fr-CH"/>
        </w:rPr>
        <w:t>’</w:t>
      </w:r>
      <w:r w:rsidR="004C7BF6" w:rsidRPr="00731644">
        <w:rPr>
          <w:lang w:val="fr-CH"/>
        </w:rPr>
        <w:t xml:space="preserve">information, </w:t>
      </w:r>
      <w:r w:rsidR="00997714" w:rsidRPr="00731644">
        <w:rPr>
          <w:lang w:val="fr-CH"/>
        </w:rPr>
        <w:t>l</w:t>
      </w:r>
      <w:r w:rsidR="00425386" w:rsidRPr="00731644">
        <w:rPr>
          <w:lang w:val="fr-CH"/>
        </w:rPr>
        <w:t>’</w:t>
      </w:r>
      <w:r w:rsidR="00997714" w:rsidRPr="00731644">
        <w:rPr>
          <w:lang w:val="fr-CH"/>
        </w:rPr>
        <w:t>établissement est tenu de fournir les services d</w:t>
      </w:r>
      <w:r w:rsidR="00425386" w:rsidRPr="00731644">
        <w:rPr>
          <w:lang w:val="fr-CH"/>
        </w:rPr>
        <w:t>’</w:t>
      </w:r>
      <w:r w:rsidR="00997714" w:rsidRPr="00731644">
        <w:rPr>
          <w:lang w:val="fr-CH"/>
        </w:rPr>
        <w:t xml:space="preserve">un interprète </w:t>
      </w:r>
      <w:r w:rsidR="00887A3D" w:rsidRPr="00731644">
        <w:rPr>
          <w:lang w:val="fr-CH"/>
        </w:rPr>
        <w:t>à ceux d</w:t>
      </w:r>
      <w:r w:rsidR="00425386" w:rsidRPr="00731644">
        <w:rPr>
          <w:lang w:val="fr-CH"/>
        </w:rPr>
        <w:t>’</w:t>
      </w:r>
      <w:r w:rsidR="00887A3D" w:rsidRPr="00731644">
        <w:rPr>
          <w:lang w:val="fr-CH"/>
        </w:rPr>
        <w:t>entre eux qui ne connaissent pa</w:t>
      </w:r>
      <w:r w:rsidR="00997714" w:rsidRPr="00731644">
        <w:rPr>
          <w:lang w:val="fr-CH"/>
        </w:rPr>
        <w:t>s la</w:t>
      </w:r>
      <w:r w:rsidR="00E9257C" w:rsidRPr="00731644">
        <w:rPr>
          <w:lang w:val="fr-CH"/>
        </w:rPr>
        <w:t xml:space="preserve"> </w:t>
      </w:r>
      <w:r w:rsidR="00997714" w:rsidRPr="00731644">
        <w:rPr>
          <w:lang w:val="fr-CH"/>
        </w:rPr>
        <w:t xml:space="preserve">langue officielle du Monténégro ou </w:t>
      </w:r>
      <w:r w:rsidR="00887A3D" w:rsidRPr="00731644">
        <w:rPr>
          <w:lang w:val="fr-CH"/>
        </w:rPr>
        <w:t>qui sont</w:t>
      </w:r>
      <w:r w:rsidR="00997714" w:rsidRPr="00731644">
        <w:rPr>
          <w:lang w:val="fr-CH"/>
        </w:rPr>
        <w:t xml:space="preserve"> sour</w:t>
      </w:r>
      <w:r w:rsidR="00E9257C" w:rsidRPr="00731644">
        <w:rPr>
          <w:lang w:val="fr-CH"/>
        </w:rPr>
        <w:t>d</w:t>
      </w:r>
      <w:r w:rsidR="00887A3D" w:rsidRPr="00731644">
        <w:rPr>
          <w:lang w:val="fr-CH"/>
        </w:rPr>
        <w:t>s</w:t>
      </w:r>
      <w:r w:rsidR="00997714" w:rsidRPr="00731644">
        <w:rPr>
          <w:lang w:val="fr-CH"/>
        </w:rPr>
        <w:t>-muet</w:t>
      </w:r>
      <w:r w:rsidR="00887A3D" w:rsidRPr="00731644">
        <w:rPr>
          <w:lang w:val="fr-CH"/>
        </w:rPr>
        <w:t>s</w:t>
      </w:r>
      <w:r w:rsidR="00997714" w:rsidRPr="00731644">
        <w:rPr>
          <w:lang w:val="fr-CH"/>
        </w:rPr>
        <w:t xml:space="preserve"> </w:t>
      </w:r>
      <w:r w:rsidR="004C7BF6" w:rsidRPr="00731644">
        <w:rPr>
          <w:lang w:val="fr-CH"/>
        </w:rPr>
        <w:t>(</w:t>
      </w:r>
      <w:r w:rsidR="00F31DD5" w:rsidRPr="00731644">
        <w:rPr>
          <w:lang w:val="fr-CH"/>
        </w:rPr>
        <w:t>art. </w:t>
      </w:r>
      <w:r w:rsidR="004C7BF6" w:rsidRPr="00731644">
        <w:rPr>
          <w:lang w:val="fr-CH"/>
        </w:rPr>
        <w:t>11).</w:t>
      </w:r>
    </w:p>
    <w:p w:rsidR="004C7BF6" w:rsidRPr="00731644" w:rsidRDefault="000B213E" w:rsidP="00275B13">
      <w:pPr>
        <w:pStyle w:val="SingleTxtG"/>
        <w:rPr>
          <w:lang w:val="fr-CH"/>
        </w:rPr>
      </w:pPr>
      <w:r w:rsidRPr="00731644">
        <w:rPr>
          <w:lang w:val="fr-CH"/>
        </w:rPr>
        <w:t>280.</w:t>
      </w:r>
      <w:r w:rsidRPr="00731644">
        <w:rPr>
          <w:lang w:val="fr-CH"/>
        </w:rPr>
        <w:tab/>
      </w:r>
      <w:r w:rsidR="002E1639" w:rsidRPr="00731644">
        <w:rPr>
          <w:lang w:val="fr-CH"/>
        </w:rPr>
        <w:t>Le</w:t>
      </w:r>
      <w:r w:rsidR="004C7BF6" w:rsidRPr="00731644">
        <w:rPr>
          <w:lang w:val="fr-CH"/>
        </w:rPr>
        <w:t xml:space="preserve"> patient </w:t>
      </w:r>
      <w:r w:rsidR="002E1639" w:rsidRPr="00731644">
        <w:rPr>
          <w:lang w:val="fr-CH"/>
        </w:rPr>
        <w:t>qui n</w:t>
      </w:r>
      <w:r w:rsidR="00425386" w:rsidRPr="00731644">
        <w:rPr>
          <w:lang w:val="fr-CH"/>
        </w:rPr>
        <w:t>’</w:t>
      </w:r>
      <w:r w:rsidR="002E1639" w:rsidRPr="00731644">
        <w:rPr>
          <w:lang w:val="fr-CH"/>
        </w:rPr>
        <w:t>est pas satisfait des services de santé peut se plaindre au directeur de l</w:t>
      </w:r>
      <w:r w:rsidR="00425386" w:rsidRPr="00731644">
        <w:rPr>
          <w:lang w:val="fr-CH"/>
        </w:rPr>
        <w:t>’</w:t>
      </w:r>
      <w:r w:rsidR="002E1639" w:rsidRPr="00731644">
        <w:rPr>
          <w:lang w:val="fr-CH"/>
        </w:rPr>
        <w:t xml:space="preserve">établissement ou à la personne </w:t>
      </w:r>
      <w:r w:rsidR="00162991" w:rsidRPr="00731644">
        <w:rPr>
          <w:lang w:val="fr-CH"/>
        </w:rPr>
        <w:t>compétente</w:t>
      </w:r>
      <w:r w:rsidR="002E1639" w:rsidRPr="00731644">
        <w:rPr>
          <w:lang w:val="fr-CH"/>
        </w:rPr>
        <w:t>, c</w:t>
      </w:r>
      <w:r w:rsidR="00425386" w:rsidRPr="00731644">
        <w:rPr>
          <w:lang w:val="fr-CH"/>
        </w:rPr>
        <w:t>’</w:t>
      </w:r>
      <w:r w:rsidR="002E1639" w:rsidRPr="00731644">
        <w:rPr>
          <w:lang w:val="fr-CH"/>
        </w:rPr>
        <w:t xml:space="preserve">est-à-dire au protecteur des </w:t>
      </w:r>
      <w:r w:rsidR="00A332AD" w:rsidRPr="00731644">
        <w:rPr>
          <w:lang w:val="fr-CH"/>
        </w:rPr>
        <w:t>droits</w:t>
      </w:r>
      <w:r w:rsidR="002E1639" w:rsidRPr="00731644">
        <w:rPr>
          <w:lang w:val="fr-CH"/>
        </w:rPr>
        <w:t xml:space="preserve"> des patients </w:t>
      </w:r>
      <w:r w:rsidR="004C7BF6" w:rsidRPr="00731644">
        <w:rPr>
          <w:lang w:val="fr-CH"/>
        </w:rPr>
        <w:t>(</w:t>
      </w:r>
      <w:r w:rsidR="00F31DD5" w:rsidRPr="00731644">
        <w:rPr>
          <w:lang w:val="fr-CH"/>
        </w:rPr>
        <w:t>art. </w:t>
      </w:r>
      <w:r w:rsidR="004C7BF6" w:rsidRPr="00731644">
        <w:rPr>
          <w:lang w:val="fr-CH"/>
        </w:rPr>
        <w:t>31)</w:t>
      </w:r>
      <w:r w:rsidR="00F31DD5" w:rsidRPr="00731644">
        <w:rPr>
          <w:lang w:val="fr-CH"/>
        </w:rPr>
        <w:t>;</w:t>
      </w:r>
      <w:r w:rsidR="002E1639" w:rsidRPr="00731644">
        <w:rPr>
          <w:lang w:val="fr-CH"/>
        </w:rPr>
        <w:t xml:space="preserve"> il a le droit d</w:t>
      </w:r>
      <w:r w:rsidR="00425386" w:rsidRPr="00731644">
        <w:rPr>
          <w:lang w:val="fr-CH"/>
        </w:rPr>
        <w:t>’</w:t>
      </w:r>
      <w:r w:rsidR="002E1639" w:rsidRPr="00731644">
        <w:rPr>
          <w:lang w:val="fr-CH"/>
        </w:rPr>
        <w:t xml:space="preserve">être </w:t>
      </w:r>
      <w:r w:rsidR="00887A3D" w:rsidRPr="00731644">
        <w:rPr>
          <w:lang w:val="fr-CH"/>
        </w:rPr>
        <w:t>indemnis</w:t>
      </w:r>
      <w:r w:rsidR="002E1639" w:rsidRPr="00731644">
        <w:rPr>
          <w:lang w:val="fr-CH"/>
        </w:rPr>
        <w:t>é pour toute aggravation</w:t>
      </w:r>
      <w:r w:rsidR="00F31DD5" w:rsidRPr="00731644">
        <w:rPr>
          <w:lang w:val="fr-CH"/>
        </w:rPr>
        <w:t xml:space="preserve"> </w:t>
      </w:r>
      <w:r w:rsidR="002E1639" w:rsidRPr="00731644">
        <w:rPr>
          <w:lang w:val="fr-CH"/>
        </w:rPr>
        <w:t xml:space="preserve">de son état de santé qui serait due à la conduite irresponsable </w:t>
      </w:r>
      <w:r w:rsidR="00C54BC6" w:rsidRPr="00731644">
        <w:rPr>
          <w:lang w:val="fr-CH"/>
        </w:rPr>
        <w:t xml:space="preserve">et au manque de </w:t>
      </w:r>
      <w:r w:rsidR="00A332AD" w:rsidRPr="00731644">
        <w:rPr>
          <w:lang w:val="fr-CH"/>
        </w:rPr>
        <w:t>professionnalisme</w:t>
      </w:r>
      <w:r w:rsidR="00C54BC6" w:rsidRPr="00731644">
        <w:rPr>
          <w:lang w:val="fr-CH"/>
        </w:rPr>
        <w:t xml:space="preserve"> </w:t>
      </w:r>
      <w:r w:rsidR="00887A3D" w:rsidRPr="00731644">
        <w:rPr>
          <w:lang w:val="fr-CH"/>
        </w:rPr>
        <w:t>d</w:t>
      </w:r>
      <w:r w:rsidR="00425386" w:rsidRPr="00731644">
        <w:rPr>
          <w:lang w:val="fr-CH"/>
        </w:rPr>
        <w:t>’</w:t>
      </w:r>
      <w:r w:rsidR="00887A3D" w:rsidRPr="00731644">
        <w:rPr>
          <w:lang w:val="fr-CH"/>
        </w:rPr>
        <w:t>un membre du personnel</w:t>
      </w:r>
      <w:r w:rsidR="002E1639" w:rsidRPr="00731644">
        <w:rPr>
          <w:lang w:val="fr-CH"/>
        </w:rPr>
        <w:t xml:space="preserve"> de santé</w:t>
      </w:r>
      <w:r w:rsidR="004C7BF6" w:rsidRPr="00731644">
        <w:rPr>
          <w:lang w:val="fr-CH"/>
        </w:rPr>
        <w:t>.</w:t>
      </w:r>
    </w:p>
    <w:p w:rsidR="004C7BF6" w:rsidRPr="00731644" w:rsidRDefault="000B213E" w:rsidP="004C7BF6">
      <w:pPr>
        <w:pStyle w:val="SingleTxtG"/>
        <w:rPr>
          <w:lang w:val="fr-CH"/>
        </w:rPr>
      </w:pPr>
      <w:r w:rsidRPr="00731644">
        <w:rPr>
          <w:lang w:val="fr-CH"/>
        </w:rPr>
        <w:t>281.</w:t>
      </w:r>
      <w:r w:rsidRPr="00731644">
        <w:rPr>
          <w:lang w:val="fr-CH"/>
        </w:rPr>
        <w:tab/>
      </w:r>
      <w:r w:rsidR="002E1639" w:rsidRPr="00731644">
        <w:rPr>
          <w:lang w:val="fr-CH"/>
        </w:rPr>
        <w:t>La partie de la réforme du système de santé qui a trait aux soins de santé primaires ayant été menée à bien, les conditions nécessaires à l</w:t>
      </w:r>
      <w:r w:rsidR="00425386" w:rsidRPr="00731644">
        <w:rPr>
          <w:lang w:val="fr-CH"/>
        </w:rPr>
        <w:t>’</w:t>
      </w:r>
      <w:r w:rsidR="002E1639" w:rsidRPr="00731644">
        <w:rPr>
          <w:lang w:val="fr-CH"/>
        </w:rPr>
        <w:t xml:space="preserve">enregistrement des Roms, </w:t>
      </w:r>
      <w:r w:rsidR="00162991" w:rsidRPr="00731644">
        <w:rPr>
          <w:lang w:val="fr-CH"/>
        </w:rPr>
        <w:t>d</w:t>
      </w:r>
      <w:r w:rsidR="002E1639" w:rsidRPr="00731644">
        <w:rPr>
          <w:lang w:val="fr-CH"/>
        </w:rPr>
        <w:t xml:space="preserve">es </w:t>
      </w:r>
      <w:r w:rsidR="002A5033" w:rsidRPr="00731644">
        <w:rPr>
          <w:lang w:val="fr-CH"/>
        </w:rPr>
        <w:t>Ashkali</w:t>
      </w:r>
      <w:r w:rsidR="002E1639" w:rsidRPr="00731644">
        <w:rPr>
          <w:lang w:val="fr-CH"/>
        </w:rPr>
        <w:t xml:space="preserve"> et </w:t>
      </w:r>
      <w:r w:rsidR="00162991" w:rsidRPr="00731644">
        <w:rPr>
          <w:lang w:val="fr-CH"/>
        </w:rPr>
        <w:t>d</w:t>
      </w:r>
      <w:r w:rsidR="002E1639" w:rsidRPr="00731644">
        <w:rPr>
          <w:lang w:val="fr-CH"/>
        </w:rPr>
        <w:t xml:space="preserve">es </w:t>
      </w:r>
      <w:r w:rsidR="00162991" w:rsidRPr="00731644">
        <w:rPr>
          <w:lang w:val="fr-CH"/>
        </w:rPr>
        <w:t>tziganes</w:t>
      </w:r>
      <w:r w:rsidR="002E1639" w:rsidRPr="00731644">
        <w:rPr>
          <w:lang w:val="fr-CH"/>
        </w:rPr>
        <w:t xml:space="preserve"> ainsi que des réfugiés et </w:t>
      </w:r>
      <w:r w:rsidR="00B569C5" w:rsidRPr="00731644">
        <w:rPr>
          <w:lang w:val="fr-CH"/>
        </w:rPr>
        <w:t>des personnes</w:t>
      </w:r>
      <w:r w:rsidR="002E1639" w:rsidRPr="00731644">
        <w:rPr>
          <w:lang w:val="fr-CH"/>
        </w:rPr>
        <w:t xml:space="preserve"> déplacées en vue de l</w:t>
      </w:r>
      <w:r w:rsidR="00425386" w:rsidRPr="00731644">
        <w:rPr>
          <w:lang w:val="fr-CH"/>
        </w:rPr>
        <w:t>’</w:t>
      </w:r>
      <w:r w:rsidR="002E1639" w:rsidRPr="00731644">
        <w:rPr>
          <w:lang w:val="fr-CH"/>
        </w:rPr>
        <w:t>exercice du droit aux soins de santé et de l</w:t>
      </w:r>
      <w:r w:rsidR="00425386" w:rsidRPr="00731644">
        <w:rPr>
          <w:lang w:val="fr-CH"/>
        </w:rPr>
        <w:t>’</w:t>
      </w:r>
      <w:r w:rsidR="002E1639" w:rsidRPr="00731644">
        <w:rPr>
          <w:lang w:val="fr-CH"/>
        </w:rPr>
        <w:t xml:space="preserve">accès aux établissements </w:t>
      </w:r>
      <w:r w:rsidR="00162991" w:rsidRPr="00731644">
        <w:rPr>
          <w:lang w:val="fr-CH"/>
        </w:rPr>
        <w:t>dans des conditions d</w:t>
      </w:r>
      <w:r w:rsidR="00425386" w:rsidRPr="00731644">
        <w:rPr>
          <w:lang w:val="fr-CH"/>
        </w:rPr>
        <w:t>’</w:t>
      </w:r>
      <w:r w:rsidR="002E1639" w:rsidRPr="00731644">
        <w:rPr>
          <w:lang w:val="fr-CH"/>
        </w:rPr>
        <w:t xml:space="preserve">égalité avec les </w:t>
      </w:r>
      <w:r w:rsidR="00162991" w:rsidRPr="00731644">
        <w:rPr>
          <w:lang w:val="fr-CH"/>
        </w:rPr>
        <w:t>monténégrins</w:t>
      </w:r>
      <w:r w:rsidR="002E1639" w:rsidRPr="00731644">
        <w:rPr>
          <w:lang w:val="fr-CH"/>
        </w:rPr>
        <w:t xml:space="preserve"> sont maintenant réunies.</w:t>
      </w:r>
      <w:r w:rsidR="00E9257C" w:rsidRPr="00731644">
        <w:rPr>
          <w:lang w:val="fr-CH"/>
        </w:rPr>
        <w:t xml:space="preserve"> </w:t>
      </w:r>
      <w:r w:rsidR="00162991" w:rsidRPr="00731644">
        <w:rPr>
          <w:lang w:val="fr-CH"/>
        </w:rPr>
        <w:t xml:space="preserve">Toutes </w:t>
      </w:r>
      <w:r w:rsidR="00B569C5" w:rsidRPr="00731644">
        <w:rPr>
          <w:lang w:val="fr-CH"/>
        </w:rPr>
        <w:t>ces personnes</w:t>
      </w:r>
      <w:r w:rsidR="00162991" w:rsidRPr="00731644">
        <w:rPr>
          <w:lang w:val="fr-CH"/>
        </w:rPr>
        <w:t xml:space="preserve"> sont soignées </w:t>
      </w:r>
      <w:r w:rsidR="00E9257C" w:rsidRPr="00731644">
        <w:rPr>
          <w:lang w:val="fr-CH"/>
        </w:rPr>
        <w:t>temporaire</w:t>
      </w:r>
      <w:r w:rsidR="00162991" w:rsidRPr="00731644">
        <w:rPr>
          <w:lang w:val="fr-CH"/>
        </w:rPr>
        <w:t>ment</w:t>
      </w:r>
      <w:r w:rsidR="00E9257C" w:rsidRPr="00731644">
        <w:rPr>
          <w:lang w:val="fr-CH"/>
        </w:rPr>
        <w:t xml:space="preserve"> jusqu</w:t>
      </w:r>
      <w:r w:rsidR="00425386" w:rsidRPr="00731644">
        <w:rPr>
          <w:lang w:val="fr-CH"/>
        </w:rPr>
        <w:t>’</w:t>
      </w:r>
      <w:r w:rsidR="00E9257C" w:rsidRPr="00731644">
        <w:rPr>
          <w:lang w:val="fr-CH"/>
        </w:rPr>
        <w:t>à ce que l</w:t>
      </w:r>
      <w:r w:rsidR="00162991" w:rsidRPr="00731644">
        <w:rPr>
          <w:lang w:val="fr-CH"/>
        </w:rPr>
        <w:t>eur</w:t>
      </w:r>
      <w:r w:rsidR="00E9257C" w:rsidRPr="00731644">
        <w:rPr>
          <w:lang w:val="fr-CH"/>
        </w:rPr>
        <w:t xml:space="preserve"> situation d</w:t>
      </w:r>
      <w:r w:rsidR="00425386" w:rsidRPr="00731644">
        <w:rPr>
          <w:lang w:val="fr-CH"/>
        </w:rPr>
        <w:t>’</w:t>
      </w:r>
      <w:r w:rsidR="00E9257C" w:rsidRPr="00731644">
        <w:rPr>
          <w:lang w:val="fr-CH"/>
        </w:rPr>
        <w:t>étranger</w:t>
      </w:r>
      <w:r w:rsidR="00162991" w:rsidRPr="00731644">
        <w:rPr>
          <w:lang w:val="fr-CH"/>
        </w:rPr>
        <w:t>s</w:t>
      </w:r>
      <w:r w:rsidR="00E9257C" w:rsidRPr="00731644">
        <w:rPr>
          <w:lang w:val="fr-CH"/>
        </w:rPr>
        <w:t xml:space="preserve"> résident</w:t>
      </w:r>
      <w:r w:rsidR="00162991" w:rsidRPr="00731644">
        <w:rPr>
          <w:lang w:val="fr-CH"/>
        </w:rPr>
        <w:t>s</w:t>
      </w:r>
      <w:r w:rsidR="00E9257C" w:rsidRPr="00731644">
        <w:rPr>
          <w:lang w:val="fr-CH"/>
        </w:rPr>
        <w:t xml:space="preserve"> permanent</w:t>
      </w:r>
      <w:r w:rsidR="00162991" w:rsidRPr="00731644">
        <w:rPr>
          <w:lang w:val="fr-CH"/>
        </w:rPr>
        <w:t>s</w:t>
      </w:r>
      <w:r w:rsidR="00E9257C" w:rsidRPr="00731644">
        <w:rPr>
          <w:lang w:val="fr-CH"/>
        </w:rPr>
        <w:t xml:space="preserve"> soit régularisée</w:t>
      </w:r>
      <w:r w:rsidR="00F31DD5" w:rsidRPr="00731644">
        <w:rPr>
          <w:lang w:val="fr-CH"/>
        </w:rPr>
        <w:t>;</w:t>
      </w:r>
      <w:r w:rsidR="00E9257C" w:rsidRPr="00731644">
        <w:rPr>
          <w:lang w:val="fr-CH"/>
        </w:rPr>
        <w:t xml:space="preserve"> </w:t>
      </w:r>
      <w:r w:rsidR="00162991" w:rsidRPr="00731644">
        <w:rPr>
          <w:lang w:val="fr-CH"/>
        </w:rPr>
        <w:t xml:space="preserve">elles ont </w:t>
      </w:r>
      <w:r w:rsidR="00E9257C" w:rsidRPr="00731644">
        <w:rPr>
          <w:lang w:val="fr-CH"/>
        </w:rPr>
        <w:t>ensuite</w:t>
      </w:r>
      <w:r w:rsidR="00162991" w:rsidRPr="00731644">
        <w:rPr>
          <w:lang w:val="fr-CH"/>
        </w:rPr>
        <w:t xml:space="preserve"> </w:t>
      </w:r>
      <w:r w:rsidR="004920AC" w:rsidRPr="00731644">
        <w:rPr>
          <w:lang w:val="fr-CH"/>
        </w:rPr>
        <w:t xml:space="preserve">le même accès aux institutions et aux soins </w:t>
      </w:r>
      <w:r w:rsidR="00E9257C" w:rsidRPr="00731644">
        <w:rPr>
          <w:lang w:val="fr-CH"/>
        </w:rPr>
        <w:t xml:space="preserve">que les nationaux du </w:t>
      </w:r>
      <w:r w:rsidR="00A332AD" w:rsidRPr="00731644">
        <w:rPr>
          <w:lang w:val="fr-CH"/>
        </w:rPr>
        <w:t>Monténégro.</w:t>
      </w:r>
      <w:r w:rsidR="00F31DD5" w:rsidRPr="00731644">
        <w:rPr>
          <w:lang w:val="fr-CH"/>
        </w:rPr>
        <w:t xml:space="preserve"> </w:t>
      </w:r>
    </w:p>
    <w:p w:rsidR="004C7BF6" w:rsidRPr="00731644" w:rsidRDefault="000B213E" w:rsidP="00FF7B07">
      <w:pPr>
        <w:pStyle w:val="SingleTxtG"/>
        <w:rPr>
          <w:lang w:val="fr-CH"/>
        </w:rPr>
      </w:pPr>
      <w:r w:rsidRPr="00731644">
        <w:rPr>
          <w:lang w:val="fr-CH"/>
        </w:rPr>
        <w:t>282.</w:t>
      </w:r>
      <w:r w:rsidRPr="00731644">
        <w:rPr>
          <w:lang w:val="fr-CH"/>
        </w:rPr>
        <w:tab/>
      </w:r>
      <w:r w:rsidR="00AA0FDA" w:rsidRPr="00731644">
        <w:rPr>
          <w:lang w:val="fr-CH"/>
        </w:rPr>
        <w:t xml:space="preserve">La population active qui travaille (salariés, </w:t>
      </w:r>
      <w:r w:rsidR="0075348B" w:rsidRPr="00731644">
        <w:rPr>
          <w:lang w:val="fr-CH"/>
        </w:rPr>
        <w:t>travailleurs</w:t>
      </w:r>
      <w:r w:rsidR="00AA0FDA" w:rsidRPr="00731644">
        <w:rPr>
          <w:lang w:val="fr-CH"/>
        </w:rPr>
        <w:t xml:space="preserve"> indépendants et agriculteurs)</w:t>
      </w:r>
      <w:r w:rsidR="0075348B" w:rsidRPr="00731644">
        <w:rPr>
          <w:lang w:val="fr-CH"/>
        </w:rPr>
        <w:t xml:space="preserve"> est assujettie au</w:t>
      </w:r>
      <w:r w:rsidR="00E9257C" w:rsidRPr="00731644">
        <w:rPr>
          <w:lang w:val="fr-CH"/>
        </w:rPr>
        <w:t xml:space="preserve"> régime obligatoire de l</w:t>
      </w:r>
      <w:r w:rsidR="00425386" w:rsidRPr="00731644">
        <w:rPr>
          <w:lang w:val="fr-CH"/>
        </w:rPr>
        <w:t>’</w:t>
      </w:r>
      <w:r w:rsidR="00E9257C" w:rsidRPr="00731644">
        <w:rPr>
          <w:lang w:val="fr-CH"/>
        </w:rPr>
        <w:t>assurance vieillesse et invalidité</w:t>
      </w:r>
      <w:r w:rsidR="00AA0FDA" w:rsidRPr="00731644">
        <w:rPr>
          <w:lang w:val="fr-CH"/>
        </w:rPr>
        <w:t xml:space="preserve">, qui repose sur </w:t>
      </w:r>
      <w:r w:rsidR="004920AC" w:rsidRPr="00731644">
        <w:rPr>
          <w:lang w:val="fr-CH"/>
        </w:rPr>
        <w:t>le système de la répartition</w:t>
      </w:r>
      <w:r w:rsidR="004C7BF6" w:rsidRPr="00731644">
        <w:rPr>
          <w:lang w:val="fr-CH"/>
        </w:rPr>
        <w:t xml:space="preserve"> </w:t>
      </w:r>
      <w:r w:rsidR="00AA0FDA" w:rsidRPr="00731644">
        <w:rPr>
          <w:lang w:val="fr-CH"/>
        </w:rPr>
        <w:t xml:space="preserve">et qui est régi par la </w:t>
      </w:r>
      <w:r w:rsidR="00AA0FDA" w:rsidRPr="00A828E9">
        <w:rPr>
          <w:i/>
          <w:lang w:val="fr-CH"/>
        </w:rPr>
        <w:t>loi relative à</w:t>
      </w:r>
      <w:r w:rsidR="00F31DD5" w:rsidRPr="00A828E9">
        <w:rPr>
          <w:i/>
          <w:lang w:val="fr-CH"/>
        </w:rPr>
        <w:t xml:space="preserve"> </w:t>
      </w:r>
      <w:r w:rsidR="00AA0FDA" w:rsidRPr="00A828E9">
        <w:rPr>
          <w:i/>
          <w:lang w:val="fr-CH"/>
        </w:rPr>
        <w:t>l</w:t>
      </w:r>
      <w:r w:rsidR="00425386" w:rsidRPr="00A828E9">
        <w:rPr>
          <w:i/>
          <w:lang w:val="fr-CH"/>
        </w:rPr>
        <w:t>’</w:t>
      </w:r>
      <w:r w:rsidR="00AA0FDA" w:rsidRPr="00A828E9">
        <w:rPr>
          <w:i/>
          <w:lang w:val="fr-CH"/>
        </w:rPr>
        <w:t xml:space="preserve">assurance vieillesse et </w:t>
      </w:r>
      <w:r w:rsidR="00A332AD" w:rsidRPr="00A828E9">
        <w:rPr>
          <w:i/>
          <w:lang w:val="fr-CH"/>
        </w:rPr>
        <w:t>invalidité</w:t>
      </w:r>
      <w:r w:rsidR="00AA0FDA" w:rsidRPr="00731644">
        <w:rPr>
          <w:lang w:val="fr-CH"/>
        </w:rPr>
        <w:t>, entrée en vigueur le 1</w:t>
      </w:r>
      <w:r w:rsidR="00AA0FDA" w:rsidRPr="00731644">
        <w:rPr>
          <w:vertAlign w:val="superscript"/>
          <w:lang w:val="fr-CH"/>
        </w:rPr>
        <w:t>er</w:t>
      </w:r>
      <w:r w:rsidR="00AA0FDA" w:rsidRPr="00731644">
        <w:rPr>
          <w:lang w:val="fr-CH"/>
        </w:rPr>
        <w:t xml:space="preserve"> janvier </w:t>
      </w:r>
      <w:r w:rsidR="004C7BF6" w:rsidRPr="00731644">
        <w:rPr>
          <w:lang w:val="fr-CH"/>
        </w:rPr>
        <w:t xml:space="preserve">2004. </w:t>
      </w:r>
      <w:r w:rsidR="0075348B" w:rsidRPr="00731644">
        <w:rPr>
          <w:lang w:val="fr-CH"/>
        </w:rPr>
        <w:t>L</w:t>
      </w:r>
      <w:r w:rsidR="00425386" w:rsidRPr="00731644">
        <w:rPr>
          <w:lang w:val="fr-CH"/>
        </w:rPr>
        <w:t>’</w:t>
      </w:r>
      <w:r w:rsidR="0075348B" w:rsidRPr="00731644">
        <w:rPr>
          <w:lang w:val="fr-CH"/>
        </w:rPr>
        <w:t xml:space="preserve">obligation de cotiser prend naissance le jour </w:t>
      </w:r>
      <w:r w:rsidR="004920AC" w:rsidRPr="00731644">
        <w:rPr>
          <w:lang w:val="fr-CH"/>
        </w:rPr>
        <w:t>de l</w:t>
      </w:r>
      <w:r w:rsidR="00425386" w:rsidRPr="00731644">
        <w:rPr>
          <w:lang w:val="fr-CH"/>
        </w:rPr>
        <w:t>’</w:t>
      </w:r>
      <w:r w:rsidR="00FF7B07" w:rsidRPr="00731644">
        <w:rPr>
          <w:lang w:val="fr-CH"/>
        </w:rPr>
        <w:t>entr</w:t>
      </w:r>
      <w:r w:rsidR="004920AC" w:rsidRPr="00731644">
        <w:rPr>
          <w:lang w:val="fr-CH"/>
        </w:rPr>
        <w:t>é</w:t>
      </w:r>
      <w:r w:rsidR="00FF7B07" w:rsidRPr="00731644">
        <w:rPr>
          <w:lang w:val="fr-CH"/>
        </w:rPr>
        <w:t>e en</w:t>
      </w:r>
      <w:r w:rsidR="0075348B" w:rsidRPr="00731644">
        <w:rPr>
          <w:lang w:val="fr-CH"/>
        </w:rPr>
        <w:t xml:space="preserve"> fonctions, ou </w:t>
      </w:r>
      <w:r w:rsidR="004920AC" w:rsidRPr="00731644">
        <w:rPr>
          <w:lang w:val="fr-CH"/>
        </w:rPr>
        <w:t>du début de l</w:t>
      </w:r>
      <w:r w:rsidR="00425386" w:rsidRPr="00731644">
        <w:rPr>
          <w:lang w:val="fr-CH"/>
        </w:rPr>
        <w:t>’</w:t>
      </w:r>
      <w:r w:rsidR="004920AC" w:rsidRPr="00731644">
        <w:rPr>
          <w:lang w:val="fr-CH"/>
        </w:rPr>
        <w:t>exercice du</w:t>
      </w:r>
      <w:r w:rsidR="0075348B" w:rsidRPr="00731644">
        <w:rPr>
          <w:lang w:val="fr-CH"/>
        </w:rPr>
        <w:t xml:space="preserve"> travail indépendant ou </w:t>
      </w:r>
      <w:r w:rsidR="004920AC" w:rsidRPr="00731644">
        <w:rPr>
          <w:lang w:val="fr-CH"/>
        </w:rPr>
        <w:t>d</w:t>
      </w:r>
      <w:r w:rsidR="0075348B" w:rsidRPr="00731644">
        <w:rPr>
          <w:lang w:val="fr-CH"/>
        </w:rPr>
        <w:t>es activités agricoles.</w:t>
      </w:r>
      <w:r w:rsidR="004C7BF6" w:rsidRPr="00731644">
        <w:rPr>
          <w:lang w:val="fr-CH"/>
        </w:rPr>
        <w:t xml:space="preserve"> </w:t>
      </w:r>
      <w:r w:rsidR="0075348B" w:rsidRPr="00731644">
        <w:rPr>
          <w:lang w:val="fr-CH"/>
        </w:rPr>
        <w:t xml:space="preserve">La loi </w:t>
      </w:r>
      <w:r w:rsidR="004920AC" w:rsidRPr="00731644">
        <w:rPr>
          <w:lang w:val="fr-CH"/>
        </w:rPr>
        <w:t>sur le</w:t>
      </w:r>
      <w:r w:rsidR="00FB7DB1" w:rsidRPr="00731644">
        <w:rPr>
          <w:lang w:val="fr-CH"/>
        </w:rPr>
        <w:t xml:space="preserve"> travail </w:t>
      </w:r>
      <w:r w:rsidR="00A610E1" w:rsidRPr="00731644">
        <w:rPr>
          <w:lang w:val="fr-CH"/>
        </w:rPr>
        <w:t>dispose que l</w:t>
      </w:r>
      <w:r w:rsidR="00425386" w:rsidRPr="00731644">
        <w:rPr>
          <w:lang w:val="fr-CH"/>
        </w:rPr>
        <w:t>’</w:t>
      </w:r>
      <w:r w:rsidR="00A610E1" w:rsidRPr="00731644">
        <w:rPr>
          <w:lang w:val="fr-CH"/>
        </w:rPr>
        <w:t xml:space="preserve">employeur doit déclarer le salarié à la sécurité sociale obligatoire </w:t>
      </w:r>
      <w:r w:rsidR="004C7BF6" w:rsidRPr="00731644">
        <w:rPr>
          <w:lang w:val="fr-CH"/>
        </w:rPr>
        <w:t>(</w:t>
      </w:r>
      <w:r w:rsidR="00A610E1" w:rsidRPr="00731644">
        <w:rPr>
          <w:lang w:val="fr-CH"/>
        </w:rPr>
        <w:t>assurance maladie, vieillesse et invalidité, et assurance chômage)</w:t>
      </w:r>
      <w:r w:rsidR="00FF7B07" w:rsidRPr="00731644">
        <w:rPr>
          <w:lang w:val="fr-CH"/>
        </w:rPr>
        <w:t xml:space="preserve"> le jour </w:t>
      </w:r>
      <w:r w:rsidR="004920AC" w:rsidRPr="00731644">
        <w:rPr>
          <w:lang w:val="fr-CH"/>
        </w:rPr>
        <w:t xml:space="preserve">où </w:t>
      </w:r>
      <w:r w:rsidR="00744ADC" w:rsidRPr="00731644">
        <w:rPr>
          <w:lang w:val="fr-CH"/>
        </w:rPr>
        <w:t>il</w:t>
      </w:r>
      <w:r w:rsidR="004920AC" w:rsidRPr="00731644">
        <w:rPr>
          <w:lang w:val="fr-CH"/>
        </w:rPr>
        <w:t xml:space="preserve"> prend ses</w:t>
      </w:r>
      <w:r w:rsidR="00FF7B07" w:rsidRPr="00731644">
        <w:rPr>
          <w:lang w:val="fr-CH"/>
        </w:rPr>
        <w:t xml:space="preserve"> fonctions. L</w:t>
      </w:r>
      <w:r w:rsidR="00425386" w:rsidRPr="00731644">
        <w:rPr>
          <w:lang w:val="fr-CH"/>
        </w:rPr>
        <w:t>’</w:t>
      </w:r>
      <w:r w:rsidR="00FF7B07" w:rsidRPr="00731644">
        <w:rPr>
          <w:lang w:val="fr-CH"/>
        </w:rPr>
        <w:t xml:space="preserve">assurance vieillesse et invalidité obligatoire couvre toutes </w:t>
      </w:r>
      <w:r w:rsidR="00CB7658" w:rsidRPr="00731644">
        <w:rPr>
          <w:lang w:val="fr-CH"/>
        </w:rPr>
        <w:t>les personnes</w:t>
      </w:r>
      <w:r w:rsidR="00FF7B07" w:rsidRPr="00731644">
        <w:rPr>
          <w:lang w:val="fr-CH"/>
        </w:rPr>
        <w:t xml:space="preserve"> qui remplissent les conditions</w:t>
      </w:r>
      <w:r w:rsidR="00F31DD5" w:rsidRPr="00731644">
        <w:rPr>
          <w:lang w:val="fr-CH"/>
        </w:rPr>
        <w:t xml:space="preserve"> </w:t>
      </w:r>
      <w:r w:rsidR="00FF7B07" w:rsidRPr="00731644">
        <w:rPr>
          <w:lang w:val="fr-CH"/>
        </w:rPr>
        <w:t xml:space="preserve">fixées par la loi et qui ont un emploi, une profession indépendante ou une activité agricole, sans distinction de nationalité, </w:t>
      </w:r>
      <w:r w:rsidR="004920AC" w:rsidRPr="00731644">
        <w:rPr>
          <w:lang w:val="fr-CH"/>
        </w:rPr>
        <w:t xml:space="preserve">de race, </w:t>
      </w:r>
      <w:r w:rsidR="00FF7B07" w:rsidRPr="00731644">
        <w:rPr>
          <w:lang w:val="fr-CH"/>
        </w:rPr>
        <w:t>de sexe, de langue, de religion, d</w:t>
      </w:r>
      <w:r w:rsidR="00425386" w:rsidRPr="00731644">
        <w:rPr>
          <w:lang w:val="fr-CH"/>
        </w:rPr>
        <w:t>’</w:t>
      </w:r>
      <w:r w:rsidR="00FF7B07" w:rsidRPr="00731644">
        <w:rPr>
          <w:lang w:val="fr-CH"/>
        </w:rPr>
        <w:t xml:space="preserve">opinion politique ou autre, ou de </w:t>
      </w:r>
      <w:r w:rsidR="004920AC" w:rsidRPr="00731644">
        <w:rPr>
          <w:lang w:val="fr-CH"/>
        </w:rPr>
        <w:t>tout</w:t>
      </w:r>
      <w:r w:rsidR="00FF7B07" w:rsidRPr="00731644">
        <w:rPr>
          <w:lang w:val="fr-CH"/>
        </w:rPr>
        <w:t>e autre caractéristique personnelle.</w:t>
      </w:r>
      <w:r w:rsidR="006443F6" w:rsidRPr="00731644">
        <w:rPr>
          <w:lang w:val="fr-CH"/>
        </w:rPr>
        <w:t xml:space="preserve"> </w:t>
      </w:r>
    </w:p>
    <w:p w:rsidR="004C7BF6" w:rsidRPr="00731644" w:rsidRDefault="000B213E" w:rsidP="007A429C">
      <w:pPr>
        <w:pStyle w:val="SingleTxtG"/>
        <w:rPr>
          <w:lang w:val="fr-CH"/>
        </w:rPr>
      </w:pPr>
      <w:r w:rsidRPr="00731644">
        <w:rPr>
          <w:lang w:val="fr-CH"/>
        </w:rPr>
        <w:t>283.</w:t>
      </w:r>
      <w:r w:rsidRPr="00731644">
        <w:rPr>
          <w:lang w:val="fr-CH"/>
        </w:rPr>
        <w:tab/>
      </w:r>
      <w:r w:rsidR="00FF7B07" w:rsidRPr="00731644">
        <w:rPr>
          <w:lang w:val="fr-CH"/>
        </w:rPr>
        <w:t xml:space="preserve">La </w:t>
      </w:r>
      <w:r w:rsidR="00FF7B07" w:rsidRPr="00A828E9">
        <w:rPr>
          <w:i/>
          <w:lang w:val="fr-CH"/>
        </w:rPr>
        <w:t>loi relative aux anciens combattants et à l</w:t>
      </w:r>
      <w:r w:rsidR="00425386" w:rsidRPr="00A828E9">
        <w:rPr>
          <w:i/>
          <w:lang w:val="fr-CH"/>
        </w:rPr>
        <w:t>’</w:t>
      </w:r>
      <w:r w:rsidR="00FF7B07" w:rsidRPr="00A828E9">
        <w:rPr>
          <w:i/>
          <w:lang w:val="fr-CH"/>
        </w:rPr>
        <w:t>assurance invalidité</w:t>
      </w:r>
      <w:r w:rsidR="00FF7B07" w:rsidRPr="00731644">
        <w:rPr>
          <w:lang w:val="fr-CH"/>
        </w:rPr>
        <w:t>, qui a pris effet le 1er janvier</w:t>
      </w:r>
      <w:r w:rsidR="00F31DD5" w:rsidRPr="00731644">
        <w:rPr>
          <w:lang w:val="fr-CH"/>
        </w:rPr>
        <w:t xml:space="preserve"> </w:t>
      </w:r>
      <w:r w:rsidR="004C7BF6" w:rsidRPr="00731644">
        <w:rPr>
          <w:lang w:val="fr-CH"/>
        </w:rPr>
        <w:t xml:space="preserve">2003, </w:t>
      </w:r>
      <w:r w:rsidR="00FF7B07" w:rsidRPr="00731644">
        <w:rPr>
          <w:lang w:val="fr-CH"/>
        </w:rPr>
        <w:t>protège les anciens combattants, les familles des victimes de guerre, les militaires devenus inva</w:t>
      </w:r>
      <w:r w:rsidR="00105277" w:rsidRPr="00731644">
        <w:rPr>
          <w:lang w:val="fr-CH"/>
        </w:rPr>
        <w:t>l</w:t>
      </w:r>
      <w:r w:rsidR="00FF7B07" w:rsidRPr="00731644">
        <w:rPr>
          <w:lang w:val="fr-CH"/>
        </w:rPr>
        <w:t xml:space="preserve">ides en temps de guerre ou en temps de paix, les civils devenus invalides en temps de guerre, </w:t>
      </w:r>
      <w:r w:rsidR="00105277" w:rsidRPr="00731644">
        <w:rPr>
          <w:lang w:val="fr-CH"/>
        </w:rPr>
        <w:t>et les membres des familles des anciens combattants qui ont perdu la vie</w:t>
      </w:r>
      <w:r w:rsidR="004C7BF6" w:rsidRPr="00731644">
        <w:rPr>
          <w:lang w:val="fr-CH"/>
        </w:rPr>
        <w:t xml:space="preserve">. </w:t>
      </w:r>
      <w:r w:rsidR="00105277" w:rsidRPr="00731644">
        <w:rPr>
          <w:lang w:val="fr-CH"/>
        </w:rPr>
        <w:t xml:space="preserve">Les </w:t>
      </w:r>
      <w:r w:rsidR="00B87B9A" w:rsidRPr="00731644">
        <w:rPr>
          <w:lang w:val="fr-CH"/>
        </w:rPr>
        <w:t>titul</w:t>
      </w:r>
      <w:r w:rsidR="00105277" w:rsidRPr="00731644">
        <w:rPr>
          <w:lang w:val="fr-CH"/>
        </w:rPr>
        <w:t xml:space="preserve">aires </w:t>
      </w:r>
      <w:r w:rsidR="00B87B9A" w:rsidRPr="00731644">
        <w:rPr>
          <w:lang w:val="fr-CH"/>
        </w:rPr>
        <w:t xml:space="preserve">de droits </w:t>
      </w:r>
      <w:r w:rsidR="00105277" w:rsidRPr="00731644">
        <w:rPr>
          <w:lang w:val="fr-CH"/>
        </w:rPr>
        <w:t xml:space="preserve">au sens de la loi </w:t>
      </w:r>
      <w:r w:rsidR="00B87B9A" w:rsidRPr="00731644">
        <w:rPr>
          <w:lang w:val="fr-CH"/>
        </w:rPr>
        <w:t xml:space="preserve">sont </w:t>
      </w:r>
      <w:r w:rsidR="00CB7658" w:rsidRPr="00731644">
        <w:rPr>
          <w:lang w:val="fr-CH"/>
        </w:rPr>
        <w:t>les personnes</w:t>
      </w:r>
      <w:r w:rsidR="00B87B9A" w:rsidRPr="00731644">
        <w:rPr>
          <w:lang w:val="fr-CH"/>
        </w:rPr>
        <w:t xml:space="preserve"> </w:t>
      </w:r>
      <w:r w:rsidR="003F29DE" w:rsidRPr="00731644">
        <w:rPr>
          <w:lang w:val="fr-CH"/>
        </w:rPr>
        <w:t xml:space="preserve">qui ont perdu la vie </w:t>
      </w:r>
      <w:r w:rsidR="002A6626" w:rsidRPr="00731644">
        <w:rPr>
          <w:lang w:val="fr-CH"/>
        </w:rPr>
        <w:t xml:space="preserve">ou qui </w:t>
      </w:r>
      <w:r w:rsidR="009C5C85" w:rsidRPr="00731644">
        <w:rPr>
          <w:lang w:val="fr-CH"/>
        </w:rPr>
        <w:t>s</w:t>
      </w:r>
      <w:r w:rsidR="002A6626" w:rsidRPr="00731644">
        <w:rPr>
          <w:lang w:val="fr-CH"/>
        </w:rPr>
        <w:t xml:space="preserve">ont </w:t>
      </w:r>
      <w:r w:rsidR="009C5C85" w:rsidRPr="00731644">
        <w:rPr>
          <w:lang w:val="fr-CH"/>
        </w:rPr>
        <w:t>victimes d</w:t>
      </w:r>
      <w:r w:rsidR="00425386" w:rsidRPr="00731644">
        <w:rPr>
          <w:lang w:val="fr-CH"/>
        </w:rPr>
        <w:t>’</w:t>
      </w:r>
      <w:r w:rsidR="00505701" w:rsidRPr="00731644">
        <w:rPr>
          <w:lang w:val="fr-CH"/>
        </w:rPr>
        <w:t xml:space="preserve">une </w:t>
      </w:r>
      <w:r w:rsidR="009C5C85" w:rsidRPr="00731644">
        <w:rPr>
          <w:lang w:val="fr-CH"/>
        </w:rPr>
        <w:t>déficience</w:t>
      </w:r>
      <w:r w:rsidR="00505701" w:rsidRPr="00731644">
        <w:rPr>
          <w:lang w:val="fr-CH"/>
        </w:rPr>
        <w:t xml:space="preserve"> ou </w:t>
      </w:r>
      <w:r w:rsidR="002A6626" w:rsidRPr="00731644">
        <w:rPr>
          <w:lang w:val="fr-CH"/>
        </w:rPr>
        <w:t xml:space="preserve">un handicap </w:t>
      </w:r>
      <w:r w:rsidR="009C5C85" w:rsidRPr="00731644">
        <w:rPr>
          <w:lang w:val="fr-CH"/>
        </w:rPr>
        <w:t>survenus alors qu</w:t>
      </w:r>
      <w:r w:rsidR="00425386" w:rsidRPr="00731644">
        <w:rPr>
          <w:lang w:val="fr-CH"/>
        </w:rPr>
        <w:t>’</w:t>
      </w:r>
      <w:r w:rsidR="009C5C85" w:rsidRPr="00731644">
        <w:rPr>
          <w:lang w:val="fr-CH"/>
        </w:rPr>
        <w:t xml:space="preserve">elles </w:t>
      </w:r>
      <w:r w:rsidR="003F29DE" w:rsidRPr="00731644">
        <w:rPr>
          <w:lang w:val="fr-CH"/>
        </w:rPr>
        <w:t>s</w:t>
      </w:r>
      <w:r w:rsidR="00425386" w:rsidRPr="00731644">
        <w:rPr>
          <w:lang w:val="fr-CH"/>
        </w:rPr>
        <w:t>’</w:t>
      </w:r>
      <w:r w:rsidR="003F29DE" w:rsidRPr="00731644">
        <w:rPr>
          <w:lang w:val="fr-CH"/>
        </w:rPr>
        <w:t>acquitta</w:t>
      </w:r>
      <w:r w:rsidR="009C5C85" w:rsidRPr="00731644">
        <w:rPr>
          <w:lang w:val="fr-CH"/>
        </w:rPr>
        <w:t>ie</w:t>
      </w:r>
      <w:r w:rsidR="003F29DE" w:rsidRPr="00731644">
        <w:rPr>
          <w:lang w:val="fr-CH"/>
        </w:rPr>
        <w:t xml:space="preserve">nt de leurs obligations militaires </w:t>
      </w:r>
      <w:r w:rsidR="00D7266E" w:rsidRPr="00731644">
        <w:rPr>
          <w:lang w:val="fr-CH"/>
        </w:rPr>
        <w:t>ou d</w:t>
      </w:r>
      <w:r w:rsidR="00425386" w:rsidRPr="00731644">
        <w:rPr>
          <w:lang w:val="fr-CH"/>
        </w:rPr>
        <w:t>’</w:t>
      </w:r>
      <w:r w:rsidR="00D7266E" w:rsidRPr="00731644">
        <w:rPr>
          <w:lang w:val="fr-CH"/>
        </w:rPr>
        <w:t xml:space="preserve">autres obligations aux fins de la défense et de la sécurité, </w:t>
      </w:r>
      <w:r w:rsidR="00CB7658" w:rsidRPr="00731644">
        <w:rPr>
          <w:lang w:val="fr-CH"/>
        </w:rPr>
        <w:t>les personnes</w:t>
      </w:r>
      <w:r w:rsidR="00D7266E" w:rsidRPr="00731644">
        <w:rPr>
          <w:lang w:val="fr-CH"/>
        </w:rPr>
        <w:t xml:space="preserve"> qui ont perdu la vie en s</w:t>
      </w:r>
      <w:r w:rsidR="00425386" w:rsidRPr="00731644">
        <w:rPr>
          <w:lang w:val="fr-CH"/>
        </w:rPr>
        <w:t>’</w:t>
      </w:r>
      <w:r w:rsidR="00D7266E" w:rsidRPr="00731644">
        <w:rPr>
          <w:lang w:val="fr-CH"/>
        </w:rPr>
        <w:t>acquittant</w:t>
      </w:r>
      <w:r w:rsidR="003F29DE" w:rsidRPr="00731644">
        <w:rPr>
          <w:lang w:val="fr-CH"/>
        </w:rPr>
        <w:t xml:space="preserve">, en temps de paix, </w:t>
      </w:r>
      <w:r w:rsidR="00D7266E" w:rsidRPr="00731644">
        <w:rPr>
          <w:lang w:val="fr-CH"/>
        </w:rPr>
        <w:t xml:space="preserve">de leurs obligations militaires ou </w:t>
      </w:r>
      <w:r w:rsidR="003F29DE" w:rsidRPr="00731644">
        <w:rPr>
          <w:lang w:val="fr-CH"/>
        </w:rPr>
        <w:t>d</w:t>
      </w:r>
      <w:r w:rsidR="00425386" w:rsidRPr="00731644">
        <w:rPr>
          <w:lang w:val="fr-CH"/>
        </w:rPr>
        <w:t>’</w:t>
      </w:r>
      <w:r w:rsidR="003F29DE" w:rsidRPr="00731644">
        <w:rPr>
          <w:lang w:val="fr-CH"/>
        </w:rPr>
        <w:t>autres obligations destinées à préserver la souveraineté, le territoire, l</w:t>
      </w:r>
      <w:r w:rsidR="00425386" w:rsidRPr="00731644">
        <w:rPr>
          <w:lang w:val="fr-CH"/>
        </w:rPr>
        <w:t>’</w:t>
      </w:r>
      <w:r w:rsidR="003F29DE" w:rsidRPr="00731644">
        <w:rPr>
          <w:lang w:val="fr-CH"/>
        </w:rPr>
        <w:t>indépendance et l</w:t>
      </w:r>
      <w:r w:rsidR="00425386" w:rsidRPr="00731644">
        <w:rPr>
          <w:lang w:val="fr-CH"/>
        </w:rPr>
        <w:t>’</w:t>
      </w:r>
      <w:r w:rsidR="003F29DE" w:rsidRPr="00731644">
        <w:rPr>
          <w:lang w:val="fr-CH"/>
        </w:rPr>
        <w:t>ordre constitutionnel</w:t>
      </w:r>
      <w:r w:rsidR="00D7266E" w:rsidRPr="00731644">
        <w:rPr>
          <w:lang w:val="fr-CH"/>
        </w:rPr>
        <w:t xml:space="preserve"> du pays</w:t>
      </w:r>
      <w:r w:rsidR="00B87B9A" w:rsidRPr="00731644">
        <w:rPr>
          <w:lang w:val="fr-CH"/>
        </w:rPr>
        <w:t xml:space="preserve">, </w:t>
      </w:r>
      <w:r w:rsidR="002A6626" w:rsidRPr="00731644">
        <w:rPr>
          <w:lang w:val="fr-CH"/>
        </w:rPr>
        <w:t>l</w:t>
      </w:r>
      <w:r w:rsidR="003F29DE" w:rsidRPr="00731644">
        <w:rPr>
          <w:lang w:val="fr-CH"/>
        </w:rPr>
        <w:t xml:space="preserve">es civils </w:t>
      </w:r>
      <w:r w:rsidR="002A6626" w:rsidRPr="00731644">
        <w:rPr>
          <w:lang w:val="fr-CH"/>
        </w:rPr>
        <w:t>victimes d</w:t>
      </w:r>
      <w:r w:rsidR="00425386" w:rsidRPr="00731644">
        <w:rPr>
          <w:lang w:val="fr-CH"/>
        </w:rPr>
        <w:t>’</w:t>
      </w:r>
      <w:r w:rsidR="002A6626" w:rsidRPr="00731644">
        <w:rPr>
          <w:lang w:val="fr-CH"/>
        </w:rPr>
        <w:t xml:space="preserve">une </w:t>
      </w:r>
      <w:r w:rsidR="00D7266E" w:rsidRPr="00731644">
        <w:rPr>
          <w:lang w:val="fr-CH"/>
        </w:rPr>
        <w:t xml:space="preserve">déficience </w:t>
      </w:r>
      <w:r w:rsidR="003F29DE" w:rsidRPr="00731644">
        <w:rPr>
          <w:lang w:val="fr-CH"/>
        </w:rPr>
        <w:t>ou d</w:t>
      </w:r>
      <w:r w:rsidR="00425386" w:rsidRPr="00731644">
        <w:rPr>
          <w:lang w:val="fr-CH"/>
        </w:rPr>
        <w:t>’</w:t>
      </w:r>
      <w:r w:rsidR="00D7266E" w:rsidRPr="00731644">
        <w:rPr>
          <w:lang w:val="fr-CH"/>
        </w:rPr>
        <w:t>un handicap</w:t>
      </w:r>
      <w:r w:rsidR="003F29DE" w:rsidRPr="00731644">
        <w:rPr>
          <w:lang w:val="fr-CH"/>
        </w:rPr>
        <w:t xml:space="preserve"> </w:t>
      </w:r>
      <w:r w:rsidR="009C5C85" w:rsidRPr="00731644">
        <w:rPr>
          <w:lang w:val="fr-CH"/>
        </w:rPr>
        <w:t>survenu</w:t>
      </w:r>
      <w:r w:rsidR="00D7266E" w:rsidRPr="00731644">
        <w:rPr>
          <w:lang w:val="fr-CH"/>
        </w:rPr>
        <w:t>s</w:t>
      </w:r>
      <w:r w:rsidR="002A6626" w:rsidRPr="00731644">
        <w:rPr>
          <w:lang w:val="fr-CH"/>
        </w:rPr>
        <w:t xml:space="preserve"> </w:t>
      </w:r>
      <w:r w:rsidR="003F29DE" w:rsidRPr="00731644">
        <w:rPr>
          <w:lang w:val="fr-CH"/>
        </w:rPr>
        <w:t>en temps de guerre ou</w:t>
      </w:r>
      <w:r w:rsidR="00F31DD5" w:rsidRPr="00731644">
        <w:rPr>
          <w:lang w:val="fr-CH"/>
        </w:rPr>
        <w:t xml:space="preserve"> </w:t>
      </w:r>
      <w:r w:rsidR="009C5C85" w:rsidRPr="00731644">
        <w:rPr>
          <w:lang w:val="fr-CH"/>
        </w:rPr>
        <w:t>causé</w:t>
      </w:r>
      <w:r w:rsidR="00D7266E" w:rsidRPr="00731644">
        <w:rPr>
          <w:lang w:val="fr-CH"/>
        </w:rPr>
        <w:t>s</w:t>
      </w:r>
      <w:r w:rsidR="009C5C85" w:rsidRPr="00731644">
        <w:rPr>
          <w:lang w:val="fr-CH"/>
        </w:rPr>
        <w:t xml:space="preserve"> </w:t>
      </w:r>
      <w:r w:rsidR="00744ADC" w:rsidRPr="00731644">
        <w:rPr>
          <w:lang w:val="fr-CH"/>
        </w:rPr>
        <w:t>postérieurement</w:t>
      </w:r>
      <w:r w:rsidR="003F29DE" w:rsidRPr="00731644">
        <w:rPr>
          <w:lang w:val="fr-CH"/>
        </w:rPr>
        <w:t xml:space="preserve"> par du matériel militaire résiduel</w:t>
      </w:r>
      <w:r w:rsidR="004C7BF6" w:rsidRPr="00731644">
        <w:rPr>
          <w:lang w:val="fr-CH"/>
        </w:rPr>
        <w:t xml:space="preserve">, </w:t>
      </w:r>
      <w:r w:rsidR="003F29DE" w:rsidRPr="00731644">
        <w:rPr>
          <w:lang w:val="fr-CH"/>
        </w:rPr>
        <w:t>et les ayant</w:t>
      </w:r>
      <w:r w:rsidR="0071789B" w:rsidRPr="00731644">
        <w:rPr>
          <w:lang w:val="fr-CH"/>
        </w:rPr>
        <w:t>s</w:t>
      </w:r>
      <w:r w:rsidR="003F29DE" w:rsidRPr="00731644">
        <w:rPr>
          <w:lang w:val="fr-CH"/>
        </w:rPr>
        <w:t xml:space="preserve"> droit</w:t>
      </w:r>
      <w:r w:rsidR="0071789B" w:rsidRPr="00731644">
        <w:rPr>
          <w:lang w:val="fr-CH"/>
        </w:rPr>
        <w:t xml:space="preserve"> </w:t>
      </w:r>
      <w:r w:rsidR="003F29DE" w:rsidRPr="00731644">
        <w:rPr>
          <w:lang w:val="fr-CH"/>
        </w:rPr>
        <w:t xml:space="preserve">de </w:t>
      </w:r>
      <w:r w:rsidR="00A332AD" w:rsidRPr="00731644">
        <w:rPr>
          <w:lang w:val="fr-CH"/>
        </w:rPr>
        <w:t>bénéficiaires</w:t>
      </w:r>
      <w:r w:rsidR="003F29DE" w:rsidRPr="00731644">
        <w:rPr>
          <w:lang w:val="fr-CH"/>
        </w:rPr>
        <w:t xml:space="preserve"> décédés.</w:t>
      </w:r>
      <w:r w:rsidR="00F31DD5" w:rsidRPr="00731644">
        <w:rPr>
          <w:lang w:val="fr-CH"/>
        </w:rPr>
        <w:t xml:space="preserve"> </w:t>
      </w:r>
      <w:r w:rsidR="003F29DE" w:rsidRPr="00731644">
        <w:rPr>
          <w:lang w:val="fr-CH"/>
        </w:rPr>
        <w:t xml:space="preserve">Les bénéficiaires de </w:t>
      </w:r>
      <w:r w:rsidR="00D7266E" w:rsidRPr="00731644">
        <w:rPr>
          <w:lang w:val="fr-CH"/>
        </w:rPr>
        <w:t>cette</w:t>
      </w:r>
      <w:r w:rsidR="003F29DE" w:rsidRPr="00731644">
        <w:rPr>
          <w:lang w:val="fr-CH"/>
        </w:rPr>
        <w:t xml:space="preserve"> prote</w:t>
      </w:r>
      <w:r w:rsidR="00D7266E" w:rsidRPr="00731644">
        <w:rPr>
          <w:lang w:val="fr-CH"/>
        </w:rPr>
        <w:t>c</w:t>
      </w:r>
      <w:r w:rsidR="003F29DE" w:rsidRPr="00731644">
        <w:rPr>
          <w:lang w:val="fr-CH"/>
        </w:rPr>
        <w:t xml:space="preserve">tion sont des citoyens du Monténégro dont les droits ont été acquis et sont exercés </w:t>
      </w:r>
      <w:r w:rsidR="002A32D1" w:rsidRPr="00731644">
        <w:rPr>
          <w:lang w:val="fr-CH"/>
        </w:rPr>
        <w:t>de la</w:t>
      </w:r>
      <w:r w:rsidR="003F29DE" w:rsidRPr="00731644">
        <w:rPr>
          <w:lang w:val="fr-CH"/>
        </w:rPr>
        <w:t xml:space="preserve"> manière </w:t>
      </w:r>
      <w:r w:rsidR="00352887" w:rsidRPr="00731644">
        <w:rPr>
          <w:lang w:val="fr-CH"/>
        </w:rPr>
        <w:t xml:space="preserve">et dans </w:t>
      </w:r>
      <w:r w:rsidR="002A32D1" w:rsidRPr="00731644">
        <w:rPr>
          <w:lang w:val="fr-CH"/>
        </w:rPr>
        <w:t>l</w:t>
      </w:r>
      <w:r w:rsidR="00352887" w:rsidRPr="00731644">
        <w:rPr>
          <w:lang w:val="fr-CH"/>
        </w:rPr>
        <w:t xml:space="preserve">es conditions spécifiées par la loi, quels que soient leur appartenance nationale, leur race, leur sexe, leur langue, leur religion, leur opinions </w:t>
      </w:r>
      <w:r w:rsidR="00A332AD" w:rsidRPr="00731644">
        <w:rPr>
          <w:lang w:val="fr-CH"/>
        </w:rPr>
        <w:t>politiques</w:t>
      </w:r>
      <w:r w:rsidR="00352887" w:rsidRPr="00731644">
        <w:rPr>
          <w:lang w:val="fr-CH"/>
        </w:rPr>
        <w:t xml:space="preserve"> ou autres, et leurs autres caractéristiques personnelles.</w:t>
      </w:r>
      <w:r w:rsidR="00F31DD5" w:rsidRPr="00731644">
        <w:rPr>
          <w:lang w:val="fr-CH"/>
        </w:rPr>
        <w:t xml:space="preserve"> </w:t>
      </w:r>
    </w:p>
    <w:p w:rsidR="004C7BF6" w:rsidRPr="00731644" w:rsidRDefault="000B213E" w:rsidP="00AB4B08">
      <w:pPr>
        <w:pStyle w:val="SingleTxtG"/>
        <w:rPr>
          <w:bCs/>
          <w:lang w:val="fr-CH"/>
        </w:rPr>
      </w:pPr>
      <w:r w:rsidRPr="00731644">
        <w:rPr>
          <w:lang w:val="fr-CH"/>
        </w:rPr>
        <w:t>284.</w:t>
      </w:r>
      <w:r w:rsidR="006443F6" w:rsidRPr="00731644">
        <w:rPr>
          <w:b/>
          <w:i/>
          <w:lang w:val="fr-CH"/>
        </w:rPr>
        <w:tab/>
      </w:r>
      <w:r w:rsidR="00352887" w:rsidRPr="00731644">
        <w:rPr>
          <w:lang w:val="fr-CH"/>
        </w:rPr>
        <w:t>La Stratégie pour la protection sociale et la protection de l</w:t>
      </w:r>
      <w:r w:rsidR="00425386" w:rsidRPr="00731644">
        <w:rPr>
          <w:lang w:val="fr-CH"/>
        </w:rPr>
        <w:t>’</w:t>
      </w:r>
      <w:r w:rsidR="00352887" w:rsidRPr="00731644">
        <w:rPr>
          <w:lang w:val="fr-CH"/>
        </w:rPr>
        <w:t xml:space="preserve">enfance </w:t>
      </w:r>
      <w:r w:rsidR="004C7BF6" w:rsidRPr="00731644">
        <w:rPr>
          <w:lang w:val="fr-CH"/>
        </w:rPr>
        <w:t xml:space="preserve">2008-2012 </w:t>
      </w:r>
      <w:r w:rsidR="00352887" w:rsidRPr="00731644">
        <w:rPr>
          <w:lang w:val="fr-CH"/>
        </w:rPr>
        <w:t xml:space="preserve">repose sur le principe que le Monténégro, </w:t>
      </w:r>
      <w:r w:rsidR="00FC066B" w:rsidRPr="00731644">
        <w:rPr>
          <w:lang w:val="fr-CH"/>
        </w:rPr>
        <w:t>en tant que</w:t>
      </w:r>
      <w:r w:rsidR="00352887" w:rsidRPr="00731644">
        <w:rPr>
          <w:lang w:val="fr-CH"/>
        </w:rPr>
        <w:t xml:space="preserve"> membre de l</w:t>
      </w:r>
      <w:r w:rsidR="00425386" w:rsidRPr="00731644">
        <w:rPr>
          <w:lang w:val="fr-CH"/>
        </w:rPr>
        <w:t>’</w:t>
      </w:r>
      <w:r w:rsidR="00FC066B" w:rsidRPr="00731644">
        <w:rPr>
          <w:lang w:val="fr-CH"/>
        </w:rPr>
        <w:t>O</w:t>
      </w:r>
      <w:r w:rsidR="00352887" w:rsidRPr="00731644">
        <w:rPr>
          <w:lang w:val="fr-CH"/>
        </w:rPr>
        <w:t xml:space="preserve">rganisation des </w:t>
      </w:r>
      <w:r w:rsidR="00FC066B" w:rsidRPr="00731644">
        <w:rPr>
          <w:lang w:val="fr-CH"/>
        </w:rPr>
        <w:t>Na</w:t>
      </w:r>
      <w:r w:rsidR="00352887" w:rsidRPr="00731644">
        <w:rPr>
          <w:lang w:val="fr-CH"/>
        </w:rPr>
        <w:t xml:space="preserve">tions Unies et du </w:t>
      </w:r>
      <w:r w:rsidR="00FC066B" w:rsidRPr="00731644">
        <w:rPr>
          <w:lang w:val="fr-CH"/>
        </w:rPr>
        <w:t>C</w:t>
      </w:r>
      <w:r w:rsidR="00352887" w:rsidRPr="00731644">
        <w:rPr>
          <w:lang w:val="fr-CH"/>
        </w:rPr>
        <w:t>onseil de l</w:t>
      </w:r>
      <w:r w:rsidR="00425386" w:rsidRPr="00731644">
        <w:rPr>
          <w:lang w:val="fr-CH"/>
        </w:rPr>
        <w:t>’</w:t>
      </w:r>
      <w:r w:rsidR="00352887" w:rsidRPr="00731644">
        <w:rPr>
          <w:lang w:val="fr-CH"/>
        </w:rPr>
        <w:t>Europe, doit réformer son système de protection sociale en tenant compte des droits, des normes et des règles énoncés dans un c</w:t>
      </w:r>
      <w:r w:rsidR="00FC066B" w:rsidRPr="00731644">
        <w:rPr>
          <w:lang w:val="fr-CH"/>
        </w:rPr>
        <w:t>e</w:t>
      </w:r>
      <w:r w:rsidR="00352887" w:rsidRPr="00731644">
        <w:rPr>
          <w:lang w:val="fr-CH"/>
        </w:rPr>
        <w:t>rtain nombre de documents internationaux, à savoir</w:t>
      </w:r>
      <w:r w:rsidR="004C7BF6" w:rsidRPr="00731644">
        <w:rPr>
          <w:lang w:val="fr-CH"/>
        </w:rPr>
        <w:t xml:space="preserve">: </w:t>
      </w:r>
      <w:r w:rsidR="005B14B4" w:rsidRPr="00731644">
        <w:rPr>
          <w:lang w:val="fr-CH"/>
        </w:rPr>
        <w:t>la Charte des droits fondamentaux de l</w:t>
      </w:r>
      <w:r w:rsidR="00425386" w:rsidRPr="00731644">
        <w:rPr>
          <w:lang w:val="fr-CH"/>
        </w:rPr>
        <w:t>’</w:t>
      </w:r>
      <w:r w:rsidR="005B14B4" w:rsidRPr="00731644">
        <w:rPr>
          <w:lang w:val="fr-CH"/>
        </w:rPr>
        <w:t>Union européenne,</w:t>
      </w:r>
      <w:r w:rsidR="00FC066B" w:rsidRPr="00731644">
        <w:rPr>
          <w:lang w:val="fr-CH"/>
        </w:rPr>
        <w:t xml:space="preserve"> </w:t>
      </w:r>
      <w:r w:rsidR="00352887" w:rsidRPr="00731644">
        <w:rPr>
          <w:lang w:val="fr-CH"/>
        </w:rPr>
        <w:t xml:space="preserve">le </w:t>
      </w:r>
      <w:r w:rsidR="005B14B4" w:rsidRPr="00731644">
        <w:rPr>
          <w:lang w:val="fr-CH"/>
        </w:rPr>
        <w:t>P</w:t>
      </w:r>
      <w:r w:rsidR="00352887" w:rsidRPr="00731644">
        <w:rPr>
          <w:lang w:val="fr-CH"/>
        </w:rPr>
        <w:t xml:space="preserve">acte international relatif aux droits civils et politiques, </w:t>
      </w:r>
      <w:r w:rsidR="005B14B4" w:rsidRPr="00731644">
        <w:rPr>
          <w:lang w:val="fr-CH"/>
        </w:rPr>
        <w:t xml:space="preserve">le Pacte </w:t>
      </w:r>
      <w:r w:rsidR="00A332AD" w:rsidRPr="00731644">
        <w:rPr>
          <w:lang w:val="fr-CH"/>
        </w:rPr>
        <w:t>international</w:t>
      </w:r>
      <w:r w:rsidR="005B14B4" w:rsidRPr="00731644">
        <w:rPr>
          <w:lang w:val="fr-CH"/>
        </w:rPr>
        <w:t xml:space="preserve"> relatif aux droits économiques, sociaux et culturels, la Charte sociale européenne</w:t>
      </w:r>
      <w:r w:rsidR="004C7BF6" w:rsidRPr="00731644">
        <w:rPr>
          <w:lang w:val="fr-CH"/>
        </w:rPr>
        <w:t xml:space="preserve">, </w:t>
      </w:r>
      <w:r w:rsidR="00920395" w:rsidRPr="00731644">
        <w:rPr>
          <w:lang w:val="fr-CH"/>
        </w:rPr>
        <w:t xml:space="preserve">le </w:t>
      </w:r>
      <w:r w:rsidR="004C7BF6" w:rsidRPr="00731644">
        <w:rPr>
          <w:lang w:val="fr-CH"/>
        </w:rPr>
        <w:t>Protocol</w:t>
      </w:r>
      <w:r w:rsidR="00920395" w:rsidRPr="00731644">
        <w:rPr>
          <w:lang w:val="fr-CH"/>
        </w:rPr>
        <w:t xml:space="preserve">e additionnel à la Charte sociale européenne, le </w:t>
      </w:r>
      <w:r w:rsidR="00FC066B" w:rsidRPr="00731644">
        <w:rPr>
          <w:lang w:val="fr-CH"/>
        </w:rPr>
        <w:t>P</w:t>
      </w:r>
      <w:r w:rsidR="00920395" w:rsidRPr="00731644">
        <w:rPr>
          <w:lang w:val="fr-CH"/>
        </w:rPr>
        <w:t>rotocole portant amendement à la Charte sociale européenne, la Convention internationale sur l</w:t>
      </w:r>
      <w:r w:rsidR="00425386" w:rsidRPr="00731644">
        <w:rPr>
          <w:lang w:val="fr-CH"/>
        </w:rPr>
        <w:t>’</w:t>
      </w:r>
      <w:r w:rsidR="00920395" w:rsidRPr="00731644">
        <w:rPr>
          <w:lang w:val="fr-CH"/>
        </w:rPr>
        <w:t>élimination de toutes les formes de discrimination raciale,</w:t>
      </w:r>
      <w:r w:rsidR="00F31DD5" w:rsidRPr="00731644">
        <w:rPr>
          <w:lang w:val="fr-CH"/>
        </w:rPr>
        <w:t xml:space="preserve"> </w:t>
      </w:r>
      <w:r w:rsidR="00920395" w:rsidRPr="00731644">
        <w:rPr>
          <w:lang w:val="fr-CH"/>
        </w:rPr>
        <w:t>et la Convention relative aux droits de l</w:t>
      </w:r>
      <w:r w:rsidR="00425386" w:rsidRPr="00731644">
        <w:rPr>
          <w:lang w:val="fr-CH"/>
        </w:rPr>
        <w:t>’</w:t>
      </w:r>
      <w:r w:rsidR="00920395" w:rsidRPr="00731644">
        <w:rPr>
          <w:lang w:val="fr-CH"/>
        </w:rPr>
        <w:t xml:space="preserve">enfant </w:t>
      </w:r>
      <w:r w:rsidR="004C7BF6" w:rsidRPr="00731644">
        <w:rPr>
          <w:lang w:val="fr-CH"/>
        </w:rPr>
        <w:t>(</w:t>
      </w:r>
      <w:r w:rsidR="00976D48">
        <w:rPr>
          <w:lang w:val="fr-CH"/>
        </w:rPr>
        <w:t>p. </w:t>
      </w:r>
      <w:r w:rsidR="004C7BF6" w:rsidRPr="00731644">
        <w:rPr>
          <w:lang w:val="fr-CH"/>
        </w:rPr>
        <w:t xml:space="preserve">6). </w:t>
      </w:r>
      <w:r w:rsidR="00920395" w:rsidRPr="00731644">
        <w:rPr>
          <w:lang w:val="fr-CH"/>
        </w:rPr>
        <w:t xml:space="preserve">Tous les acteurs </w:t>
      </w:r>
      <w:r w:rsidR="00FC066B" w:rsidRPr="00731644">
        <w:rPr>
          <w:lang w:val="fr-CH"/>
        </w:rPr>
        <w:t>du</w:t>
      </w:r>
      <w:r w:rsidR="00920395" w:rsidRPr="00731644">
        <w:rPr>
          <w:lang w:val="fr-CH"/>
        </w:rPr>
        <w:t xml:space="preserve"> système de protection sociale opèrent </w:t>
      </w:r>
      <w:r w:rsidR="00FC066B" w:rsidRPr="00731644">
        <w:rPr>
          <w:lang w:val="fr-CH"/>
        </w:rPr>
        <w:t>conformément au</w:t>
      </w:r>
      <w:r w:rsidR="00920395" w:rsidRPr="00731644">
        <w:rPr>
          <w:lang w:val="fr-CH"/>
        </w:rPr>
        <w:t xml:space="preserve"> principe de l</w:t>
      </w:r>
      <w:r w:rsidR="00425386" w:rsidRPr="00731644">
        <w:rPr>
          <w:lang w:val="fr-CH"/>
        </w:rPr>
        <w:t>’</w:t>
      </w:r>
      <w:r w:rsidR="00920395" w:rsidRPr="00731644">
        <w:rPr>
          <w:lang w:val="fr-CH"/>
        </w:rPr>
        <w:t xml:space="preserve">égalité et </w:t>
      </w:r>
      <w:r w:rsidR="00FC066B" w:rsidRPr="00731644">
        <w:rPr>
          <w:lang w:val="fr-CH"/>
        </w:rPr>
        <w:t>à</w:t>
      </w:r>
      <w:r w:rsidR="00920395" w:rsidRPr="00731644">
        <w:rPr>
          <w:lang w:val="fr-CH"/>
        </w:rPr>
        <w:t xml:space="preserve"> l</w:t>
      </w:r>
      <w:r w:rsidR="00425386" w:rsidRPr="00731644">
        <w:rPr>
          <w:lang w:val="fr-CH"/>
        </w:rPr>
        <w:t>’</w:t>
      </w:r>
      <w:r w:rsidR="00920395" w:rsidRPr="00731644">
        <w:rPr>
          <w:lang w:val="fr-CH"/>
        </w:rPr>
        <w:t xml:space="preserve">interdiction de la discrimination </w:t>
      </w:r>
      <w:r w:rsidR="004C7BF6" w:rsidRPr="00731644">
        <w:rPr>
          <w:lang w:val="fr-CH"/>
        </w:rPr>
        <w:t>(</w:t>
      </w:r>
      <w:r w:rsidR="00976D48">
        <w:rPr>
          <w:lang w:val="fr-CH"/>
        </w:rPr>
        <w:t>p. </w:t>
      </w:r>
      <w:r w:rsidR="004C7BF6" w:rsidRPr="00731644">
        <w:rPr>
          <w:lang w:val="fr-CH"/>
        </w:rPr>
        <w:t>20).</w:t>
      </w:r>
      <w:r w:rsidR="006E7DDA" w:rsidRPr="00731644">
        <w:rPr>
          <w:lang w:val="fr-CH"/>
        </w:rPr>
        <w:t xml:space="preserve"> </w:t>
      </w:r>
    </w:p>
    <w:p w:rsidR="002F2BA8" w:rsidRPr="00731644" w:rsidRDefault="000B213E" w:rsidP="004C7BF6">
      <w:pPr>
        <w:pStyle w:val="SingleTxtG"/>
        <w:rPr>
          <w:bCs/>
          <w:lang w:val="fr-CH"/>
        </w:rPr>
      </w:pPr>
      <w:r w:rsidRPr="00731644">
        <w:rPr>
          <w:bCs/>
          <w:lang w:val="fr-CH"/>
        </w:rPr>
        <w:t>285.</w:t>
      </w:r>
      <w:r w:rsidRPr="00731644">
        <w:rPr>
          <w:bCs/>
          <w:lang w:val="fr-CH"/>
        </w:rPr>
        <w:tab/>
      </w:r>
      <w:r w:rsidR="00920395" w:rsidRPr="00731644">
        <w:rPr>
          <w:bCs/>
          <w:lang w:val="fr-CH"/>
        </w:rPr>
        <w:t>L</w:t>
      </w:r>
      <w:r w:rsidR="00425386" w:rsidRPr="00731644">
        <w:rPr>
          <w:bCs/>
          <w:lang w:val="fr-CH"/>
        </w:rPr>
        <w:t>’</w:t>
      </w:r>
      <w:r w:rsidR="001753EC">
        <w:rPr>
          <w:bCs/>
          <w:lang w:val="fr-CH"/>
        </w:rPr>
        <w:t>article </w:t>
      </w:r>
      <w:r w:rsidR="004C7BF6" w:rsidRPr="00731644">
        <w:rPr>
          <w:bCs/>
          <w:lang w:val="fr-CH"/>
        </w:rPr>
        <w:t xml:space="preserve">5 </w:t>
      </w:r>
      <w:r w:rsidR="00920395" w:rsidRPr="00731644">
        <w:rPr>
          <w:bCs/>
          <w:lang w:val="fr-CH"/>
        </w:rPr>
        <w:t xml:space="preserve">de la </w:t>
      </w:r>
      <w:r w:rsidR="00920395" w:rsidRPr="00A828E9">
        <w:rPr>
          <w:bCs/>
          <w:i/>
          <w:lang w:val="fr-CH"/>
        </w:rPr>
        <w:t>loi re</w:t>
      </w:r>
      <w:r w:rsidR="00FC066B" w:rsidRPr="00A828E9">
        <w:rPr>
          <w:bCs/>
          <w:i/>
          <w:lang w:val="fr-CH"/>
        </w:rPr>
        <w:t>l</w:t>
      </w:r>
      <w:r w:rsidR="00920395" w:rsidRPr="00A828E9">
        <w:rPr>
          <w:bCs/>
          <w:i/>
          <w:lang w:val="fr-CH"/>
        </w:rPr>
        <w:t>a</w:t>
      </w:r>
      <w:r w:rsidR="00FC066B" w:rsidRPr="00A828E9">
        <w:rPr>
          <w:bCs/>
          <w:i/>
          <w:lang w:val="fr-CH"/>
        </w:rPr>
        <w:t>t</w:t>
      </w:r>
      <w:r w:rsidR="00920395" w:rsidRPr="00A828E9">
        <w:rPr>
          <w:bCs/>
          <w:i/>
          <w:lang w:val="fr-CH"/>
        </w:rPr>
        <w:t>ive à la protection sociale et à la protection de l</w:t>
      </w:r>
      <w:r w:rsidR="00425386" w:rsidRPr="00A828E9">
        <w:rPr>
          <w:bCs/>
          <w:i/>
          <w:lang w:val="fr-CH"/>
        </w:rPr>
        <w:t>’</w:t>
      </w:r>
      <w:r w:rsidR="00920395" w:rsidRPr="00A828E9">
        <w:rPr>
          <w:bCs/>
          <w:i/>
          <w:lang w:val="fr-CH"/>
        </w:rPr>
        <w:t>enfance</w:t>
      </w:r>
      <w:r w:rsidR="00920395" w:rsidRPr="00731644">
        <w:rPr>
          <w:bCs/>
          <w:lang w:val="fr-CH"/>
        </w:rPr>
        <w:t xml:space="preserve"> dispose que, dans l</w:t>
      </w:r>
      <w:r w:rsidR="00425386" w:rsidRPr="00731644">
        <w:rPr>
          <w:bCs/>
          <w:lang w:val="fr-CH"/>
        </w:rPr>
        <w:t>’</w:t>
      </w:r>
      <w:r w:rsidR="00A332AD" w:rsidRPr="00731644">
        <w:rPr>
          <w:bCs/>
          <w:lang w:val="fr-CH"/>
        </w:rPr>
        <w:t>exercice</w:t>
      </w:r>
      <w:r w:rsidR="00920395" w:rsidRPr="00731644">
        <w:rPr>
          <w:bCs/>
          <w:lang w:val="fr-CH"/>
        </w:rPr>
        <w:t xml:space="preserve"> de</w:t>
      </w:r>
      <w:r w:rsidR="00FC066B" w:rsidRPr="00731644">
        <w:rPr>
          <w:bCs/>
          <w:lang w:val="fr-CH"/>
        </w:rPr>
        <w:t xml:space="preserve"> leurs droits à</w:t>
      </w:r>
      <w:r w:rsidR="00920395" w:rsidRPr="00731644">
        <w:rPr>
          <w:bCs/>
          <w:lang w:val="fr-CH"/>
        </w:rPr>
        <w:t xml:space="preserve"> ces deux formes de protection, les citoyens sont égaux, indépendamment de leur nationalité, de leur race, de leur sexe, de leur langue, de leur </w:t>
      </w:r>
      <w:r w:rsidR="004C7BF6" w:rsidRPr="00731644">
        <w:rPr>
          <w:bCs/>
          <w:lang w:val="fr-CH"/>
        </w:rPr>
        <w:t xml:space="preserve">religion, </w:t>
      </w:r>
      <w:r w:rsidR="00920395" w:rsidRPr="00731644">
        <w:rPr>
          <w:bCs/>
          <w:lang w:val="fr-CH"/>
        </w:rPr>
        <w:t xml:space="preserve">de leurs origines sociales et de leurs autres </w:t>
      </w:r>
      <w:r w:rsidR="00A332AD" w:rsidRPr="00731644">
        <w:rPr>
          <w:bCs/>
          <w:lang w:val="fr-CH"/>
        </w:rPr>
        <w:t>caractéristiques</w:t>
      </w:r>
      <w:r w:rsidR="00920395" w:rsidRPr="00731644">
        <w:rPr>
          <w:bCs/>
          <w:lang w:val="fr-CH"/>
        </w:rPr>
        <w:t xml:space="preserve"> personnelles, et que</w:t>
      </w:r>
      <w:r w:rsidR="00F31DD5" w:rsidRPr="00731644">
        <w:rPr>
          <w:bCs/>
          <w:lang w:val="fr-CH"/>
        </w:rPr>
        <w:t xml:space="preserve"> </w:t>
      </w:r>
      <w:r w:rsidR="00920395" w:rsidRPr="00731644">
        <w:rPr>
          <w:bCs/>
          <w:lang w:val="fr-CH"/>
        </w:rPr>
        <w:t>la protection sociale et la protection de l</w:t>
      </w:r>
      <w:r w:rsidR="00425386" w:rsidRPr="00731644">
        <w:rPr>
          <w:bCs/>
          <w:lang w:val="fr-CH"/>
        </w:rPr>
        <w:t>’</w:t>
      </w:r>
      <w:r w:rsidR="00920395" w:rsidRPr="00731644">
        <w:rPr>
          <w:bCs/>
          <w:lang w:val="fr-CH"/>
        </w:rPr>
        <w:t xml:space="preserve">enfance </w:t>
      </w:r>
      <w:r w:rsidR="002F2BA8" w:rsidRPr="00731644">
        <w:rPr>
          <w:bCs/>
          <w:lang w:val="fr-CH"/>
        </w:rPr>
        <w:t xml:space="preserve">sont assurées conformément à la Stratégie </w:t>
      </w:r>
      <w:r w:rsidR="00FC066B" w:rsidRPr="00731644">
        <w:rPr>
          <w:bCs/>
          <w:lang w:val="fr-CH"/>
        </w:rPr>
        <w:t>du même nom</w:t>
      </w:r>
      <w:r w:rsidR="002F2BA8" w:rsidRPr="00731644">
        <w:rPr>
          <w:bCs/>
          <w:lang w:val="fr-CH"/>
        </w:rPr>
        <w:t xml:space="preserve">. </w:t>
      </w:r>
    </w:p>
    <w:p w:rsidR="004C7BF6" w:rsidRPr="00731644" w:rsidRDefault="000B213E" w:rsidP="004C7BF6">
      <w:pPr>
        <w:pStyle w:val="SingleTxtG"/>
        <w:rPr>
          <w:lang w:val="fr-CH"/>
        </w:rPr>
      </w:pPr>
      <w:r w:rsidRPr="00731644">
        <w:rPr>
          <w:lang w:val="fr-CH"/>
        </w:rPr>
        <w:t>286.</w:t>
      </w:r>
      <w:r w:rsidRPr="00731644">
        <w:rPr>
          <w:lang w:val="fr-CH"/>
        </w:rPr>
        <w:tab/>
      </w:r>
      <w:r w:rsidR="002F2BA8" w:rsidRPr="00731644">
        <w:rPr>
          <w:lang w:val="fr-CH"/>
        </w:rPr>
        <w:t xml:space="preserve">Peuvent se prévaloir de ces droits les </w:t>
      </w:r>
      <w:r w:rsidR="00063C74" w:rsidRPr="00731644">
        <w:rPr>
          <w:lang w:val="fr-CH"/>
        </w:rPr>
        <w:t>citoyens</w:t>
      </w:r>
      <w:r w:rsidR="002F2BA8" w:rsidRPr="00731644">
        <w:rPr>
          <w:lang w:val="fr-CH"/>
        </w:rPr>
        <w:t xml:space="preserve"> monténégrins qui résident sur le territoire </w:t>
      </w:r>
      <w:r w:rsidR="00FC066B" w:rsidRPr="00731644">
        <w:rPr>
          <w:lang w:val="fr-CH"/>
        </w:rPr>
        <w:t>national</w:t>
      </w:r>
      <w:r w:rsidR="002F2BA8" w:rsidRPr="00731644">
        <w:rPr>
          <w:lang w:val="fr-CH"/>
        </w:rPr>
        <w:t>. Les étrangers et les apatrides peuvent exercer les droits à la protection sociale et à la protection de l</w:t>
      </w:r>
      <w:r w:rsidR="00425386" w:rsidRPr="00731644">
        <w:rPr>
          <w:lang w:val="fr-CH"/>
        </w:rPr>
        <w:t>’</w:t>
      </w:r>
      <w:r w:rsidR="002F2BA8" w:rsidRPr="00731644">
        <w:rPr>
          <w:lang w:val="fr-CH"/>
        </w:rPr>
        <w:t>enfance consacrés par la loi conformément aux conventions et aux accords internationaux.</w:t>
      </w:r>
    </w:p>
    <w:p w:rsidR="004C7BF6" w:rsidRPr="00731644" w:rsidRDefault="000B213E" w:rsidP="007A429C">
      <w:pPr>
        <w:pStyle w:val="SingleTxtG"/>
        <w:rPr>
          <w:lang w:val="fr-CH"/>
        </w:rPr>
      </w:pPr>
      <w:r w:rsidRPr="00731644">
        <w:rPr>
          <w:lang w:val="fr-CH"/>
        </w:rPr>
        <w:t>287.</w:t>
      </w:r>
      <w:r w:rsidRPr="00731644">
        <w:rPr>
          <w:lang w:val="fr-CH"/>
        </w:rPr>
        <w:tab/>
      </w:r>
      <w:r w:rsidR="002F2BA8" w:rsidRPr="00731644">
        <w:rPr>
          <w:lang w:val="fr-CH"/>
        </w:rPr>
        <w:t>Les droits fondamentaux reconnus par cette loi sont</w:t>
      </w:r>
      <w:r w:rsidR="00F31DD5" w:rsidRPr="00731644">
        <w:rPr>
          <w:lang w:val="fr-CH"/>
        </w:rPr>
        <w:t>:</w:t>
      </w:r>
      <w:r w:rsidR="002F2BA8" w:rsidRPr="00731644">
        <w:rPr>
          <w:lang w:val="fr-CH"/>
        </w:rPr>
        <w:t xml:space="preserve"> une allocation familiale en espèces</w:t>
      </w:r>
      <w:r w:rsidR="00F31DD5" w:rsidRPr="00731644">
        <w:rPr>
          <w:lang w:val="fr-CH"/>
        </w:rPr>
        <w:t>;</w:t>
      </w:r>
      <w:r w:rsidR="002F2BA8" w:rsidRPr="00731644">
        <w:rPr>
          <w:lang w:val="fr-CH"/>
        </w:rPr>
        <w:t xml:space="preserve"> une allocation personnelle po</w:t>
      </w:r>
      <w:r w:rsidR="00063C74" w:rsidRPr="00731644">
        <w:rPr>
          <w:lang w:val="fr-CH"/>
        </w:rPr>
        <w:t>ur invalidité</w:t>
      </w:r>
      <w:r w:rsidR="00F31DD5" w:rsidRPr="00731644">
        <w:rPr>
          <w:lang w:val="fr-CH"/>
        </w:rPr>
        <w:t>;</w:t>
      </w:r>
      <w:r w:rsidR="00063C74" w:rsidRPr="00731644">
        <w:rPr>
          <w:lang w:val="fr-CH"/>
        </w:rPr>
        <w:t xml:space="preserve"> une allocation </w:t>
      </w:r>
      <w:r w:rsidR="002F2BA8" w:rsidRPr="00731644">
        <w:rPr>
          <w:lang w:val="fr-CH"/>
        </w:rPr>
        <w:t>pour soi</w:t>
      </w:r>
      <w:r w:rsidR="00063C74" w:rsidRPr="00731644">
        <w:rPr>
          <w:lang w:val="fr-CH"/>
        </w:rPr>
        <w:t>n</w:t>
      </w:r>
      <w:r w:rsidR="002F2BA8" w:rsidRPr="00731644">
        <w:rPr>
          <w:lang w:val="fr-CH"/>
        </w:rPr>
        <w:t>s et assistance à domicile</w:t>
      </w:r>
      <w:r w:rsidR="00F31DD5" w:rsidRPr="00731644">
        <w:rPr>
          <w:lang w:val="fr-CH"/>
        </w:rPr>
        <w:t xml:space="preserve">; </w:t>
      </w:r>
      <w:r w:rsidR="002F2BA8" w:rsidRPr="00731644">
        <w:rPr>
          <w:lang w:val="fr-CH"/>
        </w:rPr>
        <w:t>le</w:t>
      </w:r>
      <w:r w:rsidR="004C7BF6" w:rsidRPr="00731644">
        <w:rPr>
          <w:lang w:val="fr-CH"/>
        </w:rPr>
        <w:t xml:space="preserve"> placement </w:t>
      </w:r>
      <w:r w:rsidR="002F2BA8" w:rsidRPr="00731644">
        <w:rPr>
          <w:lang w:val="fr-CH"/>
        </w:rPr>
        <w:t>dans une</w:t>
      </w:r>
      <w:r w:rsidR="004C7BF6" w:rsidRPr="00731644">
        <w:rPr>
          <w:lang w:val="fr-CH"/>
        </w:rPr>
        <w:t xml:space="preserve"> institution</w:t>
      </w:r>
      <w:r w:rsidR="00F31DD5" w:rsidRPr="00731644">
        <w:rPr>
          <w:lang w:val="fr-CH"/>
        </w:rPr>
        <w:t>;</w:t>
      </w:r>
      <w:r w:rsidR="004C7BF6" w:rsidRPr="00731644">
        <w:rPr>
          <w:lang w:val="fr-CH"/>
        </w:rPr>
        <w:t xml:space="preserve"> </w:t>
      </w:r>
      <w:r w:rsidR="002F2BA8" w:rsidRPr="00731644">
        <w:rPr>
          <w:lang w:val="fr-CH"/>
        </w:rPr>
        <w:t xml:space="preserve">le </w:t>
      </w:r>
      <w:r w:rsidR="004C7BF6" w:rsidRPr="00731644">
        <w:rPr>
          <w:lang w:val="fr-CH"/>
        </w:rPr>
        <w:t xml:space="preserve">placement </w:t>
      </w:r>
      <w:r w:rsidR="002F2BA8" w:rsidRPr="00731644">
        <w:rPr>
          <w:lang w:val="fr-CH"/>
        </w:rPr>
        <w:t>dans une famille d</w:t>
      </w:r>
      <w:r w:rsidR="00425386" w:rsidRPr="00731644">
        <w:rPr>
          <w:lang w:val="fr-CH"/>
        </w:rPr>
        <w:t>’</w:t>
      </w:r>
      <w:r w:rsidR="002F2BA8" w:rsidRPr="00731644">
        <w:rPr>
          <w:lang w:val="fr-CH"/>
        </w:rPr>
        <w:t>accueil</w:t>
      </w:r>
      <w:r w:rsidR="00F31DD5" w:rsidRPr="00731644">
        <w:rPr>
          <w:lang w:val="fr-CH"/>
        </w:rPr>
        <w:t>;</w:t>
      </w:r>
      <w:r w:rsidR="002F2BA8" w:rsidRPr="00731644">
        <w:rPr>
          <w:lang w:val="fr-CH"/>
        </w:rPr>
        <w:t xml:space="preserve"> une aide </w:t>
      </w:r>
      <w:r w:rsidR="00063C74" w:rsidRPr="00731644">
        <w:rPr>
          <w:lang w:val="fr-CH"/>
        </w:rPr>
        <w:t>à la</w:t>
      </w:r>
      <w:r w:rsidR="002F2BA8" w:rsidRPr="00731644">
        <w:rPr>
          <w:lang w:val="fr-CH"/>
        </w:rPr>
        <w:t xml:space="preserve"> ré</w:t>
      </w:r>
      <w:r w:rsidR="00063C74" w:rsidRPr="00731644">
        <w:rPr>
          <w:lang w:val="fr-CH"/>
        </w:rPr>
        <w:t>insertion</w:t>
      </w:r>
      <w:r w:rsidR="00976D48">
        <w:rPr>
          <w:lang w:val="fr-CH"/>
        </w:rPr>
        <w:t xml:space="preserve"> professionnelle </w:t>
      </w:r>
      <w:r w:rsidR="002F2BA8" w:rsidRPr="00731644">
        <w:rPr>
          <w:lang w:val="fr-CH"/>
        </w:rPr>
        <w:t xml:space="preserve">et </w:t>
      </w:r>
      <w:r w:rsidR="00063C74" w:rsidRPr="00731644">
        <w:rPr>
          <w:lang w:val="fr-CH"/>
        </w:rPr>
        <w:t xml:space="preserve">à </w:t>
      </w:r>
      <w:r w:rsidR="002F2BA8" w:rsidRPr="00731644">
        <w:rPr>
          <w:lang w:val="fr-CH"/>
        </w:rPr>
        <w:t>l</w:t>
      </w:r>
      <w:r w:rsidR="00425386" w:rsidRPr="00731644">
        <w:rPr>
          <w:lang w:val="fr-CH"/>
        </w:rPr>
        <w:t>’</w:t>
      </w:r>
      <w:r w:rsidR="002F2BA8" w:rsidRPr="00731644">
        <w:rPr>
          <w:lang w:val="fr-CH"/>
        </w:rPr>
        <w:t>acquisition d</w:t>
      </w:r>
      <w:r w:rsidR="00425386" w:rsidRPr="00731644">
        <w:rPr>
          <w:lang w:val="fr-CH"/>
        </w:rPr>
        <w:t>’</w:t>
      </w:r>
      <w:r w:rsidR="002F2BA8" w:rsidRPr="00731644">
        <w:rPr>
          <w:lang w:val="fr-CH"/>
        </w:rPr>
        <w:t>une qualification professionnelle</w:t>
      </w:r>
      <w:r w:rsidR="00F31DD5" w:rsidRPr="00731644">
        <w:rPr>
          <w:lang w:val="fr-CH"/>
        </w:rPr>
        <w:t>;</w:t>
      </w:r>
      <w:r w:rsidR="0005003B" w:rsidRPr="00731644">
        <w:rPr>
          <w:lang w:val="fr-CH"/>
        </w:rPr>
        <w:t xml:space="preserve"> </w:t>
      </w:r>
      <w:r w:rsidR="002F2BA8" w:rsidRPr="00731644">
        <w:rPr>
          <w:lang w:val="fr-CH"/>
        </w:rPr>
        <w:t>des soins de santé</w:t>
      </w:r>
      <w:r w:rsidR="00F31DD5" w:rsidRPr="00731644">
        <w:rPr>
          <w:lang w:val="fr-CH"/>
        </w:rPr>
        <w:t>;</w:t>
      </w:r>
      <w:r w:rsidR="004C7BF6" w:rsidRPr="00731644">
        <w:rPr>
          <w:lang w:val="fr-CH"/>
        </w:rPr>
        <w:t xml:space="preserve"> </w:t>
      </w:r>
      <w:r w:rsidR="002F2BA8" w:rsidRPr="00731644">
        <w:rPr>
          <w:lang w:val="fr-CH"/>
        </w:rPr>
        <w:t>le financement des frais d</w:t>
      </w:r>
      <w:r w:rsidR="00425386" w:rsidRPr="00731644">
        <w:rPr>
          <w:lang w:val="fr-CH"/>
        </w:rPr>
        <w:t>’</w:t>
      </w:r>
      <w:r w:rsidR="002F2BA8" w:rsidRPr="00731644">
        <w:rPr>
          <w:lang w:val="fr-CH"/>
        </w:rPr>
        <w:t>obsèques</w:t>
      </w:r>
      <w:r w:rsidR="00F31DD5" w:rsidRPr="00731644">
        <w:rPr>
          <w:lang w:val="fr-CH"/>
        </w:rPr>
        <w:t>;</w:t>
      </w:r>
      <w:r w:rsidR="004C7BF6" w:rsidRPr="00731644">
        <w:rPr>
          <w:lang w:val="fr-CH"/>
        </w:rPr>
        <w:t xml:space="preserve"> </w:t>
      </w:r>
      <w:r w:rsidR="00B072E5" w:rsidRPr="00731644">
        <w:rPr>
          <w:lang w:val="fr-CH"/>
        </w:rPr>
        <w:t>le versement d</w:t>
      </w:r>
      <w:r w:rsidR="00425386" w:rsidRPr="00731644">
        <w:rPr>
          <w:lang w:val="fr-CH"/>
        </w:rPr>
        <w:t>’</w:t>
      </w:r>
      <w:r w:rsidR="00B072E5" w:rsidRPr="00731644">
        <w:rPr>
          <w:lang w:val="fr-CH"/>
        </w:rPr>
        <w:t>un capital. L</w:t>
      </w:r>
      <w:r w:rsidR="00425386" w:rsidRPr="00731644">
        <w:rPr>
          <w:lang w:val="fr-CH"/>
        </w:rPr>
        <w:t>’</w:t>
      </w:r>
      <w:r w:rsidR="00B072E5" w:rsidRPr="00731644">
        <w:rPr>
          <w:lang w:val="fr-CH"/>
        </w:rPr>
        <w:t>État peut accorder d</w:t>
      </w:r>
      <w:r w:rsidR="00425386" w:rsidRPr="00731644">
        <w:rPr>
          <w:lang w:val="fr-CH"/>
        </w:rPr>
        <w:t>’</w:t>
      </w:r>
      <w:r w:rsidR="00B072E5" w:rsidRPr="00731644">
        <w:rPr>
          <w:lang w:val="fr-CH"/>
        </w:rPr>
        <w:t>autres droits et formes de protection sociale en fonction de ses possibilités financières.</w:t>
      </w:r>
    </w:p>
    <w:p w:rsidR="004C7BF6" w:rsidRPr="00731644" w:rsidRDefault="000B213E" w:rsidP="004C7BF6">
      <w:pPr>
        <w:pStyle w:val="SingleTxtG"/>
        <w:rPr>
          <w:lang w:val="fr-CH"/>
        </w:rPr>
      </w:pPr>
      <w:r w:rsidRPr="00731644">
        <w:rPr>
          <w:bCs/>
          <w:iCs/>
          <w:lang w:val="fr-CH"/>
        </w:rPr>
        <w:t>288.</w:t>
      </w:r>
      <w:r w:rsidRPr="00731644">
        <w:rPr>
          <w:bCs/>
          <w:i/>
          <w:lang w:val="fr-CH"/>
        </w:rPr>
        <w:tab/>
      </w:r>
      <w:r w:rsidR="00B072E5" w:rsidRPr="00731644">
        <w:rPr>
          <w:bCs/>
          <w:lang w:val="fr-CH"/>
        </w:rPr>
        <w:t xml:space="preserve">Le </w:t>
      </w:r>
      <w:r w:rsidR="00B072E5" w:rsidRPr="00A828E9">
        <w:rPr>
          <w:bCs/>
          <w:i/>
          <w:lang w:val="fr-CH"/>
        </w:rPr>
        <w:t>décret relatif à l</w:t>
      </w:r>
      <w:r w:rsidR="00425386" w:rsidRPr="00A828E9">
        <w:rPr>
          <w:bCs/>
          <w:i/>
          <w:lang w:val="fr-CH"/>
        </w:rPr>
        <w:t>’</w:t>
      </w:r>
      <w:r w:rsidR="00B072E5" w:rsidRPr="00A828E9">
        <w:rPr>
          <w:bCs/>
          <w:i/>
          <w:lang w:val="fr-CH"/>
        </w:rPr>
        <w:t>aide financière aux demandeurs d</w:t>
      </w:r>
      <w:r w:rsidR="00425386" w:rsidRPr="00A828E9">
        <w:rPr>
          <w:bCs/>
          <w:i/>
          <w:lang w:val="fr-CH"/>
        </w:rPr>
        <w:t>’</w:t>
      </w:r>
      <w:r w:rsidR="00B072E5" w:rsidRPr="00A828E9">
        <w:rPr>
          <w:bCs/>
          <w:i/>
          <w:lang w:val="fr-CH"/>
        </w:rPr>
        <w:t>asile</w:t>
      </w:r>
      <w:r w:rsidR="00B072E5" w:rsidRPr="00731644">
        <w:rPr>
          <w:bCs/>
          <w:lang w:val="fr-CH"/>
        </w:rPr>
        <w:t xml:space="preserve"> prévoit l</w:t>
      </w:r>
      <w:r w:rsidR="00425386" w:rsidRPr="00731644">
        <w:rPr>
          <w:bCs/>
          <w:lang w:val="fr-CH"/>
        </w:rPr>
        <w:t>’</w:t>
      </w:r>
      <w:r w:rsidR="00B072E5" w:rsidRPr="00731644">
        <w:rPr>
          <w:bCs/>
          <w:lang w:val="fr-CH"/>
        </w:rPr>
        <w:t>octroi d</w:t>
      </w:r>
      <w:r w:rsidR="00425386" w:rsidRPr="00731644">
        <w:rPr>
          <w:bCs/>
          <w:lang w:val="fr-CH"/>
        </w:rPr>
        <w:t>’</w:t>
      </w:r>
      <w:r w:rsidR="00B072E5" w:rsidRPr="00731644">
        <w:rPr>
          <w:bCs/>
          <w:lang w:val="fr-CH"/>
        </w:rPr>
        <w:t xml:space="preserve">une </w:t>
      </w:r>
      <w:r w:rsidR="0005003B" w:rsidRPr="00731644">
        <w:rPr>
          <w:bCs/>
          <w:lang w:val="fr-CH"/>
        </w:rPr>
        <w:t xml:space="preserve">telle </w:t>
      </w:r>
      <w:r w:rsidR="00B072E5" w:rsidRPr="00731644">
        <w:rPr>
          <w:bCs/>
          <w:lang w:val="fr-CH"/>
        </w:rPr>
        <w:t xml:space="preserve">aide à titre de protection sociale </w:t>
      </w:r>
      <w:r w:rsidR="00516407">
        <w:rPr>
          <w:bCs/>
          <w:lang w:val="fr-CH"/>
        </w:rPr>
        <w:t>aux personnes</w:t>
      </w:r>
      <w:r w:rsidR="00B072E5" w:rsidRPr="00731644">
        <w:rPr>
          <w:bCs/>
          <w:lang w:val="fr-CH"/>
        </w:rPr>
        <w:t xml:space="preserve"> qui ont obtenu le statut de réfugié ou la protection subsidiaire conformément à la loi rel</w:t>
      </w:r>
      <w:r w:rsidR="00C70596" w:rsidRPr="00731644">
        <w:rPr>
          <w:bCs/>
          <w:lang w:val="fr-CH"/>
        </w:rPr>
        <w:t>a</w:t>
      </w:r>
      <w:r w:rsidR="00B072E5" w:rsidRPr="00731644">
        <w:rPr>
          <w:bCs/>
          <w:lang w:val="fr-CH"/>
        </w:rPr>
        <w:t>tive à l</w:t>
      </w:r>
      <w:r w:rsidR="00425386" w:rsidRPr="00731644">
        <w:rPr>
          <w:bCs/>
          <w:lang w:val="fr-CH"/>
        </w:rPr>
        <w:t>’</w:t>
      </w:r>
      <w:r w:rsidR="00B072E5" w:rsidRPr="00731644">
        <w:rPr>
          <w:bCs/>
          <w:lang w:val="fr-CH"/>
        </w:rPr>
        <w:t>asile.</w:t>
      </w:r>
      <w:r w:rsidR="00F31DD5" w:rsidRPr="00731644">
        <w:rPr>
          <w:bCs/>
          <w:lang w:val="fr-CH"/>
        </w:rPr>
        <w:t xml:space="preserve"> </w:t>
      </w:r>
    </w:p>
    <w:p w:rsidR="004C7BF6" w:rsidRPr="00731644" w:rsidRDefault="005E6D70" w:rsidP="000B213E">
      <w:pPr>
        <w:pStyle w:val="H4G"/>
        <w:rPr>
          <w:lang w:val="fr-CH"/>
        </w:rPr>
      </w:pPr>
      <w:r w:rsidRPr="00731644">
        <w:rPr>
          <w:lang w:val="fr-CH"/>
        </w:rPr>
        <w:tab/>
      </w:r>
      <w:r w:rsidRPr="00731644">
        <w:rPr>
          <w:lang w:val="fr-CH"/>
        </w:rPr>
        <w:tab/>
        <w:t>É</w:t>
      </w:r>
      <w:r w:rsidR="004C7BF6" w:rsidRPr="00731644">
        <w:rPr>
          <w:lang w:val="fr-CH"/>
        </w:rPr>
        <w:t xml:space="preserve">ducation </w:t>
      </w:r>
      <w:r w:rsidRPr="00731644">
        <w:rPr>
          <w:lang w:val="fr-CH"/>
        </w:rPr>
        <w:t>et apprentissage</w:t>
      </w:r>
    </w:p>
    <w:p w:rsidR="005E6D70" w:rsidRPr="00731644" w:rsidRDefault="000B213E" w:rsidP="004C7BF6">
      <w:pPr>
        <w:pStyle w:val="SingleTxtG"/>
        <w:rPr>
          <w:lang w:val="fr-CH"/>
        </w:rPr>
      </w:pPr>
      <w:r w:rsidRPr="00731644">
        <w:rPr>
          <w:lang w:val="fr-CH"/>
        </w:rPr>
        <w:t>289.</w:t>
      </w:r>
      <w:r w:rsidRPr="00731644">
        <w:rPr>
          <w:lang w:val="fr-CH"/>
        </w:rPr>
        <w:tab/>
      </w:r>
      <w:r w:rsidR="005E6D70" w:rsidRPr="00731644">
        <w:rPr>
          <w:lang w:val="fr-CH"/>
        </w:rPr>
        <w:t>La</w:t>
      </w:r>
      <w:r w:rsidR="004C7BF6" w:rsidRPr="00731644">
        <w:rPr>
          <w:lang w:val="fr-CH"/>
        </w:rPr>
        <w:t xml:space="preserve"> Constitution </w:t>
      </w:r>
      <w:r w:rsidR="005E6D70" w:rsidRPr="00731644">
        <w:rPr>
          <w:lang w:val="fr-CH"/>
        </w:rPr>
        <w:t xml:space="preserve">et la législation du Monténégro </w:t>
      </w:r>
      <w:r w:rsidR="00C70596" w:rsidRPr="00731644">
        <w:rPr>
          <w:lang w:val="fr-CH"/>
        </w:rPr>
        <w:t>dispos</w:t>
      </w:r>
      <w:r w:rsidR="005E6D70" w:rsidRPr="00731644">
        <w:rPr>
          <w:lang w:val="fr-CH"/>
        </w:rPr>
        <w:t xml:space="preserve">ent que </w:t>
      </w:r>
      <w:r w:rsidR="00C70596" w:rsidRPr="00731644">
        <w:rPr>
          <w:lang w:val="fr-CH"/>
        </w:rPr>
        <w:t>l</w:t>
      </w:r>
      <w:r w:rsidR="00425386" w:rsidRPr="00731644">
        <w:rPr>
          <w:lang w:val="fr-CH"/>
        </w:rPr>
        <w:t>’</w:t>
      </w:r>
      <w:r w:rsidR="00C70596" w:rsidRPr="00731644">
        <w:rPr>
          <w:lang w:val="fr-CH"/>
        </w:rPr>
        <w:t>enseignement primaire</w:t>
      </w:r>
      <w:r w:rsidR="005E6D70" w:rsidRPr="00731644">
        <w:rPr>
          <w:lang w:val="fr-CH"/>
        </w:rPr>
        <w:t xml:space="preserve"> est obligatoire et gratuit pour les enfants âgés de sept à 15</w:t>
      </w:r>
      <w:r w:rsidR="00976D48">
        <w:rPr>
          <w:lang w:val="fr-CH"/>
        </w:rPr>
        <w:t> ans</w:t>
      </w:r>
      <w:r w:rsidR="005E6D70" w:rsidRPr="00731644">
        <w:rPr>
          <w:lang w:val="fr-CH"/>
        </w:rPr>
        <w:t>, sans distinction de race, de religion ni d</w:t>
      </w:r>
      <w:r w:rsidR="00425386" w:rsidRPr="00731644">
        <w:rPr>
          <w:lang w:val="fr-CH"/>
        </w:rPr>
        <w:t>’</w:t>
      </w:r>
      <w:r w:rsidR="0005003B" w:rsidRPr="00731644">
        <w:rPr>
          <w:lang w:val="fr-CH"/>
        </w:rPr>
        <w:t>un</w:t>
      </w:r>
      <w:r w:rsidR="005E6D70" w:rsidRPr="00731644">
        <w:rPr>
          <w:lang w:val="fr-CH"/>
        </w:rPr>
        <w:t xml:space="preserve"> aut</w:t>
      </w:r>
      <w:r w:rsidR="00C70596" w:rsidRPr="00731644">
        <w:rPr>
          <w:lang w:val="fr-CH"/>
        </w:rPr>
        <w:t>r</w:t>
      </w:r>
      <w:r w:rsidR="005E6D70" w:rsidRPr="00731644">
        <w:rPr>
          <w:lang w:val="fr-CH"/>
        </w:rPr>
        <w:t xml:space="preserve">e </w:t>
      </w:r>
      <w:r w:rsidR="00C70596" w:rsidRPr="00731644">
        <w:rPr>
          <w:lang w:val="fr-CH"/>
        </w:rPr>
        <w:t>ordre.</w:t>
      </w:r>
    </w:p>
    <w:p w:rsidR="0064224D" w:rsidRPr="00731644" w:rsidRDefault="000B213E" w:rsidP="004C7BF6">
      <w:pPr>
        <w:pStyle w:val="SingleTxtG"/>
        <w:rPr>
          <w:lang w:val="fr-CH"/>
        </w:rPr>
      </w:pPr>
      <w:r w:rsidRPr="00731644">
        <w:rPr>
          <w:lang w:val="fr-CH"/>
        </w:rPr>
        <w:t>290.</w:t>
      </w:r>
      <w:r w:rsidRPr="00731644">
        <w:rPr>
          <w:lang w:val="fr-CH"/>
        </w:rPr>
        <w:tab/>
      </w:r>
      <w:r w:rsidR="005E6D70" w:rsidRPr="00731644">
        <w:rPr>
          <w:lang w:val="fr-CH"/>
        </w:rPr>
        <w:t xml:space="preserve">Il existe au Monténégro </w:t>
      </w:r>
      <w:r w:rsidR="004C7BF6" w:rsidRPr="00731644">
        <w:rPr>
          <w:lang w:val="fr-CH"/>
        </w:rPr>
        <w:t xml:space="preserve">21 </w:t>
      </w:r>
      <w:r w:rsidR="00C70596" w:rsidRPr="00731644">
        <w:rPr>
          <w:lang w:val="fr-CH"/>
        </w:rPr>
        <w:t>établissement</w:t>
      </w:r>
      <w:r w:rsidR="00CE694E" w:rsidRPr="00731644">
        <w:rPr>
          <w:lang w:val="fr-CH"/>
        </w:rPr>
        <w:t xml:space="preserve">s préscolaires, coiffant un réseau de </w:t>
      </w:r>
      <w:r w:rsidR="00976D48">
        <w:rPr>
          <w:lang w:val="fr-CH"/>
        </w:rPr>
        <w:t>96 </w:t>
      </w:r>
      <w:r w:rsidR="00CE694E" w:rsidRPr="00731644">
        <w:rPr>
          <w:lang w:val="fr-CH"/>
        </w:rPr>
        <w:t xml:space="preserve">unités </w:t>
      </w:r>
      <w:r w:rsidR="00A332AD" w:rsidRPr="00731644">
        <w:rPr>
          <w:lang w:val="fr-CH"/>
        </w:rPr>
        <w:t>éducatives</w:t>
      </w:r>
      <w:r w:rsidR="00CE694E" w:rsidRPr="00731644">
        <w:rPr>
          <w:lang w:val="fr-CH"/>
        </w:rPr>
        <w:t xml:space="preserve"> au sein duquel son organisés </w:t>
      </w:r>
      <w:r w:rsidR="004C7BF6" w:rsidRPr="00731644">
        <w:rPr>
          <w:lang w:val="fr-CH"/>
        </w:rPr>
        <w:t xml:space="preserve">414 </w:t>
      </w:r>
      <w:r w:rsidR="00CE694E" w:rsidRPr="00731644">
        <w:rPr>
          <w:lang w:val="fr-CH"/>
        </w:rPr>
        <w:t xml:space="preserve">groupes éducatifs. Deux </w:t>
      </w:r>
      <w:r w:rsidR="00C70596" w:rsidRPr="00731644">
        <w:rPr>
          <w:lang w:val="fr-CH"/>
        </w:rPr>
        <w:t>établissement</w:t>
      </w:r>
      <w:r w:rsidR="00DF5288" w:rsidRPr="00731644">
        <w:rPr>
          <w:lang w:val="fr-CH"/>
        </w:rPr>
        <w:t xml:space="preserve">s </w:t>
      </w:r>
      <w:r w:rsidR="00CE694E" w:rsidRPr="00731644">
        <w:rPr>
          <w:lang w:val="fr-CH"/>
        </w:rPr>
        <w:t>prés</w:t>
      </w:r>
      <w:r w:rsidR="00C70596" w:rsidRPr="00731644">
        <w:rPr>
          <w:lang w:val="fr-CH"/>
        </w:rPr>
        <w:t>c</w:t>
      </w:r>
      <w:r w:rsidR="00CE694E" w:rsidRPr="00731644">
        <w:rPr>
          <w:lang w:val="fr-CH"/>
        </w:rPr>
        <w:t>olaires comp</w:t>
      </w:r>
      <w:r w:rsidR="00DE428D" w:rsidRPr="00731644">
        <w:rPr>
          <w:lang w:val="fr-CH"/>
        </w:rPr>
        <w:t>or</w:t>
      </w:r>
      <w:r w:rsidR="00CE694E" w:rsidRPr="00731644">
        <w:rPr>
          <w:lang w:val="fr-CH"/>
        </w:rPr>
        <w:t>tant cinq unités éducatives et situés à Podgorica-Tuzi (une unité éducative) et à Ulcinj (4 unités éducatives) emploient la langue albanaise</w:t>
      </w:r>
      <w:r w:rsidR="004C7BF6" w:rsidRPr="00731644">
        <w:rPr>
          <w:lang w:val="fr-CH"/>
        </w:rPr>
        <w:t xml:space="preserve">. </w:t>
      </w:r>
      <w:r w:rsidR="00644B3A" w:rsidRPr="00731644">
        <w:rPr>
          <w:lang w:val="fr-CH"/>
        </w:rPr>
        <w:t>L</w:t>
      </w:r>
      <w:r w:rsidR="00425386" w:rsidRPr="00731644">
        <w:rPr>
          <w:lang w:val="fr-CH"/>
        </w:rPr>
        <w:t>’</w:t>
      </w:r>
      <w:r w:rsidR="00644B3A" w:rsidRPr="00731644">
        <w:rPr>
          <w:lang w:val="fr-CH"/>
        </w:rPr>
        <w:t xml:space="preserve">éducation préscolaire est assurée en albanais dans neuf groupes éducatifs </w:t>
      </w:r>
      <w:r w:rsidR="00C70596" w:rsidRPr="00731644">
        <w:rPr>
          <w:lang w:val="fr-CH"/>
        </w:rPr>
        <w:t>qui accueillent</w:t>
      </w:r>
      <w:r w:rsidR="00644B3A" w:rsidRPr="00731644">
        <w:rPr>
          <w:lang w:val="fr-CH"/>
        </w:rPr>
        <w:t xml:space="preserve"> </w:t>
      </w:r>
      <w:r w:rsidR="004C7BF6" w:rsidRPr="00731644">
        <w:rPr>
          <w:lang w:val="fr-CH"/>
        </w:rPr>
        <w:t xml:space="preserve">222 </w:t>
      </w:r>
      <w:r w:rsidR="00644B3A" w:rsidRPr="00731644">
        <w:rPr>
          <w:lang w:val="fr-CH"/>
        </w:rPr>
        <w:t>enfants de six</w:t>
      </w:r>
      <w:r w:rsidR="00976D48">
        <w:rPr>
          <w:lang w:val="fr-CH"/>
        </w:rPr>
        <w:t> ans</w:t>
      </w:r>
      <w:r w:rsidR="00644B3A" w:rsidRPr="00731644">
        <w:rPr>
          <w:lang w:val="fr-CH"/>
        </w:rPr>
        <w:t>, c</w:t>
      </w:r>
      <w:r w:rsidR="00425386" w:rsidRPr="00731644">
        <w:rPr>
          <w:lang w:val="fr-CH"/>
        </w:rPr>
        <w:t>’</w:t>
      </w:r>
      <w:r w:rsidR="00644B3A" w:rsidRPr="00731644">
        <w:rPr>
          <w:lang w:val="fr-CH"/>
        </w:rPr>
        <w:t xml:space="preserve">est-à-dire en âge de commencer leur </w:t>
      </w:r>
      <w:r w:rsidR="0005003B" w:rsidRPr="00731644">
        <w:rPr>
          <w:lang w:val="fr-CH"/>
        </w:rPr>
        <w:t>scolarité</w:t>
      </w:r>
      <w:r w:rsidR="00644B3A" w:rsidRPr="00731644">
        <w:rPr>
          <w:lang w:val="fr-CH"/>
        </w:rPr>
        <w:t>.</w:t>
      </w:r>
      <w:r w:rsidR="00F31DD5" w:rsidRPr="00731644">
        <w:rPr>
          <w:lang w:val="fr-CH"/>
        </w:rPr>
        <w:t xml:space="preserve"> </w:t>
      </w:r>
      <w:r w:rsidR="000A76E8" w:rsidRPr="00731644">
        <w:rPr>
          <w:lang w:val="fr-CH"/>
        </w:rPr>
        <w:t>Elle</w:t>
      </w:r>
      <w:r w:rsidR="00644B3A" w:rsidRPr="00731644">
        <w:rPr>
          <w:lang w:val="fr-CH"/>
        </w:rPr>
        <w:t xml:space="preserve"> touche </w:t>
      </w:r>
      <w:r w:rsidR="004C7BF6" w:rsidRPr="00731644">
        <w:rPr>
          <w:lang w:val="fr-CH"/>
        </w:rPr>
        <w:t>13</w:t>
      </w:r>
      <w:r w:rsidR="00644B3A" w:rsidRPr="00731644">
        <w:rPr>
          <w:lang w:val="fr-CH"/>
        </w:rPr>
        <w:t>,</w:t>
      </w:r>
      <w:r w:rsidR="004C7BF6" w:rsidRPr="00731644">
        <w:rPr>
          <w:lang w:val="fr-CH"/>
        </w:rPr>
        <w:t>81</w:t>
      </w:r>
      <w:r w:rsidR="006443F6" w:rsidRPr="00731644">
        <w:rPr>
          <w:lang w:val="fr-CH"/>
        </w:rPr>
        <w:t>%</w:t>
      </w:r>
      <w:r w:rsidR="00644B3A" w:rsidRPr="00731644">
        <w:rPr>
          <w:lang w:val="fr-CH"/>
        </w:rPr>
        <w:t xml:space="preserve"> des enfants rom</w:t>
      </w:r>
      <w:r w:rsidR="00C70596" w:rsidRPr="00731644">
        <w:rPr>
          <w:lang w:val="fr-CH"/>
        </w:rPr>
        <w:t>s</w:t>
      </w:r>
      <w:r w:rsidR="00644B3A" w:rsidRPr="00731644">
        <w:rPr>
          <w:lang w:val="fr-CH"/>
        </w:rPr>
        <w:t xml:space="preserve">, </w:t>
      </w:r>
      <w:r w:rsidR="002A5033" w:rsidRPr="00731644">
        <w:rPr>
          <w:lang w:val="fr-CH"/>
        </w:rPr>
        <w:t>ashkali</w:t>
      </w:r>
      <w:r w:rsidR="00644B3A" w:rsidRPr="00731644">
        <w:rPr>
          <w:lang w:val="fr-CH"/>
        </w:rPr>
        <w:t xml:space="preserve"> et </w:t>
      </w:r>
      <w:r w:rsidR="00C70596" w:rsidRPr="00731644">
        <w:rPr>
          <w:lang w:val="fr-CH"/>
        </w:rPr>
        <w:t>tziganes</w:t>
      </w:r>
      <w:r w:rsidR="00644B3A" w:rsidRPr="00731644">
        <w:rPr>
          <w:lang w:val="fr-CH"/>
        </w:rPr>
        <w:t xml:space="preserve">, </w:t>
      </w:r>
      <w:r w:rsidR="00E16C15" w:rsidRPr="00731644">
        <w:rPr>
          <w:lang w:val="fr-CH"/>
        </w:rPr>
        <w:t>soit moitié moins proportionnellement que</w:t>
      </w:r>
      <w:r w:rsidR="00644B3A" w:rsidRPr="00731644">
        <w:rPr>
          <w:lang w:val="fr-CH"/>
        </w:rPr>
        <w:t xml:space="preserve"> l</w:t>
      </w:r>
      <w:r w:rsidR="00425386" w:rsidRPr="00731644">
        <w:rPr>
          <w:lang w:val="fr-CH"/>
        </w:rPr>
        <w:t>’</w:t>
      </w:r>
      <w:r w:rsidR="00644B3A" w:rsidRPr="00731644">
        <w:rPr>
          <w:lang w:val="fr-CH"/>
        </w:rPr>
        <w:t xml:space="preserve">ensemble de tous les enfants </w:t>
      </w:r>
      <w:r w:rsidR="004C7BF6" w:rsidRPr="00731644">
        <w:rPr>
          <w:lang w:val="fr-CH"/>
        </w:rPr>
        <w:t>(26</w:t>
      </w:r>
      <w:r w:rsidR="00644B3A" w:rsidRPr="00731644">
        <w:rPr>
          <w:lang w:val="fr-CH"/>
        </w:rPr>
        <w:t>,</w:t>
      </w:r>
      <w:r w:rsidR="004C7BF6" w:rsidRPr="00731644">
        <w:rPr>
          <w:lang w:val="fr-CH"/>
        </w:rPr>
        <w:t>65</w:t>
      </w:r>
      <w:r w:rsidR="006443F6" w:rsidRPr="00731644">
        <w:rPr>
          <w:lang w:val="fr-CH"/>
        </w:rPr>
        <w:t>%</w:t>
      </w:r>
      <w:r w:rsidR="004C7BF6" w:rsidRPr="00731644">
        <w:rPr>
          <w:lang w:val="fr-CH"/>
        </w:rPr>
        <w:t xml:space="preserve">). </w:t>
      </w:r>
      <w:r w:rsidR="00644B3A" w:rsidRPr="00731644">
        <w:rPr>
          <w:lang w:val="fr-CH"/>
        </w:rPr>
        <w:t>Le pourcentage des filles qui reçoivent une éducation préscolaire est légèrement supérieur à celui des garçons –</w:t>
      </w:r>
      <w:r w:rsidR="004C7BF6" w:rsidRPr="00731644">
        <w:rPr>
          <w:lang w:val="fr-CH"/>
        </w:rPr>
        <w:t xml:space="preserve"> 15</w:t>
      </w:r>
      <w:r w:rsidR="00644B3A" w:rsidRPr="00731644">
        <w:rPr>
          <w:lang w:val="fr-CH"/>
        </w:rPr>
        <w:t>,</w:t>
      </w:r>
      <w:r w:rsidR="004C7BF6" w:rsidRPr="00731644">
        <w:rPr>
          <w:lang w:val="fr-CH"/>
        </w:rPr>
        <w:t>02</w:t>
      </w:r>
      <w:r w:rsidR="006443F6" w:rsidRPr="00731644">
        <w:rPr>
          <w:lang w:val="fr-CH"/>
        </w:rPr>
        <w:t>%</w:t>
      </w:r>
      <w:r w:rsidR="00644B3A" w:rsidRPr="00731644">
        <w:rPr>
          <w:lang w:val="fr-CH"/>
        </w:rPr>
        <w:t xml:space="preserve"> contre </w:t>
      </w:r>
      <w:r w:rsidR="004C7BF6" w:rsidRPr="00731644">
        <w:rPr>
          <w:lang w:val="fr-CH"/>
        </w:rPr>
        <w:t>12</w:t>
      </w:r>
      <w:r w:rsidR="00644B3A" w:rsidRPr="00731644">
        <w:rPr>
          <w:lang w:val="fr-CH"/>
        </w:rPr>
        <w:t>,</w:t>
      </w:r>
      <w:r w:rsidR="004C7BF6" w:rsidRPr="00731644">
        <w:rPr>
          <w:lang w:val="fr-CH"/>
        </w:rPr>
        <w:t>69</w:t>
      </w:r>
      <w:r w:rsidR="006443F6" w:rsidRPr="00731644">
        <w:rPr>
          <w:lang w:val="fr-CH"/>
        </w:rPr>
        <w:t>%</w:t>
      </w:r>
      <w:r w:rsidR="004C7BF6" w:rsidRPr="00731644">
        <w:rPr>
          <w:lang w:val="fr-CH"/>
        </w:rPr>
        <w:t xml:space="preserve">. </w:t>
      </w:r>
      <w:r w:rsidR="00976D48">
        <w:rPr>
          <w:lang w:val="fr-CH"/>
        </w:rPr>
        <w:t>À </w:t>
      </w:r>
      <w:r w:rsidR="004C7BF6" w:rsidRPr="00731644">
        <w:rPr>
          <w:lang w:val="fr-CH"/>
        </w:rPr>
        <w:t xml:space="preserve">Podgorica, </w:t>
      </w:r>
      <w:r w:rsidR="0064224D" w:rsidRPr="00731644">
        <w:rPr>
          <w:lang w:val="fr-CH"/>
        </w:rPr>
        <w:t>dans la localité</w:t>
      </w:r>
      <w:r w:rsidR="004C7BF6" w:rsidRPr="00731644">
        <w:rPr>
          <w:lang w:val="fr-CH"/>
        </w:rPr>
        <w:t xml:space="preserve"> </w:t>
      </w:r>
      <w:r w:rsidR="0064224D" w:rsidRPr="00731644">
        <w:rPr>
          <w:lang w:val="fr-CH"/>
        </w:rPr>
        <w:t xml:space="preserve">de </w:t>
      </w:r>
      <w:r w:rsidR="004C7BF6" w:rsidRPr="00731644">
        <w:rPr>
          <w:lang w:val="fr-CH"/>
        </w:rPr>
        <w:t xml:space="preserve">Vrela Ribnička, </w:t>
      </w:r>
      <w:r w:rsidR="0064224D" w:rsidRPr="00731644">
        <w:rPr>
          <w:lang w:val="fr-CH"/>
        </w:rPr>
        <w:t xml:space="preserve">il existe une unité éducative fréquentée exclusivement par des enfants </w:t>
      </w:r>
      <w:r w:rsidR="00E16C15" w:rsidRPr="00731644">
        <w:rPr>
          <w:lang w:val="fr-CH"/>
        </w:rPr>
        <w:t xml:space="preserve">des communautés </w:t>
      </w:r>
      <w:r w:rsidR="0064224D" w:rsidRPr="00731644">
        <w:rPr>
          <w:lang w:val="fr-CH"/>
        </w:rPr>
        <w:t xml:space="preserve">rom, ashkali et </w:t>
      </w:r>
      <w:r w:rsidR="00E16C15" w:rsidRPr="00731644">
        <w:rPr>
          <w:lang w:val="fr-CH"/>
        </w:rPr>
        <w:t>tziga</w:t>
      </w:r>
      <w:r w:rsidR="0064224D" w:rsidRPr="00731644">
        <w:rPr>
          <w:lang w:val="fr-CH"/>
        </w:rPr>
        <w:t xml:space="preserve">ne </w:t>
      </w:r>
      <w:r w:rsidR="004C7BF6" w:rsidRPr="00731644">
        <w:rPr>
          <w:lang w:val="fr-CH"/>
        </w:rPr>
        <w:t>(domicil</w:t>
      </w:r>
      <w:r w:rsidR="0064224D" w:rsidRPr="00731644">
        <w:rPr>
          <w:lang w:val="fr-CH"/>
        </w:rPr>
        <w:t xml:space="preserve">iées au Monténégro et déplacées du </w:t>
      </w:r>
      <w:r w:rsidR="004C7BF6" w:rsidRPr="00731644">
        <w:rPr>
          <w:lang w:val="fr-CH"/>
        </w:rPr>
        <w:t xml:space="preserve">Kosovo). </w:t>
      </w:r>
      <w:r w:rsidR="0064224D" w:rsidRPr="00731644">
        <w:rPr>
          <w:lang w:val="fr-CH"/>
        </w:rPr>
        <w:t>Deux éducateurs et quatre assistants roms (formés à s</w:t>
      </w:r>
      <w:r w:rsidR="00425386" w:rsidRPr="00731644">
        <w:rPr>
          <w:lang w:val="fr-CH"/>
        </w:rPr>
        <w:t>’</w:t>
      </w:r>
      <w:r w:rsidR="0064224D" w:rsidRPr="00731644">
        <w:rPr>
          <w:lang w:val="fr-CH"/>
        </w:rPr>
        <w:t>occuper d</w:t>
      </w:r>
      <w:r w:rsidR="00425386" w:rsidRPr="00731644">
        <w:rPr>
          <w:lang w:val="fr-CH"/>
        </w:rPr>
        <w:t>’</w:t>
      </w:r>
      <w:r w:rsidR="0064224D" w:rsidRPr="00731644">
        <w:rPr>
          <w:lang w:val="fr-CH"/>
        </w:rPr>
        <w:t>enfants) y travaillent.</w:t>
      </w:r>
      <w:r w:rsidR="00F31DD5" w:rsidRPr="00731644">
        <w:rPr>
          <w:lang w:val="fr-CH"/>
        </w:rPr>
        <w:t xml:space="preserve"> </w:t>
      </w:r>
    </w:p>
    <w:p w:rsidR="004C7BF6" w:rsidRPr="00731644" w:rsidRDefault="000B213E" w:rsidP="004C7BF6">
      <w:pPr>
        <w:pStyle w:val="SingleTxtG"/>
        <w:rPr>
          <w:lang w:val="fr-CH"/>
        </w:rPr>
      </w:pPr>
      <w:r w:rsidRPr="00731644">
        <w:rPr>
          <w:iCs/>
          <w:lang w:val="fr-CH"/>
        </w:rPr>
        <w:t>291.</w:t>
      </w:r>
      <w:r w:rsidRPr="00731644">
        <w:rPr>
          <w:iCs/>
          <w:lang w:val="fr-CH"/>
        </w:rPr>
        <w:tab/>
      </w:r>
      <w:r w:rsidR="002D7CD0" w:rsidRPr="00731644">
        <w:rPr>
          <w:iCs/>
          <w:lang w:val="fr-CH"/>
        </w:rPr>
        <w:t xml:space="preserve">Le principe </w:t>
      </w:r>
      <w:r w:rsidR="00E16C15" w:rsidRPr="00731644">
        <w:rPr>
          <w:iCs/>
          <w:lang w:val="fr-CH"/>
        </w:rPr>
        <w:t>qui sous-tend</w:t>
      </w:r>
      <w:r w:rsidR="002D7CD0" w:rsidRPr="00731644">
        <w:rPr>
          <w:iCs/>
          <w:lang w:val="fr-CH"/>
        </w:rPr>
        <w:t xml:space="preserve"> la Stratégie relative à l</w:t>
      </w:r>
      <w:r w:rsidR="00425386" w:rsidRPr="00731644">
        <w:rPr>
          <w:iCs/>
          <w:lang w:val="fr-CH"/>
        </w:rPr>
        <w:t>’</w:t>
      </w:r>
      <w:r w:rsidR="002D7CD0" w:rsidRPr="00731644">
        <w:rPr>
          <w:iCs/>
          <w:lang w:val="fr-CH"/>
        </w:rPr>
        <w:t xml:space="preserve">éducation préscolaire adoptée en </w:t>
      </w:r>
      <w:r w:rsidR="004C7BF6" w:rsidRPr="00731644">
        <w:rPr>
          <w:lang w:val="fr-CH"/>
        </w:rPr>
        <w:t>2010</w:t>
      </w:r>
      <w:r w:rsidR="002D7CD0" w:rsidRPr="00731644">
        <w:rPr>
          <w:lang w:val="fr-CH"/>
        </w:rPr>
        <w:t xml:space="preserve"> est de fournir à tous les enfants du Monténégro, de la naissance à l</w:t>
      </w:r>
      <w:r w:rsidR="00425386" w:rsidRPr="00731644">
        <w:rPr>
          <w:lang w:val="fr-CH"/>
        </w:rPr>
        <w:t>’</w:t>
      </w:r>
      <w:r w:rsidR="002D7CD0" w:rsidRPr="00731644">
        <w:rPr>
          <w:lang w:val="fr-CH"/>
        </w:rPr>
        <w:t>entrée dans le primaire, des services de développement et d</w:t>
      </w:r>
      <w:r w:rsidR="00425386" w:rsidRPr="00731644">
        <w:rPr>
          <w:lang w:val="fr-CH"/>
        </w:rPr>
        <w:t>’</w:t>
      </w:r>
      <w:r w:rsidR="002D7CD0" w:rsidRPr="00731644">
        <w:rPr>
          <w:lang w:val="fr-CH"/>
        </w:rPr>
        <w:t>apprentissage précoces de qualité</w:t>
      </w:r>
      <w:r w:rsidR="00E16C15" w:rsidRPr="00731644">
        <w:rPr>
          <w:lang w:val="fr-CH"/>
        </w:rPr>
        <w:t>,</w:t>
      </w:r>
      <w:r w:rsidR="004C7BF6" w:rsidRPr="00731644">
        <w:rPr>
          <w:lang w:val="fr-CH"/>
        </w:rPr>
        <w:t xml:space="preserve"> </w:t>
      </w:r>
      <w:r w:rsidR="002D7CD0" w:rsidRPr="00731644">
        <w:rPr>
          <w:lang w:val="fr-CH"/>
        </w:rPr>
        <w:t>qui leur permettent de s</w:t>
      </w:r>
      <w:r w:rsidR="00425386" w:rsidRPr="00731644">
        <w:rPr>
          <w:lang w:val="fr-CH"/>
        </w:rPr>
        <w:t>’</w:t>
      </w:r>
      <w:r w:rsidR="002D7CD0" w:rsidRPr="00731644">
        <w:rPr>
          <w:lang w:val="fr-CH"/>
        </w:rPr>
        <w:t>épanouir pleinement et de devenir des membres actifs et productifs de la société</w:t>
      </w:r>
      <w:r w:rsidR="00F31DD5" w:rsidRPr="00731644">
        <w:rPr>
          <w:lang w:val="fr-CH"/>
        </w:rPr>
        <w:t>;</w:t>
      </w:r>
      <w:r w:rsidR="0005003B" w:rsidRPr="00731644">
        <w:rPr>
          <w:lang w:val="fr-CH"/>
        </w:rPr>
        <w:t xml:space="preserve"> ce</w:t>
      </w:r>
      <w:r w:rsidR="002D7CD0" w:rsidRPr="00731644">
        <w:rPr>
          <w:lang w:val="fr-CH"/>
        </w:rPr>
        <w:t xml:space="preserve"> processus planifié </w:t>
      </w:r>
      <w:r w:rsidR="00F23D06" w:rsidRPr="00731644">
        <w:rPr>
          <w:lang w:val="fr-CH"/>
        </w:rPr>
        <w:t>touchera</w:t>
      </w:r>
      <w:r w:rsidR="002D7CD0" w:rsidRPr="00731644">
        <w:rPr>
          <w:lang w:val="fr-CH"/>
        </w:rPr>
        <w:t xml:space="preserve"> </w:t>
      </w:r>
      <w:r w:rsidR="00F23D06" w:rsidRPr="00731644">
        <w:rPr>
          <w:lang w:val="fr-CH"/>
        </w:rPr>
        <w:t>progressivement</w:t>
      </w:r>
      <w:r w:rsidR="002D7CD0" w:rsidRPr="00731644">
        <w:rPr>
          <w:lang w:val="fr-CH"/>
        </w:rPr>
        <w:t xml:space="preserve"> </w:t>
      </w:r>
      <w:r w:rsidR="00F23D06" w:rsidRPr="00731644">
        <w:rPr>
          <w:lang w:val="fr-CH"/>
        </w:rPr>
        <w:t>un nombre grandissant d</w:t>
      </w:r>
      <w:r w:rsidR="00425386" w:rsidRPr="00731644">
        <w:rPr>
          <w:lang w:val="fr-CH"/>
        </w:rPr>
        <w:t>’</w:t>
      </w:r>
      <w:r w:rsidR="00F23D06" w:rsidRPr="00731644">
        <w:rPr>
          <w:lang w:val="fr-CH"/>
        </w:rPr>
        <w:t xml:space="preserve">enfants </w:t>
      </w:r>
      <w:r w:rsidR="002D7CD0" w:rsidRPr="00731644">
        <w:rPr>
          <w:lang w:val="fr-CH"/>
        </w:rPr>
        <w:t xml:space="preserve">et comportera une amélioration des pratiques parentales </w:t>
      </w:r>
      <w:r w:rsidR="00F23D06" w:rsidRPr="00731644">
        <w:rPr>
          <w:lang w:val="fr-CH"/>
        </w:rPr>
        <w:t xml:space="preserve">ainsi que </w:t>
      </w:r>
      <w:r w:rsidR="002D7CD0" w:rsidRPr="00731644">
        <w:rPr>
          <w:lang w:val="fr-CH"/>
        </w:rPr>
        <w:t>l</w:t>
      </w:r>
      <w:r w:rsidR="00425386" w:rsidRPr="00731644">
        <w:rPr>
          <w:lang w:val="fr-CH"/>
        </w:rPr>
        <w:t>’</w:t>
      </w:r>
      <w:r w:rsidR="002D7CD0" w:rsidRPr="00731644">
        <w:rPr>
          <w:lang w:val="fr-CH"/>
        </w:rPr>
        <w:t>adoption de plans et de programmes adaptés au développement, structurés en fonction de l</w:t>
      </w:r>
      <w:r w:rsidR="00425386" w:rsidRPr="00731644">
        <w:rPr>
          <w:lang w:val="fr-CH"/>
        </w:rPr>
        <w:t>’</w:t>
      </w:r>
      <w:r w:rsidR="002D7CD0" w:rsidRPr="00731644">
        <w:rPr>
          <w:lang w:val="fr-CH"/>
        </w:rPr>
        <w:t xml:space="preserve">objectif à atteindre, </w:t>
      </w:r>
      <w:r w:rsidR="00E16C15" w:rsidRPr="00731644">
        <w:rPr>
          <w:lang w:val="fr-CH"/>
        </w:rPr>
        <w:t xml:space="preserve">et </w:t>
      </w:r>
      <w:r w:rsidR="002D7CD0" w:rsidRPr="00731644">
        <w:rPr>
          <w:lang w:val="fr-CH"/>
        </w:rPr>
        <w:t xml:space="preserve">appliqués par des </w:t>
      </w:r>
      <w:r w:rsidR="00F23D06" w:rsidRPr="00731644">
        <w:rPr>
          <w:lang w:val="fr-CH"/>
        </w:rPr>
        <w:t>éducateurs</w:t>
      </w:r>
      <w:r w:rsidR="002D7CD0" w:rsidRPr="00731644">
        <w:rPr>
          <w:lang w:val="fr-CH"/>
        </w:rPr>
        <w:t xml:space="preserve"> qualifiés et d</w:t>
      </w:r>
      <w:r w:rsidR="00425386" w:rsidRPr="00731644">
        <w:rPr>
          <w:lang w:val="fr-CH"/>
        </w:rPr>
        <w:t>’</w:t>
      </w:r>
      <w:r w:rsidR="002D7CD0" w:rsidRPr="00731644">
        <w:rPr>
          <w:lang w:val="fr-CH"/>
        </w:rPr>
        <w:t>autres personnels spécialisés.</w:t>
      </w:r>
      <w:r w:rsidR="00F31DD5" w:rsidRPr="00731644">
        <w:rPr>
          <w:lang w:val="fr-CH"/>
        </w:rPr>
        <w:t xml:space="preserve"> </w:t>
      </w:r>
      <w:r w:rsidR="002D7CD0" w:rsidRPr="00731644">
        <w:rPr>
          <w:lang w:val="fr-CH"/>
        </w:rPr>
        <w:t>Le système d</w:t>
      </w:r>
      <w:r w:rsidR="00425386" w:rsidRPr="00731644">
        <w:rPr>
          <w:lang w:val="fr-CH"/>
        </w:rPr>
        <w:t>’</w:t>
      </w:r>
      <w:r w:rsidR="002D7CD0" w:rsidRPr="00731644">
        <w:rPr>
          <w:lang w:val="fr-CH"/>
        </w:rPr>
        <w:t>éducation préscolaire</w:t>
      </w:r>
      <w:r w:rsidR="00F31DD5" w:rsidRPr="00731644">
        <w:rPr>
          <w:lang w:val="fr-CH"/>
        </w:rPr>
        <w:t xml:space="preserve"> </w:t>
      </w:r>
      <w:r w:rsidR="002D7CD0" w:rsidRPr="00731644">
        <w:rPr>
          <w:lang w:val="fr-CH"/>
        </w:rPr>
        <w:t xml:space="preserve">offrira des services inclusifs </w:t>
      </w:r>
      <w:r w:rsidR="004C7BF6" w:rsidRPr="00731644">
        <w:rPr>
          <w:lang w:val="fr-CH"/>
        </w:rPr>
        <w:t>accessible</w:t>
      </w:r>
      <w:r w:rsidR="00A751BD" w:rsidRPr="00731644">
        <w:rPr>
          <w:lang w:val="fr-CH"/>
        </w:rPr>
        <w:t>s</w:t>
      </w:r>
      <w:r w:rsidR="004C7BF6" w:rsidRPr="00731644">
        <w:rPr>
          <w:lang w:val="fr-CH"/>
        </w:rPr>
        <w:t xml:space="preserve">, </w:t>
      </w:r>
      <w:r w:rsidR="00A751BD" w:rsidRPr="00731644">
        <w:rPr>
          <w:lang w:val="fr-CH"/>
        </w:rPr>
        <w:t>de qualité</w:t>
      </w:r>
      <w:r w:rsidR="004C7BF6" w:rsidRPr="00731644">
        <w:rPr>
          <w:lang w:val="fr-CH"/>
        </w:rPr>
        <w:t xml:space="preserve">, </w:t>
      </w:r>
      <w:r w:rsidR="00A751BD" w:rsidRPr="00731644">
        <w:rPr>
          <w:lang w:val="fr-CH"/>
        </w:rPr>
        <w:t>polyvalents et</w:t>
      </w:r>
      <w:r w:rsidR="004C7BF6" w:rsidRPr="00731644">
        <w:rPr>
          <w:lang w:val="fr-CH"/>
        </w:rPr>
        <w:t xml:space="preserve"> cultur</w:t>
      </w:r>
      <w:r w:rsidR="00A751BD" w:rsidRPr="00731644">
        <w:rPr>
          <w:lang w:val="fr-CH"/>
        </w:rPr>
        <w:t>ellement adaptés à tous les enfants du Monténégro, de la naissance à l</w:t>
      </w:r>
      <w:r w:rsidR="00425386" w:rsidRPr="00731644">
        <w:rPr>
          <w:lang w:val="fr-CH"/>
        </w:rPr>
        <w:t>’</w:t>
      </w:r>
      <w:r w:rsidR="00A751BD" w:rsidRPr="00731644">
        <w:rPr>
          <w:lang w:val="fr-CH"/>
        </w:rPr>
        <w:t>école primaire, en veillant tout particulièrement à la satisfaction des besoins des enfants le</w:t>
      </w:r>
      <w:r w:rsidR="0005003B" w:rsidRPr="00731644">
        <w:rPr>
          <w:lang w:val="fr-CH"/>
        </w:rPr>
        <w:t>s</w:t>
      </w:r>
      <w:r w:rsidR="00A751BD" w:rsidRPr="00731644">
        <w:rPr>
          <w:lang w:val="fr-CH"/>
        </w:rPr>
        <w:t xml:space="preserve"> plus vulnérables.</w:t>
      </w:r>
      <w:r w:rsidR="004C7BF6" w:rsidRPr="00731644">
        <w:rPr>
          <w:lang w:val="fr-CH"/>
        </w:rPr>
        <w:t xml:space="preserve"> </w:t>
      </w:r>
      <w:r w:rsidR="00A751BD" w:rsidRPr="00731644">
        <w:rPr>
          <w:lang w:val="fr-CH"/>
        </w:rPr>
        <w:t>L</w:t>
      </w:r>
      <w:r w:rsidR="00425386" w:rsidRPr="00731644">
        <w:rPr>
          <w:lang w:val="fr-CH"/>
        </w:rPr>
        <w:t>’</w:t>
      </w:r>
      <w:r w:rsidR="00A751BD" w:rsidRPr="00731644">
        <w:rPr>
          <w:lang w:val="fr-CH"/>
        </w:rPr>
        <w:t xml:space="preserve">objectif spécifique </w:t>
      </w:r>
      <w:r w:rsidR="005072A0">
        <w:rPr>
          <w:lang w:val="fr-CH"/>
        </w:rPr>
        <w:t>n</w:t>
      </w:r>
      <w:r w:rsidR="005072A0" w:rsidRPr="005072A0">
        <w:rPr>
          <w:vertAlign w:val="superscript"/>
          <w:lang w:val="fr-CH"/>
        </w:rPr>
        <w:t>o</w:t>
      </w:r>
      <w:r w:rsidR="005072A0">
        <w:rPr>
          <w:lang w:val="fr-CH"/>
        </w:rPr>
        <w:t> </w:t>
      </w:r>
      <w:r w:rsidR="00A751BD" w:rsidRPr="00731644">
        <w:rPr>
          <w:lang w:val="fr-CH"/>
        </w:rPr>
        <w:t>2</w:t>
      </w:r>
      <w:r w:rsidR="00F31DD5" w:rsidRPr="00731644">
        <w:rPr>
          <w:lang w:val="fr-CH"/>
        </w:rPr>
        <w:t xml:space="preserve"> </w:t>
      </w:r>
      <w:r w:rsidR="00804F01" w:rsidRPr="00731644">
        <w:rPr>
          <w:lang w:val="fr-CH"/>
        </w:rPr>
        <w:t>est la mise</w:t>
      </w:r>
      <w:r w:rsidR="00A751BD" w:rsidRPr="00731644">
        <w:rPr>
          <w:lang w:val="fr-CH"/>
        </w:rPr>
        <w:t xml:space="preserve"> en place </w:t>
      </w:r>
      <w:r w:rsidR="00804F01" w:rsidRPr="00731644">
        <w:rPr>
          <w:lang w:val="fr-CH"/>
        </w:rPr>
        <w:t>d</w:t>
      </w:r>
      <w:r w:rsidR="00425386" w:rsidRPr="00731644">
        <w:rPr>
          <w:lang w:val="fr-CH"/>
        </w:rPr>
        <w:t>’</w:t>
      </w:r>
      <w:r w:rsidR="00A751BD" w:rsidRPr="00731644">
        <w:rPr>
          <w:lang w:val="fr-CH"/>
        </w:rPr>
        <w:t>un système d</w:t>
      </w:r>
      <w:r w:rsidR="00425386" w:rsidRPr="00731644">
        <w:rPr>
          <w:lang w:val="fr-CH"/>
        </w:rPr>
        <w:t>’</w:t>
      </w:r>
      <w:r w:rsidR="00A751BD" w:rsidRPr="00731644">
        <w:rPr>
          <w:lang w:val="fr-CH"/>
        </w:rPr>
        <w:t>amélioration et d</w:t>
      </w:r>
      <w:r w:rsidR="00425386" w:rsidRPr="00731644">
        <w:rPr>
          <w:lang w:val="fr-CH"/>
        </w:rPr>
        <w:t>’</w:t>
      </w:r>
      <w:r w:rsidR="00A751BD" w:rsidRPr="00731644">
        <w:rPr>
          <w:lang w:val="fr-CH"/>
        </w:rPr>
        <w:t xml:space="preserve">innovation continues </w:t>
      </w:r>
      <w:r w:rsidR="00486740" w:rsidRPr="00731644">
        <w:rPr>
          <w:lang w:val="fr-CH"/>
        </w:rPr>
        <w:t>ainsi que</w:t>
      </w:r>
      <w:r w:rsidR="00A751BD" w:rsidRPr="00731644">
        <w:rPr>
          <w:lang w:val="fr-CH"/>
        </w:rPr>
        <w:t xml:space="preserve"> </w:t>
      </w:r>
      <w:r w:rsidR="00804F01" w:rsidRPr="00731644">
        <w:rPr>
          <w:lang w:val="fr-CH"/>
        </w:rPr>
        <w:t>d</w:t>
      </w:r>
      <w:r w:rsidR="00425386" w:rsidRPr="00731644">
        <w:rPr>
          <w:lang w:val="fr-CH"/>
        </w:rPr>
        <w:t>’</w:t>
      </w:r>
      <w:r w:rsidR="00A751BD" w:rsidRPr="00731644">
        <w:rPr>
          <w:lang w:val="fr-CH"/>
        </w:rPr>
        <w:t>un suivi de la</w:t>
      </w:r>
      <w:r w:rsidR="00F31DD5" w:rsidRPr="00731644">
        <w:rPr>
          <w:lang w:val="fr-CH"/>
        </w:rPr>
        <w:t xml:space="preserve"> </w:t>
      </w:r>
      <w:r w:rsidR="00A751BD" w:rsidRPr="00731644">
        <w:rPr>
          <w:lang w:val="fr-CH"/>
        </w:rPr>
        <w:t>qualité des services d</w:t>
      </w:r>
      <w:r w:rsidR="00425386" w:rsidRPr="00731644">
        <w:rPr>
          <w:lang w:val="fr-CH"/>
        </w:rPr>
        <w:t>’</w:t>
      </w:r>
      <w:r w:rsidR="00A751BD" w:rsidRPr="00731644">
        <w:rPr>
          <w:lang w:val="fr-CH"/>
        </w:rPr>
        <w:t xml:space="preserve">éducation préscolaire. Pour que tous les enfants du Monténégro puissent exploiter pleinement leurs capacités et contribuer de manière </w:t>
      </w:r>
      <w:r w:rsidR="00D22450" w:rsidRPr="00731644">
        <w:rPr>
          <w:lang w:val="fr-CH"/>
        </w:rPr>
        <w:t xml:space="preserve">active et </w:t>
      </w:r>
      <w:r w:rsidR="00A751BD" w:rsidRPr="00731644">
        <w:rPr>
          <w:lang w:val="fr-CH"/>
        </w:rPr>
        <w:t>productive à la vie de la société, il faut leur offrir un milieu d</w:t>
      </w:r>
      <w:r w:rsidR="00425386" w:rsidRPr="00731644">
        <w:rPr>
          <w:lang w:val="fr-CH"/>
        </w:rPr>
        <w:t>’</w:t>
      </w:r>
      <w:r w:rsidR="00A751BD" w:rsidRPr="00731644">
        <w:rPr>
          <w:lang w:val="fr-CH"/>
        </w:rPr>
        <w:t>apprentissage</w:t>
      </w:r>
      <w:r w:rsidR="004C7BF6" w:rsidRPr="00731644">
        <w:rPr>
          <w:lang w:val="fr-CH"/>
        </w:rPr>
        <w:t xml:space="preserve"> </w:t>
      </w:r>
      <w:r w:rsidR="00A751BD" w:rsidRPr="00731644">
        <w:rPr>
          <w:lang w:val="fr-CH"/>
        </w:rPr>
        <w:t>stimulant dès la naissance.</w:t>
      </w:r>
      <w:r w:rsidR="00D22450" w:rsidRPr="00731644">
        <w:rPr>
          <w:lang w:val="fr-CH"/>
        </w:rPr>
        <w:t xml:space="preserve"> Ce résultat peut être obtenu par l</w:t>
      </w:r>
      <w:r w:rsidR="00425386" w:rsidRPr="00731644">
        <w:rPr>
          <w:lang w:val="fr-CH"/>
        </w:rPr>
        <w:t>’</w:t>
      </w:r>
      <w:r w:rsidR="00D22450" w:rsidRPr="00731644">
        <w:rPr>
          <w:lang w:val="fr-CH"/>
        </w:rPr>
        <w:t>adoption de plans et de programmes adaptés au développement</w:t>
      </w:r>
      <w:r w:rsidR="00DE428D" w:rsidRPr="00731644">
        <w:rPr>
          <w:lang w:val="fr-CH"/>
        </w:rPr>
        <w:t xml:space="preserve"> et</w:t>
      </w:r>
      <w:r w:rsidR="00D22450" w:rsidRPr="00731644">
        <w:rPr>
          <w:lang w:val="fr-CH"/>
        </w:rPr>
        <w:t xml:space="preserve"> structurés en fonction de l</w:t>
      </w:r>
      <w:r w:rsidR="00425386" w:rsidRPr="00731644">
        <w:rPr>
          <w:lang w:val="fr-CH"/>
        </w:rPr>
        <w:t>’</w:t>
      </w:r>
      <w:r w:rsidR="00D22450" w:rsidRPr="00731644">
        <w:rPr>
          <w:lang w:val="fr-CH"/>
        </w:rPr>
        <w:t xml:space="preserve">objectif à atteindre, par un </w:t>
      </w:r>
      <w:r w:rsidR="00DE428D" w:rsidRPr="00731644">
        <w:rPr>
          <w:lang w:val="fr-CH"/>
        </w:rPr>
        <w:t xml:space="preserve">suivi </w:t>
      </w:r>
      <w:r w:rsidR="00D22450" w:rsidRPr="00731644">
        <w:rPr>
          <w:lang w:val="fr-CH"/>
        </w:rPr>
        <w:t>continu de l</w:t>
      </w:r>
      <w:r w:rsidR="00425386" w:rsidRPr="00731644">
        <w:rPr>
          <w:lang w:val="fr-CH"/>
        </w:rPr>
        <w:t>’</w:t>
      </w:r>
      <w:r w:rsidR="00D22450" w:rsidRPr="00731644">
        <w:rPr>
          <w:lang w:val="fr-CH"/>
        </w:rPr>
        <w:t xml:space="preserve">éducation préscolaire et </w:t>
      </w:r>
      <w:r w:rsidR="00DE428D" w:rsidRPr="00731644">
        <w:rPr>
          <w:lang w:val="fr-CH"/>
        </w:rPr>
        <w:t xml:space="preserve">par un travail constant </w:t>
      </w:r>
      <w:r w:rsidR="00D22450" w:rsidRPr="00731644">
        <w:rPr>
          <w:lang w:val="fr-CH"/>
        </w:rPr>
        <w:t>d</w:t>
      </w:r>
      <w:r w:rsidR="00425386" w:rsidRPr="00731644">
        <w:rPr>
          <w:lang w:val="fr-CH"/>
        </w:rPr>
        <w:t>’</w:t>
      </w:r>
      <w:r w:rsidR="00D22450" w:rsidRPr="00731644">
        <w:rPr>
          <w:lang w:val="fr-CH"/>
        </w:rPr>
        <w:t>innovation</w:t>
      </w:r>
      <w:r w:rsidR="004C7BF6" w:rsidRPr="00731644">
        <w:rPr>
          <w:lang w:val="fr-CH"/>
        </w:rPr>
        <w:t xml:space="preserve">. </w:t>
      </w:r>
      <w:r w:rsidR="00465C51" w:rsidRPr="00731644">
        <w:rPr>
          <w:lang w:val="fr-CH"/>
        </w:rPr>
        <w:t>Les éléments de la</w:t>
      </w:r>
      <w:r w:rsidR="00D22450" w:rsidRPr="00731644">
        <w:rPr>
          <w:lang w:val="fr-CH"/>
        </w:rPr>
        <w:t xml:space="preserve"> culture et </w:t>
      </w:r>
      <w:r w:rsidR="00465C51" w:rsidRPr="00731644">
        <w:rPr>
          <w:lang w:val="fr-CH"/>
        </w:rPr>
        <w:t xml:space="preserve">de </w:t>
      </w:r>
      <w:r w:rsidR="00D22450" w:rsidRPr="00731644">
        <w:rPr>
          <w:lang w:val="fr-CH"/>
        </w:rPr>
        <w:t xml:space="preserve">la langue </w:t>
      </w:r>
      <w:r w:rsidR="00465C51" w:rsidRPr="00731644">
        <w:rPr>
          <w:lang w:val="fr-CH"/>
        </w:rPr>
        <w:t>des minorités ainsi que l</w:t>
      </w:r>
      <w:r w:rsidR="00425386" w:rsidRPr="00731644">
        <w:rPr>
          <w:lang w:val="fr-CH"/>
        </w:rPr>
        <w:t>’</w:t>
      </w:r>
      <w:r w:rsidR="00465C51" w:rsidRPr="00731644">
        <w:rPr>
          <w:lang w:val="fr-CH"/>
        </w:rPr>
        <w:t>égalité des sexes devraient faire partie intégrante du programme, les origines de l</w:t>
      </w:r>
      <w:r w:rsidR="00425386" w:rsidRPr="00731644">
        <w:rPr>
          <w:lang w:val="fr-CH"/>
        </w:rPr>
        <w:t>’</w:t>
      </w:r>
      <w:r w:rsidR="00465C51" w:rsidRPr="00731644">
        <w:rPr>
          <w:lang w:val="fr-CH"/>
        </w:rPr>
        <w:t xml:space="preserve">enfant devenant </w:t>
      </w:r>
      <w:r w:rsidR="00804F01" w:rsidRPr="00731644">
        <w:rPr>
          <w:lang w:val="fr-CH"/>
        </w:rPr>
        <w:t>de la sorte</w:t>
      </w:r>
      <w:r w:rsidR="00465C51" w:rsidRPr="00731644">
        <w:rPr>
          <w:lang w:val="fr-CH"/>
        </w:rPr>
        <w:t xml:space="preserve"> un fil conducteur de l</w:t>
      </w:r>
      <w:r w:rsidR="00425386" w:rsidRPr="00731644">
        <w:rPr>
          <w:lang w:val="fr-CH"/>
        </w:rPr>
        <w:t>’</w:t>
      </w:r>
      <w:r w:rsidR="00465C51" w:rsidRPr="00731644">
        <w:rPr>
          <w:lang w:val="fr-CH"/>
        </w:rPr>
        <w:t>action éducative.</w:t>
      </w:r>
    </w:p>
    <w:p w:rsidR="004C7BF6" w:rsidRPr="00731644" w:rsidRDefault="000B213E" w:rsidP="00275B13">
      <w:pPr>
        <w:pStyle w:val="SingleTxtG"/>
        <w:rPr>
          <w:lang w:val="fr-CH"/>
        </w:rPr>
      </w:pPr>
      <w:r w:rsidRPr="00731644">
        <w:rPr>
          <w:lang w:val="fr-CH"/>
        </w:rPr>
        <w:t>292.</w:t>
      </w:r>
      <w:r w:rsidRPr="00731644">
        <w:rPr>
          <w:lang w:val="fr-CH"/>
        </w:rPr>
        <w:tab/>
      </w:r>
      <w:r w:rsidR="00465C51" w:rsidRPr="00731644">
        <w:rPr>
          <w:lang w:val="fr-CH"/>
        </w:rPr>
        <w:t>À tous les niveaux, du préscolaire au supérieur, il est possible de s</w:t>
      </w:r>
      <w:r w:rsidR="00425386" w:rsidRPr="00731644">
        <w:rPr>
          <w:lang w:val="fr-CH"/>
        </w:rPr>
        <w:t>’</w:t>
      </w:r>
      <w:r w:rsidR="00465C51" w:rsidRPr="00731644">
        <w:rPr>
          <w:lang w:val="fr-CH"/>
        </w:rPr>
        <w:t>instruire en albanais. Dans les régions où les Albanais forment la majorité de la population, les enfants et le</w:t>
      </w:r>
      <w:r w:rsidR="00804F01" w:rsidRPr="00731644">
        <w:rPr>
          <w:lang w:val="fr-CH"/>
        </w:rPr>
        <w:t>s</w:t>
      </w:r>
      <w:r w:rsidR="00465C51" w:rsidRPr="00731644">
        <w:rPr>
          <w:lang w:val="fr-CH"/>
        </w:rPr>
        <w:t xml:space="preserve"> jeunes reçoivent une éducation dans leur langue maternelle</w:t>
      </w:r>
      <w:r w:rsidR="00F31DD5" w:rsidRPr="00731644">
        <w:rPr>
          <w:lang w:val="fr-CH"/>
        </w:rPr>
        <w:t>;</w:t>
      </w:r>
      <w:r w:rsidR="00465C51" w:rsidRPr="00731644">
        <w:rPr>
          <w:lang w:val="fr-CH"/>
        </w:rPr>
        <w:t xml:space="preserve"> il y a donc cinq écoles primaires qui </w:t>
      </w:r>
      <w:r w:rsidR="00804F01" w:rsidRPr="00731644">
        <w:rPr>
          <w:lang w:val="fr-CH"/>
        </w:rPr>
        <w:t>utilis</w:t>
      </w:r>
      <w:r w:rsidR="00465C51" w:rsidRPr="00731644">
        <w:rPr>
          <w:lang w:val="fr-CH"/>
        </w:rPr>
        <w:t>ent l</w:t>
      </w:r>
      <w:r w:rsidR="00425386" w:rsidRPr="00731644">
        <w:rPr>
          <w:lang w:val="fr-CH"/>
        </w:rPr>
        <w:t>’</w:t>
      </w:r>
      <w:r w:rsidR="00465C51" w:rsidRPr="00731644">
        <w:rPr>
          <w:lang w:val="fr-CH"/>
        </w:rPr>
        <w:t xml:space="preserve">albanais, </w:t>
      </w:r>
      <w:r w:rsidR="007515E8" w:rsidRPr="00731644">
        <w:rPr>
          <w:lang w:val="fr-CH"/>
        </w:rPr>
        <w:t xml:space="preserve">et </w:t>
      </w:r>
      <w:r w:rsidR="00465C51" w:rsidRPr="00731644">
        <w:rPr>
          <w:lang w:val="fr-CH"/>
        </w:rPr>
        <w:t xml:space="preserve">sept établissements </w:t>
      </w:r>
      <w:r w:rsidR="007515E8" w:rsidRPr="00731644">
        <w:rPr>
          <w:lang w:val="fr-CH"/>
        </w:rPr>
        <w:t xml:space="preserve">ainsi que trois écoles secondaires </w:t>
      </w:r>
      <w:r w:rsidR="00465C51" w:rsidRPr="00731644">
        <w:rPr>
          <w:lang w:val="fr-CH"/>
        </w:rPr>
        <w:t>où l</w:t>
      </w:r>
      <w:r w:rsidR="00425386" w:rsidRPr="00731644">
        <w:rPr>
          <w:lang w:val="fr-CH"/>
        </w:rPr>
        <w:t>’</w:t>
      </w:r>
      <w:r w:rsidR="00465C51" w:rsidRPr="00731644">
        <w:rPr>
          <w:lang w:val="fr-CH"/>
        </w:rPr>
        <w:t>enseignement est dispensé à la fois en monténégrin et en albanais</w:t>
      </w:r>
      <w:r w:rsidR="004C7BF6" w:rsidRPr="00731644">
        <w:rPr>
          <w:lang w:val="fr-CH"/>
        </w:rPr>
        <w:t xml:space="preserve">. </w:t>
      </w:r>
      <w:r w:rsidR="007515E8" w:rsidRPr="00731644">
        <w:rPr>
          <w:lang w:val="fr-CH"/>
        </w:rPr>
        <w:t xml:space="preserve">De plus, deux établissements </w:t>
      </w:r>
      <w:r w:rsidR="00A332AD" w:rsidRPr="00731644">
        <w:rPr>
          <w:lang w:val="fr-CH"/>
        </w:rPr>
        <w:t>préscolaires</w:t>
      </w:r>
      <w:r w:rsidR="007515E8" w:rsidRPr="00731644">
        <w:rPr>
          <w:lang w:val="fr-CH"/>
        </w:rPr>
        <w:t xml:space="preserve"> comportant cinq unités éducatives</w:t>
      </w:r>
      <w:r w:rsidR="00DE428D" w:rsidRPr="00731644">
        <w:rPr>
          <w:lang w:val="fr-CH"/>
        </w:rPr>
        <w:t xml:space="preserve"> et </w:t>
      </w:r>
      <w:r w:rsidR="007515E8" w:rsidRPr="00731644">
        <w:rPr>
          <w:lang w:val="fr-CH"/>
        </w:rPr>
        <w:t>situés à Podgorica-Tuzi (une unité éducative) et à Ulcinj (4 unités éducatives) emploient</w:t>
      </w:r>
      <w:r w:rsidR="000A76E8" w:rsidRPr="00731644">
        <w:rPr>
          <w:lang w:val="fr-CH"/>
        </w:rPr>
        <w:t xml:space="preserve"> l</w:t>
      </w:r>
      <w:r w:rsidR="00425386" w:rsidRPr="00731644">
        <w:rPr>
          <w:lang w:val="fr-CH"/>
        </w:rPr>
        <w:t>’</w:t>
      </w:r>
      <w:r w:rsidR="000A76E8" w:rsidRPr="00731644">
        <w:rPr>
          <w:lang w:val="fr-CH"/>
        </w:rPr>
        <w:t>albanais. L</w:t>
      </w:r>
      <w:r w:rsidR="00425386" w:rsidRPr="00731644">
        <w:rPr>
          <w:lang w:val="fr-CH"/>
        </w:rPr>
        <w:t>’</w:t>
      </w:r>
      <w:r w:rsidR="000A76E8" w:rsidRPr="00731644">
        <w:rPr>
          <w:lang w:val="fr-CH"/>
        </w:rPr>
        <w:t>éducation préscolaire est assurée en albanais dans neuf groupes éducatifs qui accueillent 222 enfants de six</w:t>
      </w:r>
      <w:r w:rsidR="00976D48">
        <w:rPr>
          <w:lang w:val="fr-CH"/>
        </w:rPr>
        <w:t> ans</w:t>
      </w:r>
      <w:r w:rsidR="000A76E8" w:rsidRPr="00731644">
        <w:rPr>
          <w:lang w:val="fr-CH"/>
        </w:rPr>
        <w:t>, c</w:t>
      </w:r>
      <w:r w:rsidR="00425386" w:rsidRPr="00731644">
        <w:rPr>
          <w:lang w:val="fr-CH"/>
        </w:rPr>
        <w:t>’</w:t>
      </w:r>
      <w:r w:rsidR="000A76E8" w:rsidRPr="00731644">
        <w:rPr>
          <w:lang w:val="fr-CH"/>
        </w:rPr>
        <w:t>est-à-dire en âge de commencer leur</w:t>
      </w:r>
      <w:r w:rsidR="00DE428D" w:rsidRPr="00731644">
        <w:rPr>
          <w:lang w:val="fr-CH"/>
        </w:rPr>
        <w:t xml:space="preserve"> scolarité</w:t>
      </w:r>
      <w:r w:rsidR="000A76E8" w:rsidRPr="00731644">
        <w:rPr>
          <w:lang w:val="fr-CH"/>
        </w:rPr>
        <w:t>. D</w:t>
      </w:r>
      <w:r w:rsidR="00425386" w:rsidRPr="00731644">
        <w:rPr>
          <w:lang w:val="fr-CH"/>
        </w:rPr>
        <w:t>’</w:t>
      </w:r>
      <w:r w:rsidR="000A76E8" w:rsidRPr="00731644">
        <w:rPr>
          <w:lang w:val="fr-CH"/>
        </w:rPr>
        <w:t>après ce même document, l</w:t>
      </w:r>
      <w:r w:rsidR="00425386" w:rsidRPr="00731644">
        <w:rPr>
          <w:lang w:val="fr-CH"/>
        </w:rPr>
        <w:t>’</w:t>
      </w:r>
      <w:r w:rsidR="000A76E8" w:rsidRPr="00731644">
        <w:rPr>
          <w:lang w:val="fr-CH"/>
        </w:rPr>
        <w:t>éducation préscolaire touche 13,81</w:t>
      </w:r>
      <w:r w:rsidR="006443F6" w:rsidRPr="00731644">
        <w:rPr>
          <w:lang w:val="fr-CH"/>
        </w:rPr>
        <w:t>%</w:t>
      </w:r>
      <w:r w:rsidR="000A76E8" w:rsidRPr="00731644">
        <w:rPr>
          <w:lang w:val="fr-CH"/>
        </w:rPr>
        <w:t xml:space="preserve"> des enfants roms, </w:t>
      </w:r>
      <w:r w:rsidR="002A5033" w:rsidRPr="00731644">
        <w:rPr>
          <w:lang w:val="fr-CH"/>
        </w:rPr>
        <w:t>ashkali</w:t>
      </w:r>
      <w:r w:rsidR="000A76E8" w:rsidRPr="00731644">
        <w:rPr>
          <w:lang w:val="fr-CH"/>
        </w:rPr>
        <w:t xml:space="preserve"> et tziganes, soit moitié moins proportionnellement que l</w:t>
      </w:r>
      <w:r w:rsidR="00425386" w:rsidRPr="00731644">
        <w:rPr>
          <w:lang w:val="fr-CH"/>
        </w:rPr>
        <w:t>’</w:t>
      </w:r>
      <w:r w:rsidR="000A76E8" w:rsidRPr="00731644">
        <w:rPr>
          <w:lang w:val="fr-CH"/>
        </w:rPr>
        <w:t>ensemble de</w:t>
      </w:r>
      <w:r w:rsidR="00DE428D" w:rsidRPr="00731644">
        <w:rPr>
          <w:lang w:val="fr-CH"/>
        </w:rPr>
        <w:t>s</w:t>
      </w:r>
      <w:r w:rsidR="000A76E8" w:rsidRPr="00731644">
        <w:rPr>
          <w:lang w:val="fr-CH"/>
        </w:rPr>
        <w:t xml:space="preserve"> enfants (27</w:t>
      </w:r>
      <w:r w:rsidR="006443F6" w:rsidRPr="00731644">
        <w:rPr>
          <w:lang w:val="fr-CH"/>
        </w:rPr>
        <w:t>%</w:t>
      </w:r>
      <w:r w:rsidR="000A76E8" w:rsidRPr="00731644">
        <w:rPr>
          <w:lang w:val="fr-CH"/>
        </w:rPr>
        <w:t xml:space="preserve">). </w:t>
      </w:r>
    </w:p>
    <w:p w:rsidR="004C7BF6" w:rsidRPr="00731644" w:rsidRDefault="000B213E" w:rsidP="004C7BF6">
      <w:pPr>
        <w:pStyle w:val="SingleTxtG"/>
        <w:rPr>
          <w:lang w:val="fr-CH"/>
        </w:rPr>
      </w:pPr>
      <w:r w:rsidRPr="00731644">
        <w:rPr>
          <w:lang w:val="fr-CH"/>
        </w:rPr>
        <w:t>293.</w:t>
      </w:r>
      <w:r w:rsidRPr="00731644">
        <w:rPr>
          <w:lang w:val="fr-CH"/>
        </w:rPr>
        <w:tab/>
      </w:r>
      <w:r w:rsidR="007515E8" w:rsidRPr="00731644">
        <w:rPr>
          <w:lang w:val="fr-CH"/>
        </w:rPr>
        <w:t xml:space="preserve">Tous les enfants qui remplissent les critères </w:t>
      </w:r>
      <w:r w:rsidR="00F0193F" w:rsidRPr="00731644">
        <w:rPr>
          <w:lang w:val="fr-CH"/>
        </w:rPr>
        <w:t>voulu</w:t>
      </w:r>
      <w:r w:rsidR="007515E8" w:rsidRPr="00731644">
        <w:rPr>
          <w:lang w:val="fr-CH"/>
        </w:rPr>
        <w:t>s s</w:t>
      </w:r>
      <w:r w:rsidR="00425386" w:rsidRPr="00731644">
        <w:rPr>
          <w:lang w:val="fr-CH"/>
        </w:rPr>
        <w:t>’</w:t>
      </w:r>
      <w:r w:rsidR="007515E8" w:rsidRPr="00731644">
        <w:rPr>
          <w:lang w:val="fr-CH"/>
        </w:rPr>
        <w:t>inscrivent dans l</w:t>
      </w:r>
      <w:r w:rsidR="00425386" w:rsidRPr="00731644">
        <w:rPr>
          <w:lang w:val="fr-CH"/>
        </w:rPr>
        <w:t>’</w:t>
      </w:r>
      <w:r w:rsidR="007515E8" w:rsidRPr="00731644">
        <w:rPr>
          <w:lang w:val="fr-CH"/>
        </w:rPr>
        <w:t xml:space="preserve">enseignement secondaire dans les mêmes conditions, sans distinction de nationalité ni de religion. </w:t>
      </w:r>
      <w:r w:rsidR="005E1220" w:rsidRPr="00731644">
        <w:rPr>
          <w:lang w:val="fr-CH"/>
        </w:rPr>
        <w:t xml:space="preserve">Ils jouissent </w:t>
      </w:r>
      <w:r w:rsidR="00A332AD" w:rsidRPr="00731644">
        <w:rPr>
          <w:lang w:val="fr-CH"/>
        </w:rPr>
        <w:t>tous</w:t>
      </w:r>
      <w:r w:rsidR="005E1220" w:rsidRPr="00731644">
        <w:rPr>
          <w:lang w:val="fr-CH"/>
        </w:rPr>
        <w:t xml:space="preserve"> des mêmes droits à l</w:t>
      </w:r>
      <w:r w:rsidR="00425386" w:rsidRPr="00731644">
        <w:rPr>
          <w:lang w:val="fr-CH"/>
        </w:rPr>
        <w:t>’</w:t>
      </w:r>
      <w:r w:rsidR="005E1220" w:rsidRPr="00731644">
        <w:rPr>
          <w:lang w:val="fr-CH"/>
        </w:rPr>
        <w:t>éducation, si bien qu</w:t>
      </w:r>
      <w:r w:rsidR="00425386" w:rsidRPr="00731644">
        <w:rPr>
          <w:lang w:val="fr-CH"/>
        </w:rPr>
        <w:t>’</w:t>
      </w:r>
      <w:r w:rsidR="005E1220" w:rsidRPr="00731644">
        <w:rPr>
          <w:lang w:val="fr-CH"/>
        </w:rPr>
        <w:t>il n</w:t>
      </w:r>
      <w:r w:rsidR="00425386" w:rsidRPr="00731644">
        <w:rPr>
          <w:lang w:val="fr-CH"/>
        </w:rPr>
        <w:t>’</w:t>
      </w:r>
      <w:r w:rsidR="005E1220" w:rsidRPr="00731644">
        <w:rPr>
          <w:lang w:val="fr-CH"/>
        </w:rPr>
        <w:t>y a pas de mesures discriminatoires. Les enfants de la communauté albanaise inscrits dans les écoles secondaires de</w:t>
      </w:r>
      <w:r w:rsidR="004C7BF6" w:rsidRPr="00731644">
        <w:rPr>
          <w:lang w:val="fr-CH"/>
        </w:rPr>
        <w:t xml:space="preserve"> Tuzi,</w:t>
      </w:r>
      <w:r w:rsidR="005E1220" w:rsidRPr="00731644">
        <w:rPr>
          <w:lang w:val="fr-CH"/>
        </w:rPr>
        <w:t xml:space="preserve"> d</w:t>
      </w:r>
      <w:r w:rsidR="00425386" w:rsidRPr="00731644">
        <w:rPr>
          <w:lang w:val="fr-CH"/>
        </w:rPr>
        <w:t>’</w:t>
      </w:r>
      <w:r w:rsidR="004C7BF6" w:rsidRPr="00731644">
        <w:rPr>
          <w:lang w:val="fr-CH"/>
        </w:rPr>
        <w:t xml:space="preserve">Ulcinj </w:t>
      </w:r>
      <w:r w:rsidR="005E1220" w:rsidRPr="00731644">
        <w:rPr>
          <w:lang w:val="fr-CH"/>
        </w:rPr>
        <w:t>et de</w:t>
      </w:r>
      <w:r w:rsidR="006E7DDA" w:rsidRPr="00731644">
        <w:rPr>
          <w:lang w:val="fr-CH"/>
        </w:rPr>
        <w:t xml:space="preserve"> </w:t>
      </w:r>
      <w:r w:rsidR="00F0193F" w:rsidRPr="00731644">
        <w:rPr>
          <w:lang w:val="fr-CH"/>
        </w:rPr>
        <w:t>Plav</w:t>
      </w:r>
      <w:r w:rsidR="005E1220" w:rsidRPr="00731644">
        <w:rPr>
          <w:lang w:val="fr-CH"/>
        </w:rPr>
        <w:t xml:space="preserve"> suivent un enseignement dispensé en albanais et en monténégrin, et reçoivent des manuels </w:t>
      </w:r>
      <w:r w:rsidR="000318F7" w:rsidRPr="00731644">
        <w:rPr>
          <w:lang w:val="fr-CH"/>
        </w:rPr>
        <w:t>et d</w:t>
      </w:r>
      <w:r w:rsidR="00425386" w:rsidRPr="00731644">
        <w:rPr>
          <w:lang w:val="fr-CH"/>
        </w:rPr>
        <w:t>’</w:t>
      </w:r>
      <w:r w:rsidR="000318F7" w:rsidRPr="00731644">
        <w:rPr>
          <w:lang w:val="fr-CH"/>
        </w:rPr>
        <w:t>autres textes</w:t>
      </w:r>
      <w:r w:rsidR="005E1220" w:rsidRPr="00731644">
        <w:rPr>
          <w:lang w:val="fr-CH"/>
        </w:rPr>
        <w:t xml:space="preserve"> adaptés</w:t>
      </w:r>
      <w:r w:rsidR="004C7BF6" w:rsidRPr="00731644">
        <w:rPr>
          <w:lang w:val="fr-CH"/>
        </w:rPr>
        <w:t xml:space="preserve"> (</w:t>
      </w:r>
      <w:r w:rsidR="005E1220" w:rsidRPr="00731644">
        <w:rPr>
          <w:lang w:val="fr-CH"/>
        </w:rPr>
        <w:t>produits par l</w:t>
      </w:r>
      <w:r w:rsidR="00425386" w:rsidRPr="00731644">
        <w:rPr>
          <w:lang w:val="fr-CH"/>
        </w:rPr>
        <w:t>’</w:t>
      </w:r>
      <w:r w:rsidR="004C7BF6" w:rsidRPr="00731644">
        <w:rPr>
          <w:lang w:val="fr-CH"/>
        </w:rPr>
        <w:t>Institut</w:t>
      </w:r>
      <w:r w:rsidR="005E1220" w:rsidRPr="00731644">
        <w:rPr>
          <w:lang w:val="fr-CH"/>
        </w:rPr>
        <w:t xml:space="preserve"> </w:t>
      </w:r>
      <w:r w:rsidR="00ED593D" w:rsidRPr="00731644">
        <w:rPr>
          <w:lang w:val="fr-CH"/>
        </w:rPr>
        <w:t>d</w:t>
      </w:r>
      <w:r w:rsidR="00425386" w:rsidRPr="00731644">
        <w:rPr>
          <w:lang w:val="fr-CH"/>
        </w:rPr>
        <w:t>’</w:t>
      </w:r>
      <w:r w:rsidR="00ED593D" w:rsidRPr="00731644">
        <w:rPr>
          <w:lang w:val="fr-CH"/>
        </w:rPr>
        <w:t xml:space="preserve">édition </w:t>
      </w:r>
      <w:r w:rsidR="005E1220" w:rsidRPr="00731644">
        <w:rPr>
          <w:lang w:val="fr-CH"/>
        </w:rPr>
        <w:t>des manuels et des auxiliaires pédagogiques du Monténégro ou en coopération avec des instituts analogues de la région</w:t>
      </w:r>
      <w:r w:rsidR="004C7BF6" w:rsidRPr="00731644">
        <w:rPr>
          <w:lang w:val="fr-CH"/>
        </w:rPr>
        <w:t xml:space="preserve">). </w:t>
      </w:r>
      <w:r w:rsidR="005E1220" w:rsidRPr="00731644">
        <w:rPr>
          <w:lang w:val="fr-CH"/>
        </w:rPr>
        <w:t>Le programme d</w:t>
      </w:r>
      <w:r w:rsidR="00425386" w:rsidRPr="00731644">
        <w:rPr>
          <w:lang w:val="fr-CH"/>
        </w:rPr>
        <w:t>’</w:t>
      </w:r>
      <w:r w:rsidR="005E1220" w:rsidRPr="00731644">
        <w:rPr>
          <w:lang w:val="fr-CH"/>
        </w:rPr>
        <w:t>études est le même que le programme général, avec cette différence que la langue et la litté</w:t>
      </w:r>
      <w:r w:rsidR="004603F1" w:rsidRPr="00731644">
        <w:rPr>
          <w:lang w:val="fr-CH"/>
        </w:rPr>
        <w:t>r</w:t>
      </w:r>
      <w:r w:rsidR="005E1220" w:rsidRPr="00731644">
        <w:rPr>
          <w:lang w:val="fr-CH"/>
        </w:rPr>
        <w:t xml:space="preserve">ature albanaises </w:t>
      </w:r>
      <w:r w:rsidR="004603F1" w:rsidRPr="00731644">
        <w:rPr>
          <w:lang w:val="fr-CH"/>
        </w:rPr>
        <w:t xml:space="preserve">figurent au nombre </w:t>
      </w:r>
      <w:r w:rsidR="005E1220" w:rsidRPr="00731644">
        <w:rPr>
          <w:lang w:val="fr-CH"/>
        </w:rPr>
        <w:t xml:space="preserve">des matières </w:t>
      </w:r>
      <w:r w:rsidR="00A332AD" w:rsidRPr="00731644">
        <w:rPr>
          <w:lang w:val="fr-CH"/>
        </w:rPr>
        <w:t>étudiées</w:t>
      </w:r>
      <w:r w:rsidR="005E1220" w:rsidRPr="00731644">
        <w:rPr>
          <w:lang w:val="fr-CH"/>
        </w:rPr>
        <w:t>. L</w:t>
      </w:r>
      <w:r w:rsidR="00425386" w:rsidRPr="00731644">
        <w:rPr>
          <w:lang w:val="fr-CH"/>
        </w:rPr>
        <w:t>’</w:t>
      </w:r>
      <w:r w:rsidR="005E1220" w:rsidRPr="00731644">
        <w:rPr>
          <w:lang w:val="fr-CH"/>
        </w:rPr>
        <w:t>enseignement dispensé aux aut</w:t>
      </w:r>
      <w:r w:rsidR="004603F1" w:rsidRPr="00731644">
        <w:rPr>
          <w:lang w:val="fr-CH"/>
        </w:rPr>
        <w:t>r</w:t>
      </w:r>
      <w:r w:rsidR="005E1220" w:rsidRPr="00731644">
        <w:rPr>
          <w:lang w:val="fr-CH"/>
        </w:rPr>
        <w:t>es minorités fait partie intégrante du système unique. Dans tous les établissements, les enseignants, les parents et les écoles elles-mêmes, en coopération avec la collectivité locale</w:t>
      </w:r>
      <w:r w:rsidR="001B2353" w:rsidRPr="00731644">
        <w:rPr>
          <w:lang w:val="fr-CH"/>
        </w:rPr>
        <w:t>, élaborent ensemble 20</w:t>
      </w:r>
      <w:r w:rsidR="006443F6" w:rsidRPr="00731644">
        <w:rPr>
          <w:lang w:val="fr-CH"/>
        </w:rPr>
        <w:t>%</w:t>
      </w:r>
      <w:r w:rsidR="001B2353" w:rsidRPr="00731644">
        <w:rPr>
          <w:lang w:val="fr-CH"/>
        </w:rPr>
        <w:t xml:space="preserve"> du programme</w:t>
      </w:r>
      <w:r w:rsidR="005E1220" w:rsidRPr="00731644">
        <w:rPr>
          <w:lang w:val="fr-CH"/>
        </w:rPr>
        <w:t xml:space="preserve">. </w:t>
      </w:r>
      <w:r w:rsidR="001B2353" w:rsidRPr="00731644">
        <w:rPr>
          <w:lang w:val="fr-CH"/>
        </w:rPr>
        <w:t>De ce fait</w:t>
      </w:r>
      <w:r w:rsidR="005E1220" w:rsidRPr="00731644">
        <w:rPr>
          <w:lang w:val="fr-CH"/>
        </w:rPr>
        <w:t>, la littérature, l</w:t>
      </w:r>
      <w:r w:rsidR="00425386" w:rsidRPr="00731644">
        <w:rPr>
          <w:lang w:val="fr-CH"/>
        </w:rPr>
        <w:t>’</w:t>
      </w:r>
      <w:r w:rsidR="005E1220" w:rsidRPr="00731644">
        <w:rPr>
          <w:lang w:val="fr-CH"/>
        </w:rPr>
        <w:t>histoire la culture</w:t>
      </w:r>
      <w:r w:rsidR="001B2353" w:rsidRPr="00731644">
        <w:rPr>
          <w:lang w:val="fr-CH"/>
        </w:rPr>
        <w:t xml:space="preserve"> des minorités</w:t>
      </w:r>
      <w:r w:rsidR="00F31DD5" w:rsidRPr="00731644">
        <w:rPr>
          <w:lang w:val="fr-CH"/>
        </w:rPr>
        <w:t xml:space="preserve"> </w:t>
      </w:r>
      <w:r w:rsidR="001B2353" w:rsidRPr="00731644">
        <w:rPr>
          <w:lang w:val="fr-CH"/>
        </w:rPr>
        <w:t>y occupent généralement une place. E</w:t>
      </w:r>
      <w:r w:rsidR="005D653F" w:rsidRPr="00731644">
        <w:rPr>
          <w:lang w:val="fr-CH"/>
        </w:rPr>
        <w:t>n outre,</w:t>
      </w:r>
      <w:r w:rsidR="001B2353" w:rsidRPr="00731644">
        <w:rPr>
          <w:lang w:val="fr-CH"/>
        </w:rPr>
        <w:t xml:space="preserve"> </w:t>
      </w:r>
      <w:r w:rsidR="005D653F" w:rsidRPr="00731644">
        <w:rPr>
          <w:lang w:val="fr-CH"/>
        </w:rPr>
        <w:t>le cours d</w:t>
      </w:r>
      <w:r w:rsidR="00425386" w:rsidRPr="00731644">
        <w:rPr>
          <w:lang w:val="fr-CH"/>
        </w:rPr>
        <w:t>’</w:t>
      </w:r>
      <w:r w:rsidR="001B2353" w:rsidRPr="00731644">
        <w:rPr>
          <w:lang w:val="fr-CH"/>
        </w:rPr>
        <w:t>instruction civique (enseigné en septième et huitième années d</w:t>
      </w:r>
      <w:r w:rsidR="00425386" w:rsidRPr="00731644">
        <w:rPr>
          <w:lang w:val="fr-CH"/>
        </w:rPr>
        <w:t>’</w:t>
      </w:r>
      <w:r w:rsidR="001B2353" w:rsidRPr="00731644">
        <w:rPr>
          <w:lang w:val="fr-CH"/>
        </w:rPr>
        <w:t>études)</w:t>
      </w:r>
      <w:r w:rsidR="005D653F" w:rsidRPr="00731644">
        <w:rPr>
          <w:lang w:val="fr-CH"/>
        </w:rPr>
        <w:t xml:space="preserve"> offre aux</w:t>
      </w:r>
      <w:r w:rsidR="001B2353" w:rsidRPr="00731644">
        <w:rPr>
          <w:lang w:val="fr-CH"/>
        </w:rPr>
        <w:t xml:space="preserve"> élèves </w:t>
      </w:r>
      <w:r w:rsidR="005D653F" w:rsidRPr="00731644">
        <w:rPr>
          <w:lang w:val="fr-CH"/>
        </w:rPr>
        <w:t>du primaire l</w:t>
      </w:r>
      <w:r w:rsidR="00425386" w:rsidRPr="00731644">
        <w:rPr>
          <w:lang w:val="fr-CH"/>
        </w:rPr>
        <w:t>’</w:t>
      </w:r>
      <w:r w:rsidR="005D653F" w:rsidRPr="00731644">
        <w:rPr>
          <w:lang w:val="fr-CH"/>
        </w:rPr>
        <w:t>occasion d</w:t>
      </w:r>
      <w:r w:rsidR="00425386" w:rsidRPr="00731644">
        <w:rPr>
          <w:lang w:val="fr-CH"/>
        </w:rPr>
        <w:t>’</w:t>
      </w:r>
      <w:r w:rsidR="001B2353" w:rsidRPr="00731644">
        <w:rPr>
          <w:lang w:val="fr-CH"/>
        </w:rPr>
        <w:t>acqu</w:t>
      </w:r>
      <w:r w:rsidR="005D653F" w:rsidRPr="00731644">
        <w:rPr>
          <w:lang w:val="fr-CH"/>
        </w:rPr>
        <w:t xml:space="preserve">érir </w:t>
      </w:r>
      <w:r w:rsidR="001B2353" w:rsidRPr="00731644">
        <w:rPr>
          <w:lang w:val="fr-CH"/>
        </w:rPr>
        <w:t xml:space="preserve">des </w:t>
      </w:r>
      <w:r w:rsidR="00A332AD" w:rsidRPr="00731644">
        <w:rPr>
          <w:lang w:val="fr-CH"/>
        </w:rPr>
        <w:t>connaissances</w:t>
      </w:r>
      <w:r w:rsidR="001B2353" w:rsidRPr="00731644">
        <w:rPr>
          <w:lang w:val="fr-CH"/>
        </w:rPr>
        <w:t xml:space="preserve"> sur les droits et la vie des minorités.</w:t>
      </w:r>
      <w:r w:rsidR="004C7BF6" w:rsidRPr="00731644">
        <w:rPr>
          <w:lang w:val="fr-CH"/>
        </w:rPr>
        <w:t xml:space="preserve"> </w:t>
      </w:r>
      <w:r w:rsidR="001B2353" w:rsidRPr="00731644">
        <w:rPr>
          <w:lang w:val="fr-CH"/>
        </w:rPr>
        <w:t>Il en va de même</w:t>
      </w:r>
      <w:r w:rsidR="004603F1" w:rsidRPr="00731644">
        <w:rPr>
          <w:lang w:val="fr-CH"/>
        </w:rPr>
        <w:t>,</w:t>
      </w:r>
      <w:r w:rsidR="001B2353" w:rsidRPr="00731644">
        <w:rPr>
          <w:lang w:val="fr-CH"/>
        </w:rPr>
        <w:t xml:space="preserve"> dans le second degré</w:t>
      </w:r>
      <w:r w:rsidR="004603F1" w:rsidRPr="00731644">
        <w:rPr>
          <w:lang w:val="fr-CH"/>
        </w:rPr>
        <w:t>,</w:t>
      </w:r>
      <w:r w:rsidR="001B2353" w:rsidRPr="00731644">
        <w:rPr>
          <w:lang w:val="fr-CH"/>
        </w:rPr>
        <w:t xml:space="preserve"> </w:t>
      </w:r>
      <w:r w:rsidR="005D653F" w:rsidRPr="00731644">
        <w:rPr>
          <w:lang w:val="fr-CH"/>
        </w:rPr>
        <w:t>d</w:t>
      </w:r>
      <w:r w:rsidR="001B2353" w:rsidRPr="00731644">
        <w:rPr>
          <w:lang w:val="fr-CH"/>
        </w:rPr>
        <w:t xml:space="preserve">es </w:t>
      </w:r>
      <w:r w:rsidR="005D653F" w:rsidRPr="00731644">
        <w:rPr>
          <w:lang w:val="fr-CH"/>
        </w:rPr>
        <w:t>cours d</w:t>
      </w:r>
      <w:r w:rsidR="00425386" w:rsidRPr="00731644">
        <w:rPr>
          <w:lang w:val="fr-CH"/>
        </w:rPr>
        <w:t>’</w:t>
      </w:r>
      <w:r w:rsidR="005D653F" w:rsidRPr="00731644">
        <w:rPr>
          <w:lang w:val="fr-CH"/>
        </w:rPr>
        <w:t>i</w:t>
      </w:r>
      <w:r w:rsidR="001B2353" w:rsidRPr="00731644">
        <w:rPr>
          <w:lang w:val="fr-CH"/>
        </w:rPr>
        <w:t xml:space="preserve">nstruction civique et </w:t>
      </w:r>
      <w:r w:rsidR="005D653F" w:rsidRPr="00731644">
        <w:rPr>
          <w:lang w:val="fr-CH"/>
        </w:rPr>
        <w:t>d</w:t>
      </w:r>
      <w:r w:rsidR="00425386" w:rsidRPr="00731644">
        <w:rPr>
          <w:lang w:val="fr-CH"/>
        </w:rPr>
        <w:t>’</w:t>
      </w:r>
      <w:r w:rsidR="005D653F" w:rsidRPr="00731644">
        <w:rPr>
          <w:lang w:val="fr-CH"/>
        </w:rPr>
        <w:t>h</w:t>
      </w:r>
      <w:r w:rsidR="001B2353" w:rsidRPr="00731644">
        <w:rPr>
          <w:lang w:val="fr-CH"/>
        </w:rPr>
        <w:t>istoire des religions. L</w:t>
      </w:r>
      <w:r w:rsidR="00425386" w:rsidRPr="00731644">
        <w:rPr>
          <w:lang w:val="fr-CH"/>
        </w:rPr>
        <w:t>’</w:t>
      </w:r>
      <w:r w:rsidR="001B2353" w:rsidRPr="00731644">
        <w:rPr>
          <w:lang w:val="fr-CH"/>
        </w:rPr>
        <w:t>application du programme de formation d</w:t>
      </w:r>
      <w:r w:rsidR="00425386" w:rsidRPr="00731644">
        <w:rPr>
          <w:lang w:val="fr-CH"/>
        </w:rPr>
        <w:t>’</w:t>
      </w:r>
      <w:r w:rsidR="001B2353" w:rsidRPr="00731644">
        <w:rPr>
          <w:lang w:val="fr-CH"/>
        </w:rPr>
        <w:t>enseignants de langue albanaise a commencé en octobre</w:t>
      </w:r>
      <w:r w:rsidR="004C7BF6" w:rsidRPr="00731644">
        <w:rPr>
          <w:lang w:val="fr-CH"/>
        </w:rPr>
        <w:t xml:space="preserve"> 2004.</w:t>
      </w:r>
    </w:p>
    <w:p w:rsidR="004C7BF6" w:rsidRPr="00731644" w:rsidRDefault="000B213E" w:rsidP="004C7BF6">
      <w:pPr>
        <w:pStyle w:val="SingleTxtG"/>
        <w:rPr>
          <w:lang w:val="fr-CH"/>
        </w:rPr>
      </w:pPr>
      <w:r w:rsidRPr="00731644">
        <w:rPr>
          <w:lang w:val="fr-CH"/>
        </w:rPr>
        <w:t>294.</w:t>
      </w:r>
      <w:r w:rsidRPr="00731644">
        <w:rPr>
          <w:lang w:val="fr-CH"/>
        </w:rPr>
        <w:tab/>
      </w:r>
      <w:r w:rsidR="001B2353" w:rsidRPr="00731644">
        <w:rPr>
          <w:lang w:val="fr-CH"/>
        </w:rPr>
        <w:t>Le nombre des enfants roms inscrits dans l</w:t>
      </w:r>
      <w:r w:rsidR="00425386" w:rsidRPr="00731644">
        <w:rPr>
          <w:lang w:val="fr-CH"/>
        </w:rPr>
        <w:t>’</w:t>
      </w:r>
      <w:r w:rsidR="001B2353" w:rsidRPr="00731644">
        <w:rPr>
          <w:lang w:val="fr-CH"/>
        </w:rPr>
        <w:t>enseignement primaire augmente d</w:t>
      </w:r>
      <w:r w:rsidR="00425386" w:rsidRPr="00731644">
        <w:rPr>
          <w:lang w:val="fr-CH"/>
        </w:rPr>
        <w:t>’</w:t>
      </w:r>
      <w:r w:rsidR="001B2353" w:rsidRPr="00731644">
        <w:rPr>
          <w:lang w:val="fr-CH"/>
        </w:rPr>
        <w:t xml:space="preserve">année en année. </w:t>
      </w:r>
      <w:r w:rsidR="00FE0F30" w:rsidRPr="00731644">
        <w:rPr>
          <w:lang w:val="fr-CH"/>
        </w:rPr>
        <w:t>Pendant l</w:t>
      </w:r>
      <w:r w:rsidR="00425386" w:rsidRPr="00731644">
        <w:rPr>
          <w:lang w:val="fr-CH"/>
        </w:rPr>
        <w:t>’</w:t>
      </w:r>
      <w:r w:rsidR="00FE0F30" w:rsidRPr="00731644">
        <w:rPr>
          <w:lang w:val="fr-CH"/>
        </w:rPr>
        <w:t xml:space="preserve">année scolaire </w:t>
      </w:r>
      <w:r w:rsidR="00881FE4" w:rsidRPr="00731644">
        <w:rPr>
          <w:lang w:val="fr-CH"/>
        </w:rPr>
        <w:t xml:space="preserve">2007/2008, </w:t>
      </w:r>
      <w:r w:rsidR="00FE0F30" w:rsidRPr="00731644">
        <w:rPr>
          <w:lang w:val="fr-CH"/>
        </w:rPr>
        <w:t xml:space="preserve">les élèves </w:t>
      </w:r>
      <w:r w:rsidR="00CC1D70" w:rsidRPr="00731644">
        <w:rPr>
          <w:lang w:val="fr-CH"/>
        </w:rPr>
        <w:t>r</w:t>
      </w:r>
      <w:r w:rsidR="00FE0F30" w:rsidRPr="00731644">
        <w:rPr>
          <w:lang w:val="fr-CH"/>
        </w:rPr>
        <w:t xml:space="preserve">oms, </w:t>
      </w:r>
      <w:r w:rsidR="002A5033" w:rsidRPr="00731644">
        <w:rPr>
          <w:lang w:val="fr-CH"/>
        </w:rPr>
        <w:t>ashkali</w:t>
      </w:r>
      <w:r w:rsidR="00FE0F30" w:rsidRPr="00731644">
        <w:rPr>
          <w:lang w:val="fr-CH"/>
        </w:rPr>
        <w:t xml:space="preserve"> et </w:t>
      </w:r>
      <w:r w:rsidR="00CC1D70" w:rsidRPr="00731644">
        <w:rPr>
          <w:lang w:val="fr-CH"/>
        </w:rPr>
        <w:t xml:space="preserve">tziganes </w:t>
      </w:r>
      <w:r w:rsidR="00FE0F30" w:rsidRPr="00731644">
        <w:rPr>
          <w:lang w:val="fr-CH"/>
        </w:rPr>
        <w:t xml:space="preserve">étaient au nombre de </w:t>
      </w:r>
      <w:r w:rsidR="004C7BF6" w:rsidRPr="00731644">
        <w:rPr>
          <w:lang w:val="fr-CH"/>
        </w:rPr>
        <w:t>1</w:t>
      </w:r>
      <w:r w:rsidR="00FE0F30" w:rsidRPr="00731644">
        <w:rPr>
          <w:lang w:val="fr-CH"/>
        </w:rPr>
        <w:t> </w:t>
      </w:r>
      <w:r w:rsidR="004C7BF6" w:rsidRPr="00731644">
        <w:rPr>
          <w:lang w:val="fr-CH"/>
        </w:rPr>
        <w:t>263</w:t>
      </w:r>
      <w:r w:rsidR="00F31DD5" w:rsidRPr="00731644">
        <w:rPr>
          <w:lang w:val="fr-CH"/>
        </w:rPr>
        <w:t>;</w:t>
      </w:r>
      <w:r w:rsidR="00FE0F30" w:rsidRPr="00731644">
        <w:rPr>
          <w:lang w:val="fr-CH"/>
        </w:rPr>
        <w:t xml:space="preserve"> en</w:t>
      </w:r>
      <w:r w:rsidR="00F31DD5" w:rsidRPr="00731644">
        <w:rPr>
          <w:lang w:val="fr-CH"/>
        </w:rPr>
        <w:t xml:space="preserve"> </w:t>
      </w:r>
      <w:r w:rsidR="004C7BF6" w:rsidRPr="00731644">
        <w:rPr>
          <w:lang w:val="fr-CH"/>
        </w:rPr>
        <w:t>2008/09</w:t>
      </w:r>
      <w:r w:rsidR="00FE0F30" w:rsidRPr="00731644">
        <w:rPr>
          <w:lang w:val="fr-CH"/>
        </w:rPr>
        <w:t>, ils étaient</w:t>
      </w:r>
      <w:r w:rsidR="004C7BF6" w:rsidRPr="00731644">
        <w:rPr>
          <w:lang w:val="fr-CH"/>
        </w:rPr>
        <w:t xml:space="preserve"> 1</w:t>
      </w:r>
      <w:r w:rsidR="00FE0F30" w:rsidRPr="00731644">
        <w:rPr>
          <w:lang w:val="fr-CH"/>
        </w:rPr>
        <w:t xml:space="preserve"> 461</w:t>
      </w:r>
      <w:r w:rsidR="004C7BF6" w:rsidRPr="00731644">
        <w:rPr>
          <w:lang w:val="fr-CH"/>
        </w:rPr>
        <w:t xml:space="preserve">. </w:t>
      </w:r>
      <w:r w:rsidR="00FE0F30" w:rsidRPr="00731644">
        <w:rPr>
          <w:lang w:val="fr-CH"/>
        </w:rPr>
        <w:t xml:space="preserve">Les données des années antérieures </w:t>
      </w:r>
      <w:r w:rsidR="00881FE4" w:rsidRPr="00731644">
        <w:rPr>
          <w:lang w:val="fr-CH"/>
        </w:rPr>
        <w:t>fo</w:t>
      </w:r>
      <w:r w:rsidR="00FE0F30" w:rsidRPr="00731644">
        <w:rPr>
          <w:lang w:val="fr-CH"/>
        </w:rPr>
        <w:t xml:space="preserve">nt elles aussi </w:t>
      </w:r>
      <w:r w:rsidR="00881FE4" w:rsidRPr="00731644">
        <w:rPr>
          <w:lang w:val="fr-CH"/>
        </w:rPr>
        <w:t xml:space="preserve">apparaître </w:t>
      </w:r>
      <w:r w:rsidR="00FE0F30" w:rsidRPr="00731644">
        <w:rPr>
          <w:lang w:val="fr-CH"/>
        </w:rPr>
        <w:t>un accroissement constant</w:t>
      </w:r>
      <w:r w:rsidR="00F31DD5" w:rsidRPr="00731644">
        <w:rPr>
          <w:lang w:val="fr-CH"/>
        </w:rPr>
        <w:t>;</w:t>
      </w:r>
      <w:r w:rsidR="00FE0F30" w:rsidRPr="00731644">
        <w:rPr>
          <w:lang w:val="fr-CH"/>
        </w:rPr>
        <w:t xml:space="preserve"> les effectifs des enfants </w:t>
      </w:r>
      <w:r w:rsidR="00CC1D70" w:rsidRPr="00731644">
        <w:rPr>
          <w:lang w:val="fr-CH"/>
        </w:rPr>
        <w:t>r</w:t>
      </w:r>
      <w:r w:rsidR="00FE0F30" w:rsidRPr="00731644">
        <w:rPr>
          <w:lang w:val="fr-CH"/>
        </w:rPr>
        <w:t xml:space="preserve">oms, </w:t>
      </w:r>
      <w:r w:rsidR="002A5033" w:rsidRPr="00731644">
        <w:rPr>
          <w:lang w:val="fr-CH"/>
        </w:rPr>
        <w:t>ashkali</w:t>
      </w:r>
      <w:r w:rsidR="00FE0F30" w:rsidRPr="00731644">
        <w:rPr>
          <w:lang w:val="fr-CH"/>
        </w:rPr>
        <w:t xml:space="preserve"> et </w:t>
      </w:r>
      <w:r w:rsidR="00CC1D70" w:rsidRPr="00731644">
        <w:rPr>
          <w:lang w:val="fr-CH"/>
        </w:rPr>
        <w:t>tziganes</w:t>
      </w:r>
      <w:r w:rsidR="00FE0F30" w:rsidRPr="00731644">
        <w:rPr>
          <w:lang w:val="fr-CH"/>
        </w:rPr>
        <w:t xml:space="preserve"> scolarisés dans le premier degré </w:t>
      </w:r>
      <w:r w:rsidR="00881FE4" w:rsidRPr="00731644">
        <w:rPr>
          <w:lang w:val="fr-CH"/>
        </w:rPr>
        <w:t>ont été</w:t>
      </w:r>
      <w:r w:rsidR="00FE0F30" w:rsidRPr="00731644">
        <w:rPr>
          <w:lang w:val="fr-CH"/>
        </w:rPr>
        <w:t xml:space="preserve"> de 536 l</w:t>
      </w:r>
      <w:r w:rsidR="00425386" w:rsidRPr="00731644">
        <w:rPr>
          <w:lang w:val="fr-CH"/>
        </w:rPr>
        <w:t>’</w:t>
      </w:r>
      <w:r w:rsidR="00FE0F30" w:rsidRPr="00731644">
        <w:rPr>
          <w:lang w:val="fr-CH"/>
        </w:rPr>
        <w:t xml:space="preserve">année scolaire </w:t>
      </w:r>
      <w:r w:rsidR="004C7BF6" w:rsidRPr="00731644">
        <w:rPr>
          <w:lang w:val="fr-CH"/>
        </w:rPr>
        <w:t>2001/02</w:t>
      </w:r>
      <w:r w:rsidR="00FE0F30" w:rsidRPr="00731644">
        <w:rPr>
          <w:lang w:val="fr-CH"/>
        </w:rPr>
        <w:t>, de</w:t>
      </w:r>
      <w:r w:rsidR="004C7BF6" w:rsidRPr="00731644">
        <w:rPr>
          <w:lang w:val="fr-CH"/>
        </w:rPr>
        <w:t xml:space="preserve"> </w:t>
      </w:r>
      <w:r w:rsidR="00881FE4" w:rsidRPr="00731644">
        <w:rPr>
          <w:lang w:val="fr-CH"/>
        </w:rPr>
        <w:t xml:space="preserve">626 en </w:t>
      </w:r>
      <w:r w:rsidR="004C7BF6" w:rsidRPr="00731644">
        <w:rPr>
          <w:lang w:val="fr-CH"/>
        </w:rPr>
        <w:t>2002/03</w:t>
      </w:r>
      <w:r w:rsidR="00881FE4" w:rsidRPr="00731644">
        <w:rPr>
          <w:lang w:val="fr-CH"/>
        </w:rPr>
        <w:t>, de 1 006 en</w:t>
      </w:r>
      <w:r w:rsidR="004C7BF6" w:rsidRPr="00731644">
        <w:rPr>
          <w:lang w:val="fr-CH"/>
        </w:rPr>
        <w:t xml:space="preserve"> 2003/04</w:t>
      </w:r>
      <w:r w:rsidR="00881FE4" w:rsidRPr="00731644">
        <w:rPr>
          <w:lang w:val="fr-CH"/>
        </w:rPr>
        <w:t>, de 1 169 en</w:t>
      </w:r>
      <w:r w:rsidR="00F31DD5" w:rsidRPr="00731644">
        <w:rPr>
          <w:lang w:val="fr-CH"/>
        </w:rPr>
        <w:t xml:space="preserve"> </w:t>
      </w:r>
      <w:r w:rsidR="004C7BF6" w:rsidRPr="00731644">
        <w:rPr>
          <w:lang w:val="fr-CH"/>
        </w:rPr>
        <w:t>2004/05</w:t>
      </w:r>
      <w:r w:rsidR="00881FE4" w:rsidRPr="00731644">
        <w:rPr>
          <w:lang w:val="fr-CH"/>
        </w:rPr>
        <w:t>, de 1 195 en</w:t>
      </w:r>
      <w:r w:rsidR="00F31DD5" w:rsidRPr="00731644">
        <w:rPr>
          <w:lang w:val="fr-CH"/>
        </w:rPr>
        <w:t xml:space="preserve"> </w:t>
      </w:r>
      <w:r w:rsidR="004C7BF6" w:rsidRPr="00731644">
        <w:rPr>
          <w:lang w:val="fr-CH"/>
        </w:rPr>
        <w:t>2005/06</w:t>
      </w:r>
      <w:r w:rsidR="00881FE4" w:rsidRPr="00731644">
        <w:rPr>
          <w:lang w:val="fr-CH"/>
        </w:rPr>
        <w:t xml:space="preserve"> et de 1 236 en</w:t>
      </w:r>
      <w:r w:rsidR="00F31DD5" w:rsidRPr="00731644">
        <w:rPr>
          <w:lang w:val="fr-CH"/>
        </w:rPr>
        <w:t xml:space="preserve"> </w:t>
      </w:r>
      <w:r w:rsidR="004C7BF6" w:rsidRPr="00731644">
        <w:rPr>
          <w:lang w:val="fr-CH"/>
        </w:rPr>
        <w:t xml:space="preserve">2006/07. </w:t>
      </w:r>
      <w:r w:rsidR="00BF569A" w:rsidRPr="00731644">
        <w:rPr>
          <w:lang w:val="fr-CH"/>
        </w:rPr>
        <w:t>Pour</w:t>
      </w:r>
      <w:r w:rsidR="004C7BF6" w:rsidRPr="00731644">
        <w:rPr>
          <w:lang w:val="fr-CH"/>
        </w:rPr>
        <w:t xml:space="preserve"> 2009/10 </w:t>
      </w:r>
      <w:r w:rsidR="00881FE4" w:rsidRPr="00731644">
        <w:rPr>
          <w:lang w:val="fr-CH"/>
        </w:rPr>
        <w:t xml:space="preserve">et 2010/11, les chiffres correspondants </w:t>
      </w:r>
      <w:r w:rsidR="00BF569A" w:rsidRPr="00731644">
        <w:rPr>
          <w:lang w:val="fr-CH"/>
        </w:rPr>
        <w:t>s</w:t>
      </w:r>
      <w:r w:rsidR="00881FE4" w:rsidRPr="00731644">
        <w:rPr>
          <w:lang w:val="fr-CH"/>
        </w:rPr>
        <w:t>ont</w:t>
      </w:r>
      <w:r w:rsidR="00F31DD5" w:rsidRPr="00731644">
        <w:rPr>
          <w:lang w:val="fr-CH"/>
        </w:rPr>
        <w:t xml:space="preserve"> </w:t>
      </w:r>
      <w:r w:rsidR="00881FE4" w:rsidRPr="00731644">
        <w:rPr>
          <w:lang w:val="fr-CH"/>
        </w:rPr>
        <w:t>de</w:t>
      </w:r>
      <w:r w:rsidR="004C7BF6" w:rsidRPr="00731644">
        <w:rPr>
          <w:lang w:val="fr-CH"/>
        </w:rPr>
        <w:t xml:space="preserve"> 1</w:t>
      </w:r>
      <w:r w:rsidR="005C5A77">
        <w:rPr>
          <w:lang w:val="fr-CH"/>
        </w:rPr>
        <w:t> </w:t>
      </w:r>
      <w:r w:rsidR="004C7BF6" w:rsidRPr="00731644">
        <w:rPr>
          <w:lang w:val="fr-CH"/>
        </w:rPr>
        <w:t xml:space="preserve">434 </w:t>
      </w:r>
      <w:r w:rsidR="00881FE4" w:rsidRPr="00731644">
        <w:rPr>
          <w:lang w:val="fr-CH"/>
        </w:rPr>
        <w:t xml:space="preserve">et de </w:t>
      </w:r>
      <w:r w:rsidR="004C7BF6" w:rsidRPr="00731644">
        <w:rPr>
          <w:lang w:val="fr-CH"/>
        </w:rPr>
        <w:t>1</w:t>
      </w:r>
      <w:r w:rsidR="005C5A77">
        <w:rPr>
          <w:lang w:val="fr-CH"/>
        </w:rPr>
        <w:t> </w:t>
      </w:r>
      <w:r w:rsidR="004C7BF6" w:rsidRPr="00731644">
        <w:rPr>
          <w:lang w:val="fr-CH"/>
        </w:rPr>
        <w:t xml:space="preserve">582. </w:t>
      </w:r>
      <w:r w:rsidR="00881FE4" w:rsidRPr="00731644">
        <w:rPr>
          <w:lang w:val="fr-CH"/>
        </w:rPr>
        <w:t>Sur ce total, 447 enfants fréquentent l</w:t>
      </w:r>
      <w:r w:rsidR="00425386" w:rsidRPr="00731644">
        <w:rPr>
          <w:lang w:val="fr-CH"/>
        </w:rPr>
        <w:t>’</w:t>
      </w:r>
      <w:r w:rsidR="00881FE4" w:rsidRPr="00731644">
        <w:rPr>
          <w:lang w:val="fr-CH"/>
        </w:rPr>
        <w:t>é</w:t>
      </w:r>
      <w:r w:rsidR="00ED593D" w:rsidRPr="00731644">
        <w:rPr>
          <w:lang w:val="fr-CH"/>
        </w:rPr>
        <w:t xml:space="preserve">tablissement </w:t>
      </w:r>
      <w:r w:rsidR="00881FE4" w:rsidRPr="00731644">
        <w:rPr>
          <w:lang w:val="fr-CH"/>
        </w:rPr>
        <w:t>principal</w:t>
      </w:r>
      <w:r w:rsidR="00DF5288" w:rsidRPr="00731644">
        <w:rPr>
          <w:lang w:val="fr-CH"/>
        </w:rPr>
        <w:t xml:space="preserve"> de l</w:t>
      </w:r>
      <w:r w:rsidR="00425386" w:rsidRPr="00731644">
        <w:rPr>
          <w:lang w:val="fr-CH"/>
        </w:rPr>
        <w:t>’</w:t>
      </w:r>
      <w:r w:rsidR="00ED593D" w:rsidRPr="00731644">
        <w:rPr>
          <w:lang w:val="fr-CH"/>
        </w:rPr>
        <w:t>école</w:t>
      </w:r>
      <w:r w:rsidR="00DF5288" w:rsidRPr="00731644">
        <w:rPr>
          <w:lang w:val="fr-CH"/>
        </w:rPr>
        <w:t xml:space="preserve"> publique élémentaire</w:t>
      </w:r>
      <w:r w:rsidR="00F31DD5" w:rsidRPr="00731644">
        <w:rPr>
          <w:lang w:val="fr-CH"/>
        </w:rPr>
        <w:t xml:space="preserve"> </w:t>
      </w:r>
      <w:r w:rsidR="002061AB">
        <w:rPr>
          <w:lang w:val="fr-CH"/>
        </w:rPr>
        <w:t>«</w:t>
      </w:r>
      <w:r w:rsidR="004C7BF6" w:rsidRPr="00731644">
        <w:rPr>
          <w:lang w:val="fr-CH"/>
        </w:rPr>
        <w:t>Bozidar Vukovic Podgoričanin</w:t>
      </w:r>
      <w:r w:rsidR="002061AB">
        <w:rPr>
          <w:lang w:val="fr-CH"/>
        </w:rPr>
        <w:t>»</w:t>
      </w:r>
      <w:r w:rsidR="00DF5288" w:rsidRPr="00731644">
        <w:rPr>
          <w:lang w:val="fr-CH"/>
        </w:rPr>
        <w:t xml:space="preserve">, et 263, le </w:t>
      </w:r>
      <w:r w:rsidR="00415E62" w:rsidRPr="00731644">
        <w:rPr>
          <w:lang w:val="fr-CH"/>
        </w:rPr>
        <w:t>département</w:t>
      </w:r>
      <w:r w:rsidR="00DF5288" w:rsidRPr="00731644">
        <w:rPr>
          <w:lang w:val="fr-CH"/>
        </w:rPr>
        <w:t xml:space="preserve"> régional du camp de </w:t>
      </w:r>
      <w:r w:rsidR="004C7BF6" w:rsidRPr="00731644">
        <w:rPr>
          <w:lang w:val="fr-CH"/>
        </w:rPr>
        <w:t>Konik</w:t>
      </w:r>
      <w:r w:rsidR="00DF5288" w:rsidRPr="00731644">
        <w:rPr>
          <w:lang w:val="fr-CH"/>
        </w:rPr>
        <w:t>. Cinquante-sept élèves sont inscrits dans le second degré.</w:t>
      </w:r>
      <w:r w:rsidR="00F31DD5" w:rsidRPr="00731644">
        <w:rPr>
          <w:lang w:val="fr-CH"/>
        </w:rPr>
        <w:t xml:space="preserve"> </w:t>
      </w:r>
    </w:p>
    <w:p w:rsidR="004C7BF6" w:rsidRPr="00731644" w:rsidRDefault="000B213E" w:rsidP="007A176F">
      <w:pPr>
        <w:pStyle w:val="SingleTxtG"/>
        <w:rPr>
          <w:b/>
          <w:bCs/>
          <w:lang w:val="fr-CH"/>
        </w:rPr>
      </w:pPr>
      <w:r w:rsidRPr="00731644">
        <w:rPr>
          <w:bCs/>
          <w:lang w:val="fr-CH"/>
        </w:rPr>
        <w:t>295.</w:t>
      </w:r>
      <w:r w:rsidRPr="00731644">
        <w:rPr>
          <w:bCs/>
          <w:lang w:val="fr-CH"/>
        </w:rPr>
        <w:tab/>
      </w:r>
      <w:r w:rsidR="00ED593D" w:rsidRPr="00731644">
        <w:rPr>
          <w:bCs/>
          <w:lang w:val="fr-CH"/>
        </w:rPr>
        <w:t>En septembre de cette année, le Ministère de l</w:t>
      </w:r>
      <w:r w:rsidR="00425386" w:rsidRPr="00731644">
        <w:rPr>
          <w:bCs/>
          <w:lang w:val="fr-CH"/>
        </w:rPr>
        <w:t>’</w:t>
      </w:r>
      <w:r w:rsidR="00ED593D" w:rsidRPr="00731644">
        <w:rPr>
          <w:bCs/>
          <w:lang w:val="fr-CH"/>
        </w:rPr>
        <w:t>éducation et des sports, avec</w:t>
      </w:r>
      <w:r w:rsidR="00F31DD5" w:rsidRPr="00731644">
        <w:rPr>
          <w:bCs/>
          <w:lang w:val="fr-CH"/>
        </w:rPr>
        <w:t xml:space="preserve"> </w:t>
      </w:r>
      <w:r w:rsidR="00ED593D" w:rsidRPr="00731644">
        <w:rPr>
          <w:bCs/>
          <w:lang w:val="fr-CH"/>
        </w:rPr>
        <w:t>l</w:t>
      </w:r>
      <w:r w:rsidR="00425386" w:rsidRPr="00731644">
        <w:rPr>
          <w:bCs/>
          <w:lang w:val="fr-CH"/>
        </w:rPr>
        <w:t>’</w:t>
      </w:r>
      <w:r w:rsidR="00ED593D" w:rsidRPr="00731644">
        <w:rPr>
          <w:bCs/>
          <w:lang w:val="fr-CH"/>
        </w:rPr>
        <w:t xml:space="preserve">appui de la </w:t>
      </w:r>
      <w:r w:rsidR="004C7BF6" w:rsidRPr="00731644">
        <w:rPr>
          <w:bCs/>
          <w:lang w:val="fr-CH"/>
        </w:rPr>
        <w:t xml:space="preserve">Commission </w:t>
      </w:r>
      <w:r w:rsidR="00ED593D" w:rsidRPr="00731644">
        <w:rPr>
          <w:bCs/>
          <w:lang w:val="fr-CH"/>
        </w:rPr>
        <w:t>du suivi et de la mise en œuvre de la</w:t>
      </w:r>
      <w:r w:rsidR="00F31DD5" w:rsidRPr="00731644">
        <w:rPr>
          <w:bCs/>
          <w:lang w:val="fr-CH"/>
        </w:rPr>
        <w:t xml:space="preserve"> </w:t>
      </w:r>
      <w:r w:rsidR="004C7BF6" w:rsidRPr="00731644">
        <w:rPr>
          <w:bCs/>
          <w:lang w:val="fr-CH"/>
        </w:rPr>
        <w:t>Strat</w:t>
      </w:r>
      <w:r w:rsidR="00ED593D" w:rsidRPr="00731644">
        <w:rPr>
          <w:bCs/>
          <w:lang w:val="fr-CH"/>
        </w:rPr>
        <w:t>égie d</w:t>
      </w:r>
      <w:r w:rsidR="00425386" w:rsidRPr="00731644">
        <w:rPr>
          <w:bCs/>
          <w:lang w:val="fr-CH"/>
        </w:rPr>
        <w:t>’</w:t>
      </w:r>
      <w:r w:rsidR="00ED593D" w:rsidRPr="00731644">
        <w:rPr>
          <w:bCs/>
          <w:lang w:val="fr-CH"/>
        </w:rPr>
        <w:t xml:space="preserve">amélioration de la situation des Roms, </w:t>
      </w:r>
      <w:r w:rsidR="00CC1D70" w:rsidRPr="00731644">
        <w:rPr>
          <w:bCs/>
          <w:lang w:val="fr-CH"/>
        </w:rPr>
        <w:t>d</w:t>
      </w:r>
      <w:r w:rsidR="00ED593D" w:rsidRPr="00731644">
        <w:rPr>
          <w:bCs/>
          <w:lang w:val="fr-CH"/>
        </w:rPr>
        <w:t xml:space="preserve">es </w:t>
      </w:r>
      <w:r w:rsidR="002A5033" w:rsidRPr="00731644">
        <w:rPr>
          <w:bCs/>
          <w:lang w:val="fr-CH"/>
        </w:rPr>
        <w:t>Ashkali</w:t>
      </w:r>
      <w:r w:rsidR="00ED593D" w:rsidRPr="00731644">
        <w:rPr>
          <w:bCs/>
          <w:lang w:val="fr-CH"/>
        </w:rPr>
        <w:t xml:space="preserve"> et </w:t>
      </w:r>
      <w:r w:rsidR="007E0AFD" w:rsidRPr="00731644">
        <w:rPr>
          <w:bCs/>
          <w:lang w:val="fr-CH"/>
        </w:rPr>
        <w:t xml:space="preserve">des </w:t>
      </w:r>
      <w:r w:rsidR="00CC1D70" w:rsidRPr="00731644">
        <w:rPr>
          <w:bCs/>
          <w:lang w:val="fr-CH"/>
        </w:rPr>
        <w:t>tziganes</w:t>
      </w:r>
      <w:r w:rsidR="00ED593D" w:rsidRPr="00731644">
        <w:rPr>
          <w:bCs/>
          <w:lang w:val="fr-CH"/>
        </w:rPr>
        <w:t xml:space="preserve"> au Monténégro</w:t>
      </w:r>
      <w:r w:rsidR="00F31DD5" w:rsidRPr="00731644">
        <w:rPr>
          <w:bCs/>
          <w:lang w:val="fr-CH"/>
        </w:rPr>
        <w:t xml:space="preserve"> </w:t>
      </w:r>
      <w:r w:rsidR="004C7BF6" w:rsidRPr="00731644">
        <w:rPr>
          <w:bCs/>
          <w:lang w:val="fr-CH"/>
        </w:rPr>
        <w:t>2008-2012</w:t>
      </w:r>
      <w:r w:rsidR="00ED593D" w:rsidRPr="00731644">
        <w:rPr>
          <w:bCs/>
          <w:lang w:val="fr-CH"/>
        </w:rPr>
        <w:t xml:space="preserve"> a fourni</w:t>
      </w:r>
      <w:r w:rsidR="002F38A2" w:rsidRPr="00731644">
        <w:rPr>
          <w:bCs/>
          <w:lang w:val="fr-CH"/>
        </w:rPr>
        <w:t xml:space="preserve"> aux élèves roms, </w:t>
      </w:r>
      <w:r w:rsidR="002A5033" w:rsidRPr="00731644">
        <w:rPr>
          <w:bCs/>
          <w:lang w:val="fr-CH"/>
        </w:rPr>
        <w:t>ashkali</w:t>
      </w:r>
      <w:r w:rsidR="002F38A2" w:rsidRPr="00731644">
        <w:rPr>
          <w:bCs/>
          <w:lang w:val="fr-CH"/>
        </w:rPr>
        <w:t xml:space="preserve"> et tziganes des première, deuxième et </w:t>
      </w:r>
      <w:r w:rsidR="00A332AD" w:rsidRPr="00731644">
        <w:rPr>
          <w:bCs/>
          <w:lang w:val="fr-CH"/>
        </w:rPr>
        <w:t>troisième</w:t>
      </w:r>
      <w:r w:rsidR="002F38A2" w:rsidRPr="00731644">
        <w:rPr>
          <w:bCs/>
          <w:lang w:val="fr-CH"/>
        </w:rPr>
        <w:t xml:space="preserve"> années</w:t>
      </w:r>
      <w:r w:rsidR="00F31DD5" w:rsidRPr="00731644">
        <w:rPr>
          <w:bCs/>
          <w:lang w:val="fr-CH"/>
        </w:rPr>
        <w:t xml:space="preserve"> </w:t>
      </w:r>
      <w:r w:rsidR="002F38A2" w:rsidRPr="00731644">
        <w:rPr>
          <w:bCs/>
          <w:lang w:val="fr-CH"/>
        </w:rPr>
        <w:t>d</w:t>
      </w:r>
      <w:r w:rsidR="00425386" w:rsidRPr="00731644">
        <w:rPr>
          <w:bCs/>
          <w:lang w:val="fr-CH"/>
        </w:rPr>
        <w:t>’</w:t>
      </w:r>
      <w:r w:rsidR="002F38A2" w:rsidRPr="00731644">
        <w:rPr>
          <w:bCs/>
          <w:lang w:val="fr-CH"/>
        </w:rPr>
        <w:t>études primaires</w:t>
      </w:r>
      <w:r w:rsidR="00ED593D" w:rsidRPr="00731644">
        <w:rPr>
          <w:bCs/>
          <w:lang w:val="fr-CH"/>
        </w:rPr>
        <w:t>, par l</w:t>
      </w:r>
      <w:r w:rsidR="00425386" w:rsidRPr="00731644">
        <w:rPr>
          <w:bCs/>
          <w:lang w:val="fr-CH"/>
        </w:rPr>
        <w:t>’</w:t>
      </w:r>
      <w:r w:rsidR="00ED593D" w:rsidRPr="00731644">
        <w:rPr>
          <w:bCs/>
          <w:lang w:val="fr-CH"/>
        </w:rPr>
        <w:t>intermédiaire de l</w:t>
      </w:r>
      <w:r w:rsidR="00425386" w:rsidRPr="00731644">
        <w:rPr>
          <w:bCs/>
          <w:lang w:val="fr-CH"/>
        </w:rPr>
        <w:t>’</w:t>
      </w:r>
      <w:r w:rsidR="004C7BF6" w:rsidRPr="00731644">
        <w:rPr>
          <w:bCs/>
          <w:lang w:val="fr-CH"/>
        </w:rPr>
        <w:t>Institut</w:t>
      </w:r>
      <w:r w:rsidR="00ED593D" w:rsidRPr="00731644">
        <w:rPr>
          <w:bCs/>
          <w:lang w:val="fr-CH"/>
        </w:rPr>
        <w:t xml:space="preserve"> d</w:t>
      </w:r>
      <w:r w:rsidR="00425386" w:rsidRPr="00731644">
        <w:rPr>
          <w:bCs/>
          <w:lang w:val="fr-CH"/>
        </w:rPr>
        <w:t>’</w:t>
      </w:r>
      <w:r w:rsidR="00ED593D" w:rsidRPr="00731644">
        <w:rPr>
          <w:bCs/>
          <w:lang w:val="fr-CH"/>
        </w:rPr>
        <w:t>édition des manuels et des auxiliaires</w:t>
      </w:r>
      <w:r w:rsidR="00F31DD5" w:rsidRPr="00731644">
        <w:rPr>
          <w:bCs/>
          <w:lang w:val="fr-CH"/>
        </w:rPr>
        <w:t xml:space="preserve"> </w:t>
      </w:r>
      <w:r w:rsidR="00ED593D" w:rsidRPr="00731644">
        <w:rPr>
          <w:bCs/>
          <w:lang w:val="fr-CH"/>
        </w:rPr>
        <w:t xml:space="preserve">pédagogiques, des manuels </w:t>
      </w:r>
      <w:r w:rsidR="002F38A2" w:rsidRPr="00731644">
        <w:rPr>
          <w:bCs/>
          <w:lang w:val="fr-CH"/>
        </w:rPr>
        <w:t>d</w:t>
      </w:r>
      <w:r w:rsidR="00425386" w:rsidRPr="00731644">
        <w:rPr>
          <w:bCs/>
          <w:lang w:val="fr-CH"/>
        </w:rPr>
        <w:t>’</w:t>
      </w:r>
      <w:r w:rsidR="00ED593D" w:rsidRPr="00731644">
        <w:rPr>
          <w:bCs/>
          <w:lang w:val="fr-CH"/>
        </w:rPr>
        <w:t xml:space="preserve">une valeur </w:t>
      </w:r>
      <w:r w:rsidR="002F38A2" w:rsidRPr="00731644">
        <w:rPr>
          <w:bCs/>
          <w:lang w:val="fr-CH"/>
        </w:rPr>
        <w:t xml:space="preserve">totale </w:t>
      </w:r>
      <w:r w:rsidR="00ED593D" w:rsidRPr="00731644">
        <w:rPr>
          <w:bCs/>
          <w:lang w:val="fr-CH"/>
        </w:rPr>
        <w:t xml:space="preserve">de </w:t>
      </w:r>
      <w:r w:rsidR="00425386" w:rsidRPr="00731644">
        <w:rPr>
          <w:bCs/>
          <w:lang w:val="fr-CH"/>
        </w:rPr>
        <w:t>€ </w:t>
      </w:r>
      <w:r w:rsidR="004C7BF6" w:rsidRPr="00731644">
        <w:rPr>
          <w:bCs/>
          <w:lang w:val="fr-CH"/>
        </w:rPr>
        <w:t>33</w:t>
      </w:r>
      <w:r w:rsidR="00ED593D" w:rsidRPr="00731644">
        <w:rPr>
          <w:bCs/>
          <w:lang w:val="fr-CH"/>
        </w:rPr>
        <w:t> </w:t>
      </w:r>
      <w:r w:rsidR="004C7BF6" w:rsidRPr="00731644">
        <w:rPr>
          <w:bCs/>
          <w:lang w:val="fr-CH"/>
        </w:rPr>
        <w:t>387</w:t>
      </w:r>
      <w:r w:rsidR="00ED593D" w:rsidRPr="00731644">
        <w:rPr>
          <w:bCs/>
          <w:lang w:val="fr-CH"/>
        </w:rPr>
        <w:t>,</w:t>
      </w:r>
      <w:r w:rsidR="004C7BF6" w:rsidRPr="00731644">
        <w:rPr>
          <w:bCs/>
          <w:lang w:val="fr-CH"/>
        </w:rPr>
        <w:t xml:space="preserve">50. </w:t>
      </w:r>
      <w:r w:rsidR="00ED593D" w:rsidRPr="00731644">
        <w:rPr>
          <w:bCs/>
          <w:lang w:val="fr-CH"/>
        </w:rPr>
        <w:t>Pour l</w:t>
      </w:r>
      <w:r w:rsidR="00425386" w:rsidRPr="00731644">
        <w:rPr>
          <w:bCs/>
          <w:lang w:val="fr-CH"/>
        </w:rPr>
        <w:t>’</w:t>
      </w:r>
      <w:r w:rsidR="00ED593D" w:rsidRPr="00731644">
        <w:rPr>
          <w:bCs/>
          <w:lang w:val="fr-CH"/>
        </w:rPr>
        <w:t>année sco</w:t>
      </w:r>
      <w:r w:rsidR="00A46E64" w:rsidRPr="00731644">
        <w:rPr>
          <w:bCs/>
          <w:lang w:val="fr-CH"/>
        </w:rPr>
        <w:t>l</w:t>
      </w:r>
      <w:r w:rsidR="00ED593D" w:rsidRPr="00731644">
        <w:rPr>
          <w:bCs/>
          <w:lang w:val="fr-CH"/>
        </w:rPr>
        <w:t>aire</w:t>
      </w:r>
      <w:r w:rsidR="002F38A2" w:rsidRPr="00731644">
        <w:rPr>
          <w:bCs/>
          <w:lang w:val="fr-CH"/>
        </w:rPr>
        <w:t xml:space="preserve"> </w:t>
      </w:r>
      <w:r w:rsidR="00A46E64" w:rsidRPr="00731644">
        <w:rPr>
          <w:bCs/>
          <w:lang w:val="fr-CH"/>
        </w:rPr>
        <w:t>2010/2011,</w:t>
      </w:r>
      <w:r w:rsidR="00ED593D" w:rsidRPr="00731644">
        <w:rPr>
          <w:bCs/>
          <w:lang w:val="fr-CH"/>
        </w:rPr>
        <w:t xml:space="preserve"> l</w:t>
      </w:r>
      <w:r w:rsidR="00425386" w:rsidRPr="00731644">
        <w:rPr>
          <w:bCs/>
          <w:lang w:val="fr-CH"/>
        </w:rPr>
        <w:t>’</w:t>
      </w:r>
      <w:r w:rsidR="00ED593D" w:rsidRPr="00731644">
        <w:rPr>
          <w:bCs/>
          <w:lang w:val="fr-CH"/>
        </w:rPr>
        <w:t>équipe du Ministère de l</w:t>
      </w:r>
      <w:r w:rsidR="00425386" w:rsidRPr="00731644">
        <w:rPr>
          <w:bCs/>
          <w:lang w:val="fr-CH"/>
        </w:rPr>
        <w:t>’</w:t>
      </w:r>
      <w:r w:rsidR="00ED593D" w:rsidRPr="00731644">
        <w:rPr>
          <w:bCs/>
          <w:lang w:val="fr-CH"/>
        </w:rPr>
        <w:t xml:space="preserve">éducation et des sports a </w:t>
      </w:r>
      <w:r w:rsidR="002F38A2" w:rsidRPr="00731644">
        <w:rPr>
          <w:bCs/>
          <w:lang w:val="fr-CH"/>
        </w:rPr>
        <w:t>dressé</w:t>
      </w:r>
      <w:r w:rsidR="00A46E64" w:rsidRPr="00731644">
        <w:rPr>
          <w:bCs/>
          <w:lang w:val="fr-CH"/>
        </w:rPr>
        <w:t xml:space="preserve">, en coopération avec la Croix-Rouge du Monténégro, une liste des enfants qui ne sont pas intégrés au système éducatif </w:t>
      </w:r>
      <w:r w:rsidR="004C7BF6" w:rsidRPr="00731644">
        <w:rPr>
          <w:bCs/>
          <w:lang w:val="fr-CH"/>
        </w:rPr>
        <w:t>(</w:t>
      </w:r>
      <w:r w:rsidR="00A46E64" w:rsidRPr="00731644">
        <w:rPr>
          <w:bCs/>
          <w:lang w:val="fr-CH"/>
        </w:rPr>
        <w:t>c</w:t>
      </w:r>
      <w:r w:rsidR="004C7BF6" w:rsidRPr="00731644">
        <w:rPr>
          <w:bCs/>
          <w:lang w:val="fr-CH"/>
        </w:rPr>
        <w:t>amp</w:t>
      </w:r>
      <w:r w:rsidR="00A46E64" w:rsidRPr="00731644">
        <w:rPr>
          <w:bCs/>
          <w:lang w:val="fr-CH"/>
        </w:rPr>
        <w:t>s</w:t>
      </w:r>
      <w:r w:rsidR="004C7BF6" w:rsidRPr="00731644">
        <w:rPr>
          <w:bCs/>
          <w:lang w:val="fr-CH"/>
        </w:rPr>
        <w:t xml:space="preserve"> </w:t>
      </w:r>
      <w:r w:rsidR="00A46E64" w:rsidRPr="00731644">
        <w:rPr>
          <w:bCs/>
          <w:lang w:val="fr-CH"/>
        </w:rPr>
        <w:t xml:space="preserve">de </w:t>
      </w:r>
      <w:r w:rsidR="004C7BF6" w:rsidRPr="00731644">
        <w:rPr>
          <w:bCs/>
          <w:lang w:val="fr-CH"/>
        </w:rPr>
        <w:t xml:space="preserve">Konik 1 </w:t>
      </w:r>
      <w:r w:rsidR="00A46E64" w:rsidRPr="00731644">
        <w:rPr>
          <w:bCs/>
          <w:lang w:val="fr-CH"/>
        </w:rPr>
        <w:t>et</w:t>
      </w:r>
      <w:r w:rsidR="004C7BF6" w:rsidRPr="00731644">
        <w:rPr>
          <w:bCs/>
          <w:lang w:val="fr-CH"/>
        </w:rPr>
        <w:t xml:space="preserve"> 2). </w:t>
      </w:r>
      <w:r w:rsidR="00A46E64" w:rsidRPr="00731644">
        <w:rPr>
          <w:bCs/>
          <w:lang w:val="fr-CH"/>
        </w:rPr>
        <w:t xml:space="preserve">Le </w:t>
      </w:r>
      <w:r w:rsidR="002F38A2" w:rsidRPr="00731644">
        <w:rPr>
          <w:bCs/>
          <w:lang w:val="fr-CH"/>
        </w:rPr>
        <w:t>M</w:t>
      </w:r>
      <w:r w:rsidR="00A46E64" w:rsidRPr="00731644">
        <w:rPr>
          <w:bCs/>
          <w:lang w:val="fr-CH"/>
        </w:rPr>
        <w:t xml:space="preserve">inistère a </w:t>
      </w:r>
      <w:r w:rsidR="005F2B0F" w:rsidRPr="00731644">
        <w:rPr>
          <w:bCs/>
          <w:lang w:val="fr-CH"/>
        </w:rPr>
        <w:t>mis à la disposition de</w:t>
      </w:r>
      <w:r w:rsidR="00BF569A" w:rsidRPr="00731644">
        <w:rPr>
          <w:bCs/>
          <w:lang w:val="fr-CH"/>
        </w:rPr>
        <w:t xml:space="preserve"> 55 enfants</w:t>
      </w:r>
      <w:r w:rsidR="00F31DD5" w:rsidRPr="00731644">
        <w:rPr>
          <w:bCs/>
          <w:lang w:val="fr-CH"/>
        </w:rPr>
        <w:t xml:space="preserve"> </w:t>
      </w:r>
      <w:r w:rsidR="00A46E64" w:rsidRPr="00731644">
        <w:rPr>
          <w:bCs/>
          <w:lang w:val="fr-CH"/>
        </w:rPr>
        <w:t xml:space="preserve">les </w:t>
      </w:r>
      <w:r w:rsidR="00A332AD" w:rsidRPr="00731644">
        <w:rPr>
          <w:bCs/>
          <w:lang w:val="fr-CH"/>
        </w:rPr>
        <w:t>vêtements</w:t>
      </w:r>
      <w:r w:rsidR="00A46E64" w:rsidRPr="00731644">
        <w:rPr>
          <w:bCs/>
          <w:lang w:val="fr-CH"/>
        </w:rPr>
        <w:t xml:space="preserve">, les manuels et les fournitures scolaires nécessaires, pour un montant de </w:t>
      </w:r>
      <w:r w:rsidR="00425386" w:rsidRPr="00731644">
        <w:rPr>
          <w:bCs/>
          <w:lang w:val="fr-CH"/>
        </w:rPr>
        <w:t>€ </w:t>
      </w:r>
      <w:r w:rsidR="004C7BF6" w:rsidRPr="00731644">
        <w:rPr>
          <w:bCs/>
          <w:lang w:val="fr-CH"/>
        </w:rPr>
        <w:t>3</w:t>
      </w:r>
      <w:r w:rsidR="00A46E64" w:rsidRPr="00731644">
        <w:rPr>
          <w:bCs/>
          <w:lang w:val="fr-CH"/>
        </w:rPr>
        <w:t> </w:t>
      </w:r>
      <w:r w:rsidR="004C7BF6" w:rsidRPr="00731644">
        <w:rPr>
          <w:bCs/>
          <w:lang w:val="fr-CH"/>
        </w:rPr>
        <w:t>600</w:t>
      </w:r>
      <w:r w:rsidR="00A46E64" w:rsidRPr="00731644">
        <w:rPr>
          <w:bCs/>
          <w:lang w:val="fr-CH"/>
        </w:rPr>
        <w:t>,</w:t>
      </w:r>
      <w:r w:rsidR="004C7BF6" w:rsidRPr="00731644">
        <w:rPr>
          <w:bCs/>
          <w:lang w:val="fr-CH"/>
        </w:rPr>
        <w:t xml:space="preserve">00. </w:t>
      </w:r>
      <w:r w:rsidR="00A46E64" w:rsidRPr="00731644">
        <w:rPr>
          <w:bCs/>
          <w:lang w:val="fr-CH"/>
        </w:rPr>
        <w:t>Depuis l</w:t>
      </w:r>
      <w:r w:rsidR="00425386" w:rsidRPr="00731644">
        <w:rPr>
          <w:bCs/>
          <w:lang w:val="fr-CH"/>
        </w:rPr>
        <w:t>’</w:t>
      </w:r>
      <w:r w:rsidR="00A46E64" w:rsidRPr="00731644">
        <w:rPr>
          <w:bCs/>
          <w:lang w:val="fr-CH"/>
        </w:rPr>
        <w:t>année sco</w:t>
      </w:r>
      <w:r w:rsidR="003B1113" w:rsidRPr="00731644">
        <w:rPr>
          <w:bCs/>
          <w:lang w:val="fr-CH"/>
        </w:rPr>
        <w:t>l</w:t>
      </w:r>
      <w:r w:rsidR="00A46E64" w:rsidRPr="00731644">
        <w:rPr>
          <w:bCs/>
          <w:lang w:val="fr-CH"/>
        </w:rPr>
        <w:t>aire</w:t>
      </w:r>
      <w:r w:rsidR="004C7BF6" w:rsidRPr="00731644">
        <w:rPr>
          <w:bCs/>
          <w:lang w:val="fr-CH"/>
        </w:rPr>
        <w:t xml:space="preserve"> 2008/09, </w:t>
      </w:r>
      <w:r w:rsidR="00A46E64" w:rsidRPr="00731644">
        <w:rPr>
          <w:bCs/>
          <w:lang w:val="fr-CH"/>
        </w:rPr>
        <w:t>l</w:t>
      </w:r>
      <w:r w:rsidR="003B1113" w:rsidRPr="00731644">
        <w:rPr>
          <w:bCs/>
          <w:lang w:val="fr-CH"/>
        </w:rPr>
        <w:t>e</w:t>
      </w:r>
      <w:r w:rsidR="00A46E64" w:rsidRPr="00731644">
        <w:rPr>
          <w:bCs/>
          <w:lang w:val="fr-CH"/>
        </w:rPr>
        <w:t xml:space="preserve"> Ministère, en coopération avec la </w:t>
      </w:r>
      <w:r w:rsidR="003B1113" w:rsidRPr="00731644">
        <w:rPr>
          <w:bCs/>
          <w:lang w:val="fr-CH"/>
        </w:rPr>
        <w:t>Croix-Rouge du Monténégro, mène des activités de déségrégation de l</w:t>
      </w:r>
      <w:r w:rsidR="00425386" w:rsidRPr="00731644">
        <w:rPr>
          <w:bCs/>
          <w:lang w:val="fr-CH"/>
        </w:rPr>
        <w:t>’</w:t>
      </w:r>
      <w:r w:rsidR="003B1113" w:rsidRPr="00731644">
        <w:rPr>
          <w:bCs/>
          <w:lang w:val="fr-CH"/>
        </w:rPr>
        <w:t>éducation au bénéfice</w:t>
      </w:r>
      <w:r w:rsidR="00F31DD5" w:rsidRPr="00731644">
        <w:rPr>
          <w:bCs/>
          <w:lang w:val="fr-CH"/>
        </w:rPr>
        <w:t xml:space="preserve"> </w:t>
      </w:r>
      <w:r w:rsidR="003B1113" w:rsidRPr="00731644">
        <w:rPr>
          <w:bCs/>
          <w:lang w:val="fr-CH"/>
        </w:rPr>
        <w:t xml:space="preserve">des Roms du camp de Konik en fournissant gratuitement aux enfants des manuels et des moyens de transport entre le camp et les écoles de la ville (quelque </w:t>
      </w:r>
      <w:r w:rsidR="00425386" w:rsidRPr="00731644">
        <w:rPr>
          <w:bCs/>
          <w:lang w:val="fr-CH"/>
        </w:rPr>
        <w:t>€ </w:t>
      </w:r>
      <w:r w:rsidR="003B1113" w:rsidRPr="00731644">
        <w:rPr>
          <w:bCs/>
          <w:lang w:val="fr-CH"/>
        </w:rPr>
        <w:t xml:space="preserve">1 300 </w:t>
      </w:r>
      <w:r w:rsidR="004B3722" w:rsidRPr="00731644">
        <w:rPr>
          <w:bCs/>
          <w:lang w:val="fr-CH"/>
        </w:rPr>
        <w:t xml:space="preserve">mensuels sont alloués en moyenne à cette </w:t>
      </w:r>
      <w:r w:rsidR="005F2B0F" w:rsidRPr="00731644">
        <w:rPr>
          <w:bCs/>
          <w:lang w:val="fr-CH"/>
        </w:rPr>
        <w:t>fin</w:t>
      </w:r>
      <w:r w:rsidR="004B3722" w:rsidRPr="00731644">
        <w:rPr>
          <w:bCs/>
          <w:lang w:val="fr-CH"/>
        </w:rPr>
        <w:t>).</w:t>
      </w:r>
      <w:r w:rsidR="003B1113" w:rsidRPr="00731644">
        <w:rPr>
          <w:bCs/>
          <w:lang w:val="fr-CH"/>
        </w:rPr>
        <w:t xml:space="preserve"> </w:t>
      </w:r>
    </w:p>
    <w:p w:rsidR="00B1180A" w:rsidRPr="00731644" w:rsidRDefault="000B213E" w:rsidP="00B1180A">
      <w:pPr>
        <w:pStyle w:val="SingleTxtG"/>
        <w:rPr>
          <w:bCs/>
          <w:lang w:val="fr-CH"/>
        </w:rPr>
      </w:pPr>
      <w:r w:rsidRPr="00731644">
        <w:rPr>
          <w:bCs/>
          <w:lang w:val="fr-CH"/>
        </w:rPr>
        <w:t>296.</w:t>
      </w:r>
      <w:r w:rsidRPr="00731644">
        <w:rPr>
          <w:bCs/>
          <w:lang w:val="fr-CH"/>
        </w:rPr>
        <w:tab/>
      </w:r>
      <w:r w:rsidR="004B3722" w:rsidRPr="00731644">
        <w:rPr>
          <w:bCs/>
          <w:lang w:val="fr-CH"/>
        </w:rPr>
        <w:t>Un soutien spécial est apporté à l</w:t>
      </w:r>
      <w:r w:rsidR="00425386" w:rsidRPr="00731644">
        <w:rPr>
          <w:bCs/>
          <w:lang w:val="fr-CH"/>
        </w:rPr>
        <w:t>’</w:t>
      </w:r>
      <w:r w:rsidR="004B3722" w:rsidRPr="00731644">
        <w:rPr>
          <w:bCs/>
          <w:lang w:val="fr-CH"/>
        </w:rPr>
        <w:t xml:space="preserve">école publique élémentaire </w:t>
      </w:r>
      <w:r w:rsidR="002061AB">
        <w:rPr>
          <w:bCs/>
          <w:lang w:val="fr-CH"/>
        </w:rPr>
        <w:t>«</w:t>
      </w:r>
      <w:r w:rsidR="004C7BF6" w:rsidRPr="00731644">
        <w:rPr>
          <w:bCs/>
          <w:lang w:val="fr-CH"/>
        </w:rPr>
        <w:t>Bozidar Vukovic Podgoričanin</w:t>
      </w:r>
      <w:r w:rsidR="002061AB">
        <w:rPr>
          <w:bCs/>
          <w:lang w:val="fr-CH"/>
        </w:rPr>
        <w:t>»</w:t>
      </w:r>
      <w:r w:rsidR="002F38A2" w:rsidRPr="00731644">
        <w:rPr>
          <w:bCs/>
          <w:lang w:val="fr-CH"/>
        </w:rPr>
        <w:t>,</w:t>
      </w:r>
      <w:r w:rsidR="004C7BF6" w:rsidRPr="00731644">
        <w:rPr>
          <w:bCs/>
          <w:lang w:val="fr-CH"/>
        </w:rPr>
        <w:t xml:space="preserve"> </w:t>
      </w:r>
      <w:r w:rsidR="00514BCE" w:rsidRPr="00731644">
        <w:rPr>
          <w:bCs/>
          <w:lang w:val="fr-CH"/>
        </w:rPr>
        <w:t>à proximité de laquelle se trouve le camp de Konik</w:t>
      </w:r>
      <w:r w:rsidR="00F31DD5" w:rsidRPr="00731644">
        <w:rPr>
          <w:bCs/>
          <w:lang w:val="fr-CH"/>
        </w:rPr>
        <w:t xml:space="preserve"> </w:t>
      </w:r>
      <w:r w:rsidR="004C7BF6" w:rsidRPr="00731644">
        <w:rPr>
          <w:bCs/>
          <w:lang w:val="fr-CH"/>
        </w:rPr>
        <w:t>(</w:t>
      </w:r>
      <w:r w:rsidR="00514BCE" w:rsidRPr="00731644">
        <w:rPr>
          <w:bCs/>
          <w:lang w:val="fr-CH"/>
        </w:rPr>
        <w:t xml:space="preserve">où sont installés les réfugiés et </w:t>
      </w:r>
      <w:r w:rsidR="00CB7658" w:rsidRPr="00731644">
        <w:rPr>
          <w:bCs/>
          <w:lang w:val="fr-CH"/>
        </w:rPr>
        <w:t>les personnes</w:t>
      </w:r>
      <w:r w:rsidR="00514BCE" w:rsidRPr="00731644">
        <w:rPr>
          <w:bCs/>
          <w:lang w:val="fr-CH"/>
        </w:rPr>
        <w:t xml:space="preserve"> déplacées du Kosovo</w:t>
      </w:r>
      <w:r w:rsidR="004C7BF6" w:rsidRPr="00731644">
        <w:rPr>
          <w:bCs/>
          <w:lang w:val="fr-CH"/>
        </w:rPr>
        <w:t xml:space="preserve">). </w:t>
      </w:r>
      <w:r w:rsidR="00514BCE" w:rsidRPr="00731644">
        <w:rPr>
          <w:bCs/>
          <w:lang w:val="fr-CH"/>
        </w:rPr>
        <w:t xml:space="preserve">Ces cinq dernières années scolaires, </w:t>
      </w:r>
      <w:r w:rsidR="002F38A2" w:rsidRPr="00731644">
        <w:rPr>
          <w:bCs/>
          <w:lang w:val="fr-CH"/>
        </w:rPr>
        <w:t xml:space="preserve">les manuels ont été fournis à </w:t>
      </w:r>
      <w:r w:rsidR="00514BCE" w:rsidRPr="00731644">
        <w:rPr>
          <w:bCs/>
          <w:lang w:val="fr-CH"/>
        </w:rPr>
        <w:t>tous les élèves rom</w:t>
      </w:r>
      <w:r w:rsidR="002F38A2" w:rsidRPr="00731644">
        <w:rPr>
          <w:bCs/>
          <w:lang w:val="fr-CH"/>
        </w:rPr>
        <w:t>s</w:t>
      </w:r>
      <w:r w:rsidR="00514BCE" w:rsidRPr="00731644">
        <w:rPr>
          <w:bCs/>
          <w:lang w:val="fr-CH"/>
        </w:rPr>
        <w:t xml:space="preserve">, </w:t>
      </w:r>
      <w:r w:rsidR="002A5033" w:rsidRPr="00731644">
        <w:rPr>
          <w:bCs/>
          <w:lang w:val="fr-CH"/>
        </w:rPr>
        <w:t>ashkali</w:t>
      </w:r>
      <w:r w:rsidR="00514BCE" w:rsidRPr="00731644">
        <w:rPr>
          <w:bCs/>
          <w:lang w:val="fr-CH"/>
        </w:rPr>
        <w:t xml:space="preserve"> et </w:t>
      </w:r>
      <w:r w:rsidR="002F38A2" w:rsidRPr="00731644">
        <w:rPr>
          <w:bCs/>
          <w:lang w:val="fr-CH"/>
        </w:rPr>
        <w:t>tziga</w:t>
      </w:r>
      <w:r w:rsidR="00514BCE" w:rsidRPr="00731644">
        <w:rPr>
          <w:bCs/>
          <w:lang w:val="fr-CH"/>
        </w:rPr>
        <w:t>ne</w:t>
      </w:r>
      <w:r w:rsidR="002F38A2" w:rsidRPr="00731644">
        <w:rPr>
          <w:bCs/>
          <w:lang w:val="fr-CH"/>
        </w:rPr>
        <w:t>s</w:t>
      </w:r>
      <w:r w:rsidR="00514BCE" w:rsidRPr="00731644">
        <w:rPr>
          <w:bCs/>
          <w:lang w:val="fr-CH"/>
        </w:rPr>
        <w:t xml:space="preserve">. Les enseignants ont </w:t>
      </w:r>
      <w:r w:rsidR="007E13B4" w:rsidRPr="00731644">
        <w:rPr>
          <w:bCs/>
          <w:lang w:val="fr-CH"/>
        </w:rPr>
        <w:t>participé à</w:t>
      </w:r>
      <w:r w:rsidR="00514BCE" w:rsidRPr="00731644">
        <w:rPr>
          <w:bCs/>
          <w:lang w:val="fr-CH"/>
        </w:rPr>
        <w:t xml:space="preserve"> de</w:t>
      </w:r>
      <w:r w:rsidR="007E13B4" w:rsidRPr="00731644">
        <w:rPr>
          <w:bCs/>
          <w:lang w:val="fr-CH"/>
        </w:rPr>
        <w:t>s</w:t>
      </w:r>
      <w:r w:rsidR="00514BCE" w:rsidRPr="00731644">
        <w:rPr>
          <w:bCs/>
          <w:lang w:val="fr-CH"/>
        </w:rPr>
        <w:t xml:space="preserve"> séminaires </w:t>
      </w:r>
      <w:r w:rsidR="001E5999" w:rsidRPr="00731644">
        <w:rPr>
          <w:bCs/>
          <w:lang w:val="fr-CH"/>
        </w:rPr>
        <w:t>qui ont eu notamment pour thèmes</w:t>
      </w:r>
      <w:r w:rsidR="00F31DD5" w:rsidRPr="00731644">
        <w:rPr>
          <w:bCs/>
          <w:lang w:val="fr-CH"/>
        </w:rPr>
        <w:t>:</w:t>
      </w:r>
      <w:r w:rsidR="004C7BF6" w:rsidRPr="00731644">
        <w:rPr>
          <w:bCs/>
          <w:lang w:val="fr-CH"/>
        </w:rPr>
        <w:t xml:space="preserve"> </w:t>
      </w:r>
      <w:r w:rsidR="001E5999" w:rsidRPr="00731644">
        <w:rPr>
          <w:bCs/>
          <w:lang w:val="fr-CH"/>
        </w:rPr>
        <w:t>L</w:t>
      </w:r>
      <w:r w:rsidR="00425386" w:rsidRPr="00731644">
        <w:rPr>
          <w:bCs/>
          <w:lang w:val="fr-CH"/>
        </w:rPr>
        <w:t>’</w:t>
      </w:r>
      <w:r w:rsidR="001E5999" w:rsidRPr="00731644">
        <w:rPr>
          <w:bCs/>
          <w:lang w:val="fr-CH"/>
        </w:rPr>
        <w:t>i</w:t>
      </w:r>
      <w:r w:rsidR="004C7BF6" w:rsidRPr="00731644">
        <w:rPr>
          <w:bCs/>
          <w:lang w:val="fr-CH"/>
        </w:rPr>
        <w:t>nd</w:t>
      </w:r>
      <w:r w:rsidR="00514BCE" w:rsidRPr="00731644">
        <w:rPr>
          <w:bCs/>
          <w:lang w:val="fr-CH"/>
        </w:rPr>
        <w:t>ice d</w:t>
      </w:r>
      <w:r w:rsidR="00425386" w:rsidRPr="00731644">
        <w:rPr>
          <w:bCs/>
          <w:lang w:val="fr-CH"/>
        </w:rPr>
        <w:t>’</w:t>
      </w:r>
      <w:r w:rsidR="00514BCE" w:rsidRPr="00731644">
        <w:rPr>
          <w:bCs/>
          <w:lang w:val="fr-CH"/>
        </w:rPr>
        <w:t>i</w:t>
      </w:r>
      <w:r w:rsidR="004C7BF6" w:rsidRPr="00731644">
        <w:rPr>
          <w:bCs/>
          <w:lang w:val="fr-CH"/>
        </w:rPr>
        <w:t xml:space="preserve">nclusion </w:t>
      </w:r>
      <w:r w:rsidR="00514BCE" w:rsidRPr="00731644">
        <w:rPr>
          <w:bCs/>
          <w:lang w:val="fr-CH"/>
        </w:rPr>
        <w:t>(</w:t>
      </w:r>
      <w:r w:rsidR="004C7BF6" w:rsidRPr="00731644">
        <w:rPr>
          <w:bCs/>
          <w:lang w:val="fr-CH"/>
        </w:rPr>
        <w:t>35</w:t>
      </w:r>
      <w:r w:rsidR="005C5A77">
        <w:rPr>
          <w:bCs/>
          <w:lang w:val="fr-CH"/>
        </w:rPr>
        <w:t> </w:t>
      </w:r>
      <w:r w:rsidR="00514BCE" w:rsidRPr="00731644">
        <w:rPr>
          <w:bCs/>
          <w:lang w:val="fr-CH"/>
        </w:rPr>
        <w:t>enseignants),</w:t>
      </w:r>
      <w:r w:rsidR="004C7BF6" w:rsidRPr="00731644">
        <w:rPr>
          <w:bCs/>
          <w:lang w:val="fr-CH"/>
        </w:rPr>
        <w:t xml:space="preserve"> </w:t>
      </w:r>
      <w:r w:rsidR="00514BCE" w:rsidRPr="00731644">
        <w:rPr>
          <w:bCs/>
          <w:lang w:val="fr-CH"/>
        </w:rPr>
        <w:t xml:space="preserve">La paix et la tolérance – </w:t>
      </w:r>
      <w:r w:rsidR="002B43A1" w:rsidRPr="00731644">
        <w:rPr>
          <w:bCs/>
          <w:lang w:val="fr-CH"/>
        </w:rPr>
        <w:t>L</w:t>
      </w:r>
      <w:r w:rsidR="00425386" w:rsidRPr="00731644">
        <w:rPr>
          <w:bCs/>
          <w:lang w:val="fr-CH"/>
        </w:rPr>
        <w:t>’</w:t>
      </w:r>
      <w:r w:rsidR="002B43A1" w:rsidRPr="00731644">
        <w:rPr>
          <w:bCs/>
          <w:lang w:val="fr-CH"/>
        </w:rPr>
        <w:t>imagination au service de la</w:t>
      </w:r>
      <w:r w:rsidR="00F31DD5" w:rsidRPr="00731644">
        <w:rPr>
          <w:bCs/>
          <w:lang w:val="fr-CH"/>
        </w:rPr>
        <w:t xml:space="preserve"> </w:t>
      </w:r>
      <w:r w:rsidR="001E5999" w:rsidRPr="00731644">
        <w:rPr>
          <w:bCs/>
          <w:lang w:val="fr-CH"/>
        </w:rPr>
        <w:t>réso</w:t>
      </w:r>
      <w:r w:rsidR="002B43A1" w:rsidRPr="00731644">
        <w:rPr>
          <w:bCs/>
          <w:lang w:val="fr-CH"/>
        </w:rPr>
        <w:t>lution d</w:t>
      </w:r>
      <w:r w:rsidR="00514BCE" w:rsidRPr="00731644">
        <w:rPr>
          <w:bCs/>
          <w:lang w:val="fr-CH"/>
        </w:rPr>
        <w:t>es problèmes (</w:t>
      </w:r>
      <w:r w:rsidR="004C7BF6" w:rsidRPr="00731644">
        <w:rPr>
          <w:bCs/>
          <w:lang w:val="fr-CH"/>
        </w:rPr>
        <w:t xml:space="preserve">32 </w:t>
      </w:r>
      <w:r w:rsidR="00514BCE" w:rsidRPr="00731644">
        <w:rPr>
          <w:bCs/>
          <w:lang w:val="fr-CH"/>
        </w:rPr>
        <w:t>enseignants)</w:t>
      </w:r>
      <w:r w:rsidR="004C7BF6" w:rsidRPr="00731644">
        <w:rPr>
          <w:bCs/>
          <w:lang w:val="fr-CH"/>
        </w:rPr>
        <w:t xml:space="preserve">, </w:t>
      </w:r>
      <w:r w:rsidR="00514BCE" w:rsidRPr="00731644">
        <w:rPr>
          <w:bCs/>
          <w:lang w:val="fr-CH"/>
        </w:rPr>
        <w:t>Pas à pas</w:t>
      </w:r>
      <w:r w:rsidR="004C7BF6" w:rsidRPr="00731644">
        <w:rPr>
          <w:bCs/>
          <w:lang w:val="fr-CH"/>
        </w:rPr>
        <w:t xml:space="preserve">, </w:t>
      </w:r>
      <w:r w:rsidR="001E5999" w:rsidRPr="00731644">
        <w:rPr>
          <w:bCs/>
          <w:lang w:val="fr-CH"/>
        </w:rPr>
        <w:t>niveaux I</w:t>
      </w:r>
      <w:r w:rsidR="004C7BF6" w:rsidRPr="00731644">
        <w:rPr>
          <w:bCs/>
          <w:lang w:val="fr-CH"/>
        </w:rPr>
        <w:t xml:space="preserve"> (28 </w:t>
      </w:r>
      <w:r w:rsidR="00514BCE" w:rsidRPr="00731644">
        <w:rPr>
          <w:bCs/>
          <w:lang w:val="fr-CH"/>
        </w:rPr>
        <w:t xml:space="preserve">enseignants) </w:t>
      </w:r>
      <w:r w:rsidR="007E13B4" w:rsidRPr="00731644">
        <w:rPr>
          <w:bCs/>
          <w:lang w:val="fr-CH"/>
        </w:rPr>
        <w:t xml:space="preserve">et </w:t>
      </w:r>
      <w:r w:rsidR="001E5999" w:rsidRPr="00731644">
        <w:rPr>
          <w:bCs/>
          <w:lang w:val="fr-CH"/>
        </w:rPr>
        <w:t>II</w:t>
      </w:r>
      <w:r w:rsidR="00514BCE" w:rsidRPr="00731644">
        <w:rPr>
          <w:bCs/>
          <w:lang w:val="fr-CH"/>
        </w:rPr>
        <w:t xml:space="preserve"> (26 enseignants</w:t>
      </w:r>
      <w:r w:rsidR="004C7BF6" w:rsidRPr="00731644">
        <w:rPr>
          <w:bCs/>
          <w:lang w:val="fr-CH"/>
        </w:rPr>
        <w:t>), D</w:t>
      </w:r>
      <w:r w:rsidR="007E13B4" w:rsidRPr="00731644">
        <w:rPr>
          <w:bCs/>
          <w:lang w:val="fr-CH"/>
        </w:rPr>
        <w:t>éveloppe</w:t>
      </w:r>
      <w:r w:rsidR="001E5999" w:rsidRPr="00731644">
        <w:rPr>
          <w:bCs/>
          <w:lang w:val="fr-CH"/>
        </w:rPr>
        <w:t>r la pensée</w:t>
      </w:r>
      <w:r w:rsidR="007E13B4" w:rsidRPr="00731644">
        <w:rPr>
          <w:bCs/>
          <w:lang w:val="fr-CH"/>
        </w:rPr>
        <w:t xml:space="preserve"> critique</w:t>
      </w:r>
      <w:r w:rsidR="004C7BF6" w:rsidRPr="00731644">
        <w:rPr>
          <w:bCs/>
          <w:lang w:val="fr-CH"/>
        </w:rPr>
        <w:t xml:space="preserve"> (18 </w:t>
      </w:r>
      <w:r w:rsidR="007E13B4" w:rsidRPr="00731644">
        <w:rPr>
          <w:bCs/>
          <w:lang w:val="fr-CH"/>
        </w:rPr>
        <w:t>enseignants</w:t>
      </w:r>
      <w:r w:rsidR="004C7BF6" w:rsidRPr="00731644">
        <w:rPr>
          <w:bCs/>
          <w:lang w:val="fr-CH"/>
        </w:rPr>
        <w:t>)</w:t>
      </w:r>
      <w:r w:rsidR="007E13B4" w:rsidRPr="00731644">
        <w:rPr>
          <w:bCs/>
          <w:lang w:val="fr-CH"/>
        </w:rPr>
        <w:t>, L</w:t>
      </w:r>
      <w:r w:rsidR="00425386" w:rsidRPr="00731644">
        <w:rPr>
          <w:bCs/>
          <w:lang w:val="fr-CH"/>
        </w:rPr>
        <w:t>’</w:t>
      </w:r>
      <w:r w:rsidR="007E13B4" w:rsidRPr="00731644">
        <w:rPr>
          <w:bCs/>
          <w:lang w:val="fr-CH"/>
        </w:rPr>
        <w:t>éd</w:t>
      </w:r>
      <w:r w:rsidR="004C7BF6" w:rsidRPr="00731644">
        <w:rPr>
          <w:bCs/>
          <w:lang w:val="fr-CH"/>
        </w:rPr>
        <w:t xml:space="preserve">ucation </w:t>
      </w:r>
      <w:r w:rsidR="002B43A1" w:rsidRPr="00731644">
        <w:rPr>
          <w:bCs/>
          <w:lang w:val="fr-CH"/>
        </w:rPr>
        <w:t>à l</w:t>
      </w:r>
      <w:r w:rsidR="00425386" w:rsidRPr="00731644">
        <w:rPr>
          <w:bCs/>
          <w:lang w:val="fr-CH"/>
        </w:rPr>
        <w:t>’</w:t>
      </w:r>
      <w:r w:rsidR="002B43A1" w:rsidRPr="00731644">
        <w:rPr>
          <w:bCs/>
          <w:lang w:val="fr-CH"/>
        </w:rPr>
        <w:t>appui</w:t>
      </w:r>
      <w:r w:rsidR="007E13B4" w:rsidRPr="00731644">
        <w:rPr>
          <w:bCs/>
          <w:lang w:val="fr-CH"/>
        </w:rPr>
        <w:t xml:space="preserve"> de la</w:t>
      </w:r>
      <w:r w:rsidR="004C7BF6" w:rsidRPr="00731644">
        <w:rPr>
          <w:bCs/>
          <w:lang w:val="fr-CH"/>
        </w:rPr>
        <w:t xml:space="preserve"> justice </w:t>
      </w:r>
      <w:r w:rsidR="007E13B4" w:rsidRPr="00731644">
        <w:rPr>
          <w:bCs/>
          <w:lang w:val="fr-CH"/>
        </w:rPr>
        <w:t>sociale –</w:t>
      </w:r>
      <w:r w:rsidR="004C7BF6" w:rsidRPr="00731644">
        <w:rPr>
          <w:bCs/>
          <w:lang w:val="fr-CH"/>
        </w:rPr>
        <w:t xml:space="preserve"> </w:t>
      </w:r>
      <w:r w:rsidR="007E13B4" w:rsidRPr="00731644">
        <w:rPr>
          <w:bCs/>
          <w:lang w:val="fr-CH"/>
        </w:rPr>
        <w:t>Lutter conte les stéréotypes et les préjugés</w:t>
      </w:r>
      <w:r w:rsidR="004C7BF6" w:rsidRPr="00731644">
        <w:rPr>
          <w:bCs/>
          <w:lang w:val="fr-CH"/>
        </w:rPr>
        <w:t xml:space="preserve"> (25</w:t>
      </w:r>
      <w:r w:rsidR="005C5A77">
        <w:rPr>
          <w:bCs/>
          <w:lang w:val="fr-CH"/>
        </w:rPr>
        <w:t> </w:t>
      </w:r>
      <w:r w:rsidR="007E13B4" w:rsidRPr="00731644">
        <w:rPr>
          <w:bCs/>
          <w:lang w:val="fr-CH"/>
        </w:rPr>
        <w:t>enseignants</w:t>
      </w:r>
      <w:r w:rsidR="004C7BF6" w:rsidRPr="00731644">
        <w:rPr>
          <w:bCs/>
          <w:lang w:val="fr-CH"/>
        </w:rPr>
        <w:t xml:space="preserve">), </w:t>
      </w:r>
      <w:r w:rsidR="007E13B4" w:rsidRPr="00731644">
        <w:rPr>
          <w:bCs/>
          <w:lang w:val="fr-CH"/>
        </w:rPr>
        <w:t>L</w:t>
      </w:r>
      <w:r w:rsidR="00425386" w:rsidRPr="00731644">
        <w:rPr>
          <w:bCs/>
          <w:lang w:val="fr-CH"/>
        </w:rPr>
        <w:t>’</w:t>
      </w:r>
      <w:r w:rsidR="007E13B4" w:rsidRPr="00731644">
        <w:rPr>
          <w:bCs/>
          <w:lang w:val="fr-CH"/>
        </w:rPr>
        <w:t>apprentissage actif</w:t>
      </w:r>
      <w:r w:rsidR="004C7BF6" w:rsidRPr="00731644">
        <w:rPr>
          <w:bCs/>
          <w:lang w:val="fr-CH"/>
        </w:rPr>
        <w:t xml:space="preserve"> (48</w:t>
      </w:r>
      <w:r w:rsidR="005C5A77">
        <w:rPr>
          <w:bCs/>
          <w:lang w:val="fr-CH"/>
        </w:rPr>
        <w:t> </w:t>
      </w:r>
      <w:r w:rsidR="007E13B4" w:rsidRPr="00731644">
        <w:rPr>
          <w:bCs/>
          <w:lang w:val="fr-CH"/>
        </w:rPr>
        <w:t>enseignants</w:t>
      </w:r>
      <w:r w:rsidR="004C7BF6" w:rsidRPr="00731644">
        <w:rPr>
          <w:bCs/>
          <w:lang w:val="fr-CH"/>
        </w:rPr>
        <w:t xml:space="preserve">), </w:t>
      </w:r>
      <w:r w:rsidR="007E13B4" w:rsidRPr="00731644">
        <w:rPr>
          <w:bCs/>
          <w:lang w:val="fr-CH"/>
        </w:rPr>
        <w:t>Méthodes novatrices d</w:t>
      </w:r>
      <w:r w:rsidR="00425386" w:rsidRPr="00731644">
        <w:rPr>
          <w:bCs/>
          <w:lang w:val="fr-CH"/>
        </w:rPr>
        <w:t>’</w:t>
      </w:r>
      <w:r w:rsidR="007E13B4" w:rsidRPr="00731644">
        <w:rPr>
          <w:bCs/>
          <w:lang w:val="fr-CH"/>
        </w:rPr>
        <w:t>éducation pour l</w:t>
      </w:r>
      <w:r w:rsidR="00425386" w:rsidRPr="00731644">
        <w:rPr>
          <w:bCs/>
          <w:lang w:val="fr-CH"/>
        </w:rPr>
        <w:t>’</w:t>
      </w:r>
      <w:r w:rsidR="007E13B4" w:rsidRPr="00731644">
        <w:rPr>
          <w:bCs/>
          <w:lang w:val="fr-CH"/>
        </w:rPr>
        <w:t xml:space="preserve">intégration des Roms </w:t>
      </w:r>
      <w:r w:rsidR="004C7BF6" w:rsidRPr="00731644">
        <w:rPr>
          <w:bCs/>
          <w:lang w:val="fr-CH"/>
        </w:rPr>
        <w:t>(12</w:t>
      </w:r>
      <w:r w:rsidR="005C5A77">
        <w:rPr>
          <w:bCs/>
          <w:lang w:val="fr-CH"/>
        </w:rPr>
        <w:t> </w:t>
      </w:r>
      <w:r w:rsidR="007E13B4" w:rsidRPr="00731644">
        <w:rPr>
          <w:bCs/>
          <w:lang w:val="fr-CH"/>
        </w:rPr>
        <w:t>enseignants</w:t>
      </w:r>
      <w:r w:rsidR="004C7BF6" w:rsidRPr="00731644">
        <w:rPr>
          <w:bCs/>
          <w:lang w:val="fr-CH"/>
        </w:rPr>
        <w:t xml:space="preserve">). </w:t>
      </w:r>
      <w:r w:rsidR="007E13B4" w:rsidRPr="00731644">
        <w:rPr>
          <w:bCs/>
          <w:lang w:val="fr-CH"/>
        </w:rPr>
        <w:t>Des conférences supplémentaires sont données périodiquement</w:t>
      </w:r>
      <w:r w:rsidR="00F31DD5" w:rsidRPr="00731644">
        <w:rPr>
          <w:bCs/>
          <w:lang w:val="fr-CH"/>
        </w:rPr>
        <w:t xml:space="preserve">: – </w:t>
      </w:r>
      <w:r w:rsidR="007E13B4" w:rsidRPr="00731644">
        <w:rPr>
          <w:bCs/>
          <w:lang w:val="fr-CH"/>
        </w:rPr>
        <w:t>1</w:t>
      </w:r>
      <w:r w:rsidR="007E13B4" w:rsidRPr="00731644">
        <w:rPr>
          <w:bCs/>
          <w:vertAlign w:val="superscript"/>
          <w:lang w:val="fr-CH"/>
        </w:rPr>
        <w:t>ère</w:t>
      </w:r>
      <w:r w:rsidR="005C5A77">
        <w:rPr>
          <w:bCs/>
          <w:lang w:val="fr-CH"/>
        </w:rPr>
        <w:t> </w:t>
      </w:r>
      <w:r w:rsidR="007E13B4" w:rsidRPr="00731644">
        <w:rPr>
          <w:bCs/>
          <w:lang w:val="fr-CH"/>
        </w:rPr>
        <w:t>année d</w:t>
      </w:r>
      <w:r w:rsidR="00425386" w:rsidRPr="00731644">
        <w:rPr>
          <w:bCs/>
          <w:lang w:val="fr-CH"/>
        </w:rPr>
        <w:t>’</w:t>
      </w:r>
      <w:r w:rsidR="007E13B4" w:rsidRPr="00731644">
        <w:rPr>
          <w:bCs/>
          <w:lang w:val="fr-CH"/>
        </w:rPr>
        <w:t>études</w:t>
      </w:r>
      <w:r w:rsidR="00F31DD5" w:rsidRPr="00731644">
        <w:rPr>
          <w:bCs/>
          <w:lang w:val="fr-CH"/>
        </w:rPr>
        <w:t>:</w:t>
      </w:r>
      <w:r w:rsidR="004C7BF6" w:rsidRPr="00731644">
        <w:rPr>
          <w:bCs/>
          <w:lang w:val="fr-CH"/>
        </w:rPr>
        <w:t xml:space="preserve"> 38 </w:t>
      </w:r>
      <w:r w:rsidR="007E13B4" w:rsidRPr="00731644">
        <w:rPr>
          <w:bCs/>
          <w:lang w:val="fr-CH"/>
        </w:rPr>
        <w:t>élèves</w:t>
      </w:r>
      <w:r w:rsidR="004C7BF6" w:rsidRPr="00731644">
        <w:rPr>
          <w:bCs/>
          <w:lang w:val="fr-CH"/>
        </w:rPr>
        <w:t xml:space="preserve">, </w:t>
      </w:r>
      <w:r w:rsidR="007E13B4" w:rsidRPr="00731644">
        <w:rPr>
          <w:bCs/>
          <w:lang w:val="fr-CH"/>
        </w:rPr>
        <w:t>2</w:t>
      </w:r>
      <w:r w:rsidR="007E13B4" w:rsidRPr="00731644">
        <w:rPr>
          <w:bCs/>
          <w:vertAlign w:val="superscript"/>
          <w:lang w:val="fr-CH"/>
        </w:rPr>
        <w:t>e</w:t>
      </w:r>
      <w:r w:rsidR="007E13B4" w:rsidRPr="00731644">
        <w:rPr>
          <w:bCs/>
          <w:lang w:val="fr-CH"/>
        </w:rPr>
        <w:t xml:space="preserve"> année</w:t>
      </w:r>
      <w:r w:rsidR="00F31DD5" w:rsidRPr="00731644">
        <w:rPr>
          <w:bCs/>
          <w:lang w:val="fr-CH"/>
        </w:rPr>
        <w:t>:</w:t>
      </w:r>
      <w:r w:rsidR="004C7BF6" w:rsidRPr="00731644">
        <w:rPr>
          <w:bCs/>
          <w:lang w:val="fr-CH"/>
        </w:rPr>
        <w:t xml:space="preserve"> 24 </w:t>
      </w:r>
      <w:r w:rsidR="007E13B4" w:rsidRPr="00731644">
        <w:rPr>
          <w:bCs/>
          <w:lang w:val="fr-CH"/>
        </w:rPr>
        <w:t>élèves</w:t>
      </w:r>
      <w:r w:rsidR="004C7BF6" w:rsidRPr="00731644">
        <w:rPr>
          <w:bCs/>
          <w:lang w:val="fr-CH"/>
        </w:rPr>
        <w:t xml:space="preserve">, </w:t>
      </w:r>
      <w:r w:rsidR="007E13B4" w:rsidRPr="00731644">
        <w:rPr>
          <w:bCs/>
          <w:lang w:val="fr-CH"/>
        </w:rPr>
        <w:t>3</w:t>
      </w:r>
      <w:r w:rsidR="007E13B4" w:rsidRPr="00731644">
        <w:rPr>
          <w:bCs/>
          <w:vertAlign w:val="superscript"/>
          <w:lang w:val="fr-CH"/>
        </w:rPr>
        <w:t>e</w:t>
      </w:r>
      <w:r w:rsidR="007E13B4" w:rsidRPr="00731644">
        <w:rPr>
          <w:bCs/>
          <w:lang w:val="fr-CH"/>
        </w:rPr>
        <w:t xml:space="preserve"> année</w:t>
      </w:r>
      <w:r w:rsidR="00F31DD5" w:rsidRPr="00731644">
        <w:rPr>
          <w:bCs/>
          <w:lang w:val="fr-CH"/>
        </w:rPr>
        <w:t>:</w:t>
      </w:r>
      <w:r w:rsidR="004C7BF6" w:rsidRPr="00731644">
        <w:rPr>
          <w:bCs/>
          <w:lang w:val="fr-CH"/>
        </w:rPr>
        <w:t xml:space="preserve"> 22 </w:t>
      </w:r>
      <w:r w:rsidR="007E13B4" w:rsidRPr="00731644">
        <w:rPr>
          <w:bCs/>
          <w:lang w:val="fr-CH"/>
        </w:rPr>
        <w:t>élèves</w:t>
      </w:r>
      <w:r w:rsidR="004C7BF6" w:rsidRPr="00731644">
        <w:rPr>
          <w:bCs/>
          <w:lang w:val="fr-CH"/>
        </w:rPr>
        <w:t xml:space="preserve">, </w:t>
      </w:r>
      <w:r w:rsidR="007E13B4" w:rsidRPr="00731644">
        <w:rPr>
          <w:bCs/>
          <w:lang w:val="fr-CH"/>
        </w:rPr>
        <w:t>4</w:t>
      </w:r>
      <w:r w:rsidR="007E13B4" w:rsidRPr="00731644">
        <w:rPr>
          <w:bCs/>
          <w:vertAlign w:val="superscript"/>
          <w:lang w:val="fr-CH"/>
        </w:rPr>
        <w:t>e</w:t>
      </w:r>
      <w:r w:rsidR="007E13B4" w:rsidRPr="00731644">
        <w:rPr>
          <w:bCs/>
          <w:lang w:val="fr-CH"/>
        </w:rPr>
        <w:t xml:space="preserve"> année</w:t>
      </w:r>
      <w:r w:rsidR="004C7BF6" w:rsidRPr="00731644">
        <w:rPr>
          <w:bCs/>
          <w:lang w:val="fr-CH"/>
        </w:rPr>
        <w:t>: 28</w:t>
      </w:r>
      <w:r w:rsidR="00382A8E">
        <w:rPr>
          <w:bCs/>
          <w:lang w:val="fr-CH"/>
        </w:rPr>
        <w:t> </w:t>
      </w:r>
      <w:r w:rsidR="007E13B4" w:rsidRPr="00731644">
        <w:rPr>
          <w:bCs/>
          <w:lang w:val="fr-CH"/>
        </w:rPr>
        <w:t>élèves</w:t>
      </w:r>
      <w:r w:rsidR="004C7BF6" w:rsidRPr="00731644">
        <w:rPr>
          <w:bCs/>
          <w:lang w:val="fr-CH"/>
        </w:rPr>
        <w:t xml:space="preserve">, </w:t>
      </w:r>
      <w:r w:rsidR="007E13B4" w:rsidRPr="00731644">
        <w:rPr>
          <w:bCs/>
          <w:lang w:val="fr-CH"/>
        </w:rPr>
        <w:t>5</w:t>
      </w:r>
      <w:r w:rsidR="007E13B4" w:rsidRPr="00731644">
        <w:rPr>
          <w:bCs/>
          <w:vertAlign w:val="superscript"/>
          <w:lang w:val="fr-CH"/>
        </w:rPr>
        <w:t>e</w:t>
      </w:r>
      <w:r w:rsidR="007E13B4" w:rsidRPr="00731644">
        <w:rPr>
          <w:bCs/>
          <w:lang w:val="fr-CH"/>
        </w:rPr>
        <w:t xml:space="preserve"> année</w:t>
      </w:r>
      <w:r w:rsidR="00F31DD5" w:rsidRPr="00731644">
        <w:rPr>
          <w:bCs/>
          <w:lang w:val="fr-CH"/>
        </w:rPr>
        <w:t>:</w:t>
      </w:r>
      <w:r w:rsidR="004C7BF6" w:rsidRPr="00731644">
        <w:rPr>
          <w:bCs/>
          <w:lang w:val="fr-CH"/>
        </w:rPr>
        <w:t xml:space="preserve"> 27 </w:t>
      </w:r>
      <w:r w:rsidR="007E13B4" w:rsidRPr="00731644">
        <w:rPr>
          <w:bCs/>
          <w:lang w:val="fr-CH"/>
        </w:rPr>
        <w:t>élèves</w:t>
      </w:r>
      <w:r w:rsidR="004C7BF6" w:rsidRPr="00731644">
        <w:rPr>
          <w:bCs/>
          <w:lang w:val="fr-CH"/>
        </w:rPr>
        <w:t xml:space="preserve">, </w:t>
      </w:r>
      <w:r w:rsidR="007E13B4" w:rsidRPr="00731644">
        <w:rPr>
          <w:bCs/>
          <w:lang w:val="fr-CH"/>
        </w:rPr>
        <w:t>6</w:t>
      </w:r>
      <w:r w:rsidR="007E13B4" w:rsidRPr="00731644">
        <w:rPr>
          <w:bCs/>
          <w:vertAlign w:val="superscript"/>
          <w:lang w:val="fr-CH"/>
        </w:rPr>
        <w:t>e</w:t>
      </w:r>
      <w:r w:rsidR="007E13B4" w:rsidRPr="00731644">
        <w:rPr>
          <w:bCs/>
          <w:lang w:val="fr-CH"/>
        </w:rPr>
        <w:t xml:space="preserve"> année</w:t>
      </w:r>
      <w:r w:rsidR="00F31DD5" w:rsidRPr="00731644">
        <w:rPr>
          <w:bCs/>
          <w:lang w:val="fr-CH"/>
        </w:rPr>
        <w:t>:</w:t>
      </w:r>
      <w:r w:rsidR="004C7BF6" w:rsidRPr="00731644">
        <w:rPr>
          <w:bCs/>
          <w:lang w:val="fr-CH"/>
        </w:rPr>
        <w:t xml:space="preserve"> 12 </w:t>
      </w:r>
      <w:r w:rsidR="007E13B4" w:rsidRPr="00731644">
        <w:rPr>
          <w:bCs/>
          <w:lang w:val="fr-CH"/>
        </w:rPr>
        <w:t>élèves</w:t>
      </w:r>
      <w:r w:rsidR="004C7BF6" w:rsidRPr="00731644">
        <w:rPr>
          <w:bCs/>
          <w:lang w:val="fr-CH"/>
        </w:rPr>
        <w:t xml:space="preserve">, </w:t>
      </w:r>
      <w:r w:rsidR="007E13B4" w:rsidRPr="00731644">
        <w:rPr>
          <w:bCs/>
          <w:lang w:val="fr-CH"/>
        </w:rPr>
        <w:t>7</w:t>
      </w:r>
      <w:r w:rsidR="007E13B4" w:rsidRPr="00731644">
        <w:rPr>
          <w:bCs/>
          <w:vertAlign w:val="superscript"/>
          <w:lang w:val="fr-CH"/>
        </w:rPr>
        <w:t>e</w:t>
      </w:r>
      <w:r w:rsidR="007E13B4" w:rsidRPr="00731644">
        <w:rPr>
          <w:bCs/>
          <w:lang w:val="fr-CH"/>
        </w:rPr>
        <w:t xml:space="preserve"> année</w:t>
      </w:r>
      <w:r w:rsidR="00F31DD5" w:rsidRPr="00731644">
        <w:rPr>
          <w:bCs/>
          <w:lang w:val="fr-CH"/>
        </w:rPr>
        <w:t>:</w:t>
      </w:r>
      <w:r w:rsidR="004C7BF6" w:rsidRPr="00731644">
        <w:rPr>
          <w:bCs/>
          <w:lang w:val="fr-CH"/>
        </w:rPr>
        <w:t xml:space="preserve"> 9 </w:t>
      </w:r>
      <w:r w:rsidR="007E13B4" w:rsidRPr="00731644">
        <w:rPr>
          <w:bCs/>
          <w:lang w:val="fr-CH"/>
        </w:rPr>
        <w:t>élèves</w:t>
      </w:r>
      <w:r w:rsidR="004C7BF6" w:rsidRPr="00731644">
        <w:rPr>
          <w:bCs/>
          <w:lang w:val="fr-CH"/>
        </w:rPr>
        <w:t xml:space="preserve">. </w:t>
      </w:r>
      <w:r w:rsidR="007E13B4" w:rsidRPr="00731644">
        <w:rPr>
          <w:bCs/>
          <w:lang w:val="fr-CH"/>
        </w:rPr>
        <w:t>Dans le cadre de l</w:t>
      </w:r>
      <w:r w:rsidR="00425386" w:rsidRPr="00731644">
        <w:rPr>
          <w:bCs/>
          <w:lang w:val="fr-CH"/>
        </w:rPr>
        <w:t>’</w:t>
      </w:r>
      <w:r w:rsidR="007E13B4" w:rsidRPr="00731644">
        <w:rPr>
          <w:bCs/>
          <w:lang w:val="fr-CH"/>
        </w:rPr>
        <w:t>Initiative pour l</w:t>
      </w:r>
      <w:r w:rsidR="00425386" w:rsidRPr="00731644">
        <w:rPr>
          <w:bCs/>
          <w:lang w:val="fr-CH"/>
        </w:rPr>
        <w:t>’</w:t>
      </w:r>
      <w:r w:rsidR="007E13B4" w:rsidRPr="00731644">
        <w:rPr>
          <w:bCs/>
          <w:lang w:val="fr-CH"/>
        </w:rPr>
        <w:t>éducation des Roms, l</w:t>
      </w:r>
      <w:r w:rsidR="00425386" w:rsidRPr="00731644">
        <w:rPr>
          <w:bCs/>
          <w:lang w:val="fr-CH"/>
        </w:rPr>
        <w:t>’</w:t>
      </w:r>
      <w:r w:rsidR="007E13B4" w:rsidRPr="00731644">
        <w:rPr>
          <w:bCs/>
          <w:lang w:val="fr-CH"/>
        </w:rPr>
        <w:t xml:space="preserve">école a ajouté au programme </w:t>
      </w:r>
      <w:r w:rsidR="00DB3046" w:rsidRPr="00731644">
        <w:rPr>
          <w:bCs/>
          <w:lang w:val="fr-CH"/>
        </w:rPr>
        <w:t>de langue et de littérature monténégrines, de sciences naturelles et sociales et de culture musicale</w:t>
      </w:r>
      <w:r w:rsidR="002B43A1" w:rsidRPr="00731644">
        <w:rPr>
          <w:bCs/>
          <w:lang w:val="fr-CH"/>
        </w:rPr>
        <w:t xml:space="preserve"> du premier cycle (1</w:t>
      </w:r>
      <w:r w:rsidR="002B43A1" w:rsidRPr="00731644">
        <w:rPr>
          <w:bCs/>
          <w:vertAlign w:val="superscript"/>
          <w:lang w:val="fr-CH"/>
        </w:rPr>
        <w:t>ère</w:t>
      </w:r>
      <w:r w:rsidR="002B43A1" w:rsidRPr="00731644">
        <w:rPr>
          <w:bCs/>
          <w:lang w:val="fr-CH"/>
        </w:rPr>
        <w:t>, 2</w:t>
      </w:r>
      <w:r w:rsidR="002B43A1" w:rsidRPr="00731644">
        <w:rPr>
          <w:bCs/>
          <w:vertAlign w:val="superscript"/>
          <w:lang w:val="fr-CH"/>
        </w:rPr>
        <w:t>e</w:t>
      </w:r>
      <w:r w:rsidR="002B43A1" w:rsidRPr="00731644">
        <w:rPr>
          <w:bCs/>
          <w:lang w:val="fr-CH"/>
        </w:rPr>
        <w:t xml:space="preserve"> et 3</w:t>
      </w:r>
      <w:r w:rsidR="002B43A1" w:rsidRPr="00731644">
        <w:rPr>
          <w:bCs/>
          <w:vertAlign w:val="superscript"/>
          <w:lang w:val="fr-CH"/>
        </w:rPr>
        <w:t>e</w:t>
      </w:r>
      <w:r w:rsidR="002B43A1" w:rsidRPr="00731644">
        <w:rPr>
          <w:bCs/>
          <w:lang w:val="fr-CH"/>
        </w:rPr>
        <w:t xml:space="preserve"> années)</w:t>
      </w:r>
      <w:r w:rsidR="00DB3046" w:rsidRPr="00731644">
        <w:rPr>
          <w:bCs/>
          <w:lang w:val="fr-CH"/>
        </w:rPr>
        <w:t xml:space="preserve">, des contenus </w:t>
      </w:r>
      <w:r w:rsidR="002B43A1" w:rsidRPr="00731644">
        <w:rPr>
          <w:bCs/>
          <w:lang w:val="fr-CH"/>
        </w:rPr>
        <w:t>portant sur</w:t>
      </w:r>
      <w:r w:rsidR="00DB3046" w:rsidRPr="00731644">
        <w:rPr>
          <w:bCs/>
          <w:lang w:val="fr-CH"/>
        </w:rPr>
        <w:t xml:space="preserve"> la littérature, l</w:t>
      </w:r>
      <w:r w:rsidR="00425386" w:rsidRPr="00731644">
        <w:rPr>
          <w:bCs/>
          <w:lang w:val="fr-CH"/>
        </w:rPr>
        <w:t>’</w:t>
      </w:r>
      <w:r w:rsidR="00DB3046" w:rsidRPr="00731644">
        <w:rPr>
          <w:bCs/>
          <w:lang w:val="fr-CH"/>
        </w:rPr>
        <w:t>hi</w:t>
      </w:r>
      <w:r w:rsidR="002B43A1" w:rsidRPr="00731644">
        <w:rPr>
          <w:bCs/>
          <w:lang w:val="fr-CH"/>
        </w:rPr>
        <w:t>s</w:t>
      </w:r>
      <w:r w:rsidR="00DB3046" w:rsidRPr="00731644">
        <w:rPr>
          <w:bCs/>
          <w:lang w:val="fr-CH"/>
        </w:rPr>
        <w:t xml:space="preserve">toire, la tradition et la musique roms. </w:t>
      </w:r>
      <w:r w:rsidR="005F2B0F" w:rsidRPr="00731644">
        <w:rPr>
          <w:bCs/>
          <w:lang w:val="fr-CH"/>
        </w:rPr>
        <w:t>Ces sujets doivent être</w:t>
      </w:r>
      <w:r w:rsidR="00DB3046" w:rsidRPr="00731644">
        <w:rPr>
          <w:bCs/>
          <w:lang w:val="fr-CH"/>
        </w:rPr>
        <w:t xml:space="preserve"> traités dans </w:t>
      </w:r>
      <w:r w:rsidR="002B43A1" w:rsidRPr="00731644">
        <w:rPr>
          <w:bCs/>
          <w:lang w:val="fr-CH"/>
        </w:rPr>
        <w:t xml:space="preserve">les </w:t>
      </w:r>
      <w:r w:rsidR="00DB3046" w:rsidRPr="00731644">
        <w:rPr>
          <w:bCs/>
          <w:lang w:val="fr-CH"/>
        </w:rPr>
        <w:t>20</w:t>
      </w:r>
      <w:r w:rsidR="006443F6" w:rsidRPr="00731644">
        <w:rPr>
          <w:bCs/>
          <w:lang w:val="fr-CH"/>
        </w:rPr>
        <w:t>%</w:t>
      </w:r>
      <w:r w:rsidR="00DB3046" w:rsidRPr="00731644">
        <w:rPr>
          <w:bCs/>
          <w:lang w:val="fr-CH"/>
        </w:rPr>
        <w:t xml:space="preserve"> du programme qui </w:t>
      </w:r>
      <w:r w:rsidR="00061D23" w:rsidRPr="00731644">
        <w:rPr>
          <w:bCs/>
          <w:lang w:val="fr-CH"/>
        </w:rPr>
        <w:t>son</w:t>
      </w:r>
      <w:r w:rsidR="00DB3046" w:rsidRPr="00731644">
        <w:rPr>
          <w:bCs/>
          <w:lang w:val="fr-CH"/>
        </w:rPr>
        <w:t xml:space="preserve">t mis au point en coopération avec la collectivité locale. </w:t>
      </w:r>
    </w:p>
    <w:p w:rsidR="00610DAE" w:rsidRPr="00731644" w:rsidRDefault="00B1180A" w:rsidP="004011E4">
      <w:pPr>
        <w:pStyle w:val="SingleTxtG"/>
        <w:rPr>
          <w:lang w:val="fr-CH"/>
        </w:rPr>
      </w:pPr>
      <w:r w:rsidRPr="00731644">
        <w:rPr>
          <w:bCs/>
          <w:lang w:val="fr-CH"/>
        </w:rPr>
        <w:t>297.</w:t>
      </w:r>
      <w:r w:rsidRPr="00731644">
        <w:rPr>
          <w:bCs/>
          <w:lang w:val="fr-CH"/>
        </w:rPr>
        <w:tab/>
      </w:r>
      <w:r w:rsidR="00DD163C" w:rsidRPr="00731644">
        <w:rPr>
          <w:bCs/>
          <w:lang w:val="fr-CH"/>
        </w:rPr>
        <w:t xml:space="preserve">Le projet </w:t>
      </w:r>
      <w:r w:rsidR="002061AB">
        <w:rPr>
          <w:bCs/>
          <w:lang w:val="fr-CH"/>
        </w:rPr>
        <w:t>«</w:t>
      </w:r>
      <w:r w:rsidR="002C3D26" w:rsidRPr="00731644">
        <w:rPr>
          <w:bCs/>
          <w:lang w:val="fr-CH"/>
        </w:rPr>
        <w:t>Volontari</w:t>
      </w:r>
      <w:r w:rsidR="00DD163C" w:rsidRPr="00731644">
        <w:rPr>
          <w:bCs/>
          <w:lang w:val="fr-CH"/>
        </w:rPr>
        <w:t>at estudiantin</w:t>
      </w:r>
      <w:r w:rsidR="004C7BF6" w:rsidRPr="00731644">
        <w:rPr>
          <w:bCs/>
          <w:lang w:val="fr-CH"/>
        </w:rPr>
        <w:t xml:space="preserve"> </w:t>
      </w:r>
      <w:r w:rsidR="00DD163C" w:rsidRPr="00731644">
        <w:rPr>
          <w:bCs/>
          <w:lang w:val="fr-CH"/>
        </w:rPr>
        <w:t>–</w:t>
      </w:r>
      <w:r w:rsidR="004C7BF6" w:rsidRPr="00731644">
        <w:rPr>
          <w:bCs/>
          <w:lang w:val="fr-CH"/>
        </w:rPr>
        <w:t xml:space="preserve"> </w:t>
      </w:r>
      <w:r w:rsidR="00061D23" w:rsidRPr="00731644">
        <w:rPr>
          <w:bCs/>
          <w:lang w:val="fr-CH"/>
        </w:rPr>
        <w:t>D</w:t>
      </w:r>
      <w:r w:rsidR="00DD163C" w:rsidRPr="00731644">
        <w:rPr>
          <w:bCs/>
          <w:lang w:val="fr-CH"/>
        </w:rPr>
        <w:t>e la déségrégation à l</w:t>
      </w:r>
      <w:r w:rsidR="00425386" w:rsidRPr="00731644">
        <w:rPr>
          <w:bCs/>
          <w:lang w:val="fr-CH"/>
        </w:rPr>
        <w:t>’</w:t>
      </w:r>
      <w:r w:rsidR="00DD163C" w:rsidRPr="00731644">
        <w:rPr>
          <w:bCs/>
          <w:lang w:val="fr-CH"/>
        </w:rPr>
        <w:t>intégration de qualité des élèves roms</w:t>
      </w:r>
      <w:r w:rsidR="002061AB">
        <w:rPr>
          <w:bCs/>
          <w:lang w:val="fr-CH"/>
        </w:rPr>
        <w:t>»</w:t>
      </w:r>
      <w:r w:rsidR="00AB44F0" w:rsidRPr="00731644">
        <w:rPr>
          <w:bCs/>
          <w:lang w:val="fr-CH"/>
        </w:rPr>
        <w:t xml:space="preserve"> </w:t>
      </w:r>
      <w:r w:rsidR="00DD163C" w:rsidRPr="00731644">
        <w:rPr>
          <w:bCs/>
          <w:lang w:val="fr-CH"/>
        </w:rPr>
        <w:t>est en cours</w:t>
      </w:r>
      <w:r w:rsidR="00061D23" w:rsidRPr="00731644">
        <w:rPr>
          <w:bCs/>
          <w:lang w:val="fr-CH"/>
        </w:rPr>
        <w:t xml:space="preserve"> d</w:t>
      </w:r>
      <w:r w:rsidR="00425386" w:rsidRPr="00731644">
        <w:rPr>
          <w:bCs/>
          <w:lang w:val="fr-CH"/>
        </w:rPr>
        <w:t>’</w:t>
      </w:r>
      <w:r w:rsidR="00061D23" w:rsidRPr="00731644">
        <w:rPr>
          <w:bCs/>
          <w:lang w:val="fr-CH"/>
        </w:rPr>
        <w:t>exécution</w:t>
      </w:r>
      <w:r w:rsidR="00AB44F0" w:rsidRPr="00731644">
        <w:rPr>
          <w:bCs/>
          <w:lang w:val="fr-CH"/>
        </w:rPr>
        <w:t>.</w:t>
      </w:r>
      <w:r w:rsidR="0062468B" w:rsidRPr="00731644">
        <w:rPr>
          <w:bCs/>
          <w:lang w:val="fr-CH"/>
        </w:rPr>
        <w:t xml:space="preserve"> </w:t>
      </w:r>
      <w:r w:rsidR="00DD163C" w:rsidRPr="00731644">
        <w:rPr>
          <w:bCs/>
          <w:lang w:val="fr-CH"/>
        </w:rPr>
        <w:t>Le Centre pédagogique du Monténégro et la faculté de philosophie de l</w:t>
      </w:r>
      <w:r w:rsidR="00425386" w:rsidRPr="00731644">
        <w:rPr>
          <w:bCs/>
          <w:lang w:val="fr-CH"/>
        </w:rPr>
        <w:t>’</w:t>
      </w:r>
      <w:r w:rsidR="00DD163C" w:rsidRPr="00731644">
        <w:rPr>
          <w:bCs/>
          <w:lang w:val="fr-CH"/>
        </w:rPr>
        <w:t>Université du Monténégro</w:t>
      </w:r>
      <w:r w:rsidR="004C7BF6" w:rsidRPr="00731644">
        <w:rPr>
          <w:bCs/>
          <w:lang w:val="fr-CH"/>
        </w:rPr>
        <w:t xml:space="preserve">, </w:t>
      </w:r>
      <w:r w:rsidR="00DD163C" w:rsidRPr="00731644">
        <w:rPr>
          <w:bCs/>
          <w:lang w:val="fr-CH"/>
        </w:rPr>
        <w:t xml:space="preserve">à </w:t>
      </w:r>
      <w:r w:rsidR="004C7BF6" w:rsidRPr="00731644">
        <w:rPr>
          <w:bCs/>
          <w:lang w:val="fr-CH"/>
        </w:rPr>
        <w:t>Niksic</w:t>
      </w:r>
      <w:r w:rsidR="00DD163C" w:rsidRPr="00731644">
        <w:rPr>
          <w:bCs/>
          <w:lang w:val="fr-CH"/>
        </w:rPr>
        <w:t>, en sont partenaires</w:t>
      </w:r>
      <w:r w:rsidR="004C7BF6" w:rsidRPr="00731644">
        <w:rPr>
          <w:bCs/>
          <w:lang w:val="fr-CH"/>
        </w:rPr>
        <w:t>.</w:t>
      </w:r>
      <w:r w:rsidR="009356D5" w:rsidRPr="00731644">
        <w:rPr>
          <w:bCs/>
          <w:lang w:val="fr-CH"/>
        </w:rPr>
        <w:t xml:space="preserve"> </w:t>
      </w:r>
      <w:r w:rsidR="00DD163C" w:rsidRPr="00731644">
        <w:rPr>
          <w:bCs/>
          <w:lang w:val="fr-CH"/>
        </w:rPr>
        <w:t xml:space="preserve">Y sont également associés </w:t>
      </w:r>
      <w:r w:rsidR="00061D23" w:rsidRPr="00731644">
        <w:rPr>
          <w:bCs/>
          <w:lang w:val="fr-CH"/>
        </w:rPr>
        <w:t>la Coalition</w:t>
      </w:r>
      <w:r w:rsidR="00DD163C" w:rsidRPr="00731644">
        <w:rPr>
          <w:bCs/>
          <w:lang w:val="fr-CH"/>
        </w:rPr>
        <w:t xml:space="preserve"> d</w:t>
      </w:r>
      <w:r w:rsidR="00425386" w:rsidRPr="00731644">
        <w:rPr>
          <w:bCs/>
          <w:lang w:val="fr-CH"/>
        </w:rPr>
        <w:t>’</w:t>
      </w:r>
      <w:r w:rsidR="00DD163C" w:rsidRPr="00731644">
        <w:rPr>
          <w:bCs/>
          <w:lang w:val="fr-CH"/>
        </w:rPr>
        <w:t xml:space="preserve">organisations non gouvernementales </w:t>
      </w:r>
      <w:r w:rsidR="002061AB">
        <w:rPr>
          <w:bCs/>
          <w:lang w:val="fr-CH"/>
        </w:rPr>
        <w:t>«</w:t>
      </w:r>
      <w:r w:rsidR="00DD163C" w:rsidRPr="00731644">
        <w:rPr>
          <w:bCs/>
          <w:lang w:val="fr-CH"/>
        </w:rPr>
        <w:t>Cercle rom</w:t>
      </w:r>
      <w:r w:rsidR="002061AB">
        <w:rPr>
          <w:bCs/>
          <w:lang w:val="fr-CH"/>
        </w:rPr>
        <w:t>»</w:t>
      </w:r>
      <w:r w:rsidR="00DD163C" w:rsidRPr="00731644">
        <w:rPr>
          <w:bCs/>
          <w:lang w:val="fr-CH"/>
        </w:rPr>
        <w:t xml:space="preserve"> et l</w:t>
      </w:r>
      <w:r w:rsidR="00425386" w:rsidRPr="00731644">
        <w:rPr>
          <w:bCs/>
          <w:lang w:val="fr-CH"/>
        </w:rPr>
        <w:t>’</w:t>
      </w:r>
      <w:r w:rsidR="00DD163C" w:rsidRPr="00731644">
        <w:rPr>
          <w:bCs/>
          <w:lang w:val="fr-CH"/>
        </w:rPr>
        <w:t xml:space="preserve">école publique élémentaire </w:t>
      </w:r>
      <w:r w:rsidR="002061AB">
        <w:rPr>
          <w:bCs/>
          <w:lang w:val="fr-CH"/>
        </w:rPr>
        <w:t>«</w:t>
      </w:r>
      <w:r w:rsidR="004C7BF6" w:rsidRPr="00731644">
        <w:rPr>
          <w:bCs/>
          <w:lang w:val="fr-CH"/>
        </w:rPr>
        <w:t>Bozidar Vukovic Podgoričanin</w:t>
      </w:r>
      <w:r w:rsidR="002061AB">
        <w:rPr>
          <w:bCs/>
          <w:lang w:val="fr-CH"/>
        </w:rPr>
        <w:t>»</w:t>
      </w:r>
      <w:r w:rsidR="00061D23" w:rsidRPr="00731644">
        <w:rPr>
          <w:bCs/>
          <w:lang w:val="fr-CH"/>
        </w:rPr>
        <w:t>, dont les élèves roms sont l</w:t>
      </w:r>
      <w:r w:rsidR="00DD163C" w:rsidRPr="00731644">
        <w:rPr>
          <w:bCs/>
          <w:lang w:val="fr-CH"/>
        </w:rPr>
        <w:t>es bénéficiaires directs du projet</w:t>
      </w:r>
      <w:r w:rsidR="004C7BF6" w:rsidRPr="00731644">
        <w:rPr>
          <w:bCs/>
          <w:lang w:val="fr-CH"/>
        </w:rPr>
        <w:t xml:space="preserve">. </w:t>
      </w:r>
      <w:r w:rsidR="00DD163C" w:rsidRPr="00731644">
        <w:rPr>
          <w:bCs/>
          <w:lang w:val="fr-CH"/>
        </w:rPr>
        <w:t>Le</w:t>
      </w:r>
      <w:r w:rsidR="004C7BF6" w:rsidRPr="00731644">
        <w:rPr>
          <w:bCs/>
          <w:lang w:val="fr-CH"/>
        </w:rPr>
        <w:t xml:space="preserve"> </w:t>
      </w:r>
      <w:r w:rsidR="00286F92" w:rsidRPr="00731644">
        <w:rPr>
          <w:bCs/>
          <w:lang w:val="fr-CH"/>
        </w:rPr>
        <w:t>programme</w:t>
      </w:r>
      <w:r w:rsidR="004C7BF6" w:rsidRPr="00731644">
        <w:rPr>
          <w:bCs/>
          <w:lang w:val="fr-CH"/>
        </w:rPr>
        <w:t xml:space="preserve"> </w:t>
      </w:r>
      <w:r w:rsidR="00DD163C" w:rsidRPr="00731644">
        <w:rPr>
          <w:bCs/>
          <w:lang w:val="fr-CH"/>
        </w:rPr>
        <w:t xml:space="preserve">vise à offrir un accès égal à une éducation de qualité </w:t>
      </w:r>
      <w:r w:rsidR="004465AB" w:rsidRPr="00731644">
        <w:rPr>
          <w:bCs/>
          <w:lang w:val="fr-CH"/>
        </w:rPr>
        <w:t>et à mettre en place un dispositif qui permette à tous les enfants roms du Monténégro d</w:t>
      </w:r>
      <w:r w:rsidR="00425386" w:rsidRPr="00731644">
        <w:rPr>
          <w:bCs/>
          <w:lang w:val="fr-CH"/>
        </w:rPr>
        <w:t>’</w:t>
      </w:r>
      <w:r w:rsidR="004465AB" w:rsidRPr="00731644">
        <w:rPr>
          <w:bCs/>
          <w:lang w:val="fr-CH"/>
        </w:rPr>
        <w:t>aller jusqu</w:t>
      </w:r>
      <w:r w:rsidR="00425386" w:rsidRPr="00731644">
        <w:rPr>
          <w:bCs/>
          <w:lang w:val="fr-CH"/>
        </w:rPr>
        <w:t>’</w:t>
      </w:r>
      <w:r w:rsidR="004465AB" w:rsidRPr="00731644">
        <w:rPr>
          <w:bCs/>
          <w:lang w:val="fr-CH"/>
        </w:rPr>
        <w:t xml:space="preserve">au </w:t>
      </w:r>
      <w:r w:rsidR="00061D23" w:rsidRPr="00731644">
        <w:rPr>
          <w:bCs/>
          <w:lang w:val="fr-CH"/>
        </w:rPr>
        <w:t>bout</w:t>
      </w:r>
      <w:r w:rsidR="004465AB" w:rsidRPr="00731644">
        <w:rPr>
          <w:bCs/>
          <w:lang w:val="fr-CH"/>
        </w:rPr>
        <w:t xml:space="preserve"> de</w:t>
      </w:r>
      <w:r w:rsidR="005F2B0F" w:rsidRPr="00731644">
        <w:rPr>
          <w:bCs/>
          <w:lang w:val="fr-CH"/>
        </w:rPr>
        <w:t xml:space="preserve"> leur</w:t>
      </w:r>
      <w:r w:rsidR="004465AB" w:rsidRPr="00731644">
        <w:rPr>
          <w:bCs/>
          <w:lang w:val="fr-CH"/>
        </w:rPr>
        <w:t>s études primaires</w:t>
      </w:r>
      <w:r w:rsidR="004C7BF6" w:rsidRPr="00731644">
        <w:rPr>
          <w:bCs/>
          <w:lang w:val="fr-CH"/>
        </w:rPr>
        <w:t xml:space="preserve">. </w:t>
      </w:r>
      <w:r w:rsidR="00061D23" w:rsidRPr="00731644">
        <w:rPr>
          <w:bCs/>
          <w:lang w:val="fr-CH"/>
        </w:rPr>
        <w:t>Le propos est</w:t>
      </w:r>
      <w:r w:rsidR="00F31DD5" w:rsidRPr="00731644">
        <w:rPr>
          <w:bCs/>
          <w:lang w:val="fr-CH"/>
        </w:rPr>
        <w:t>:</w:t>
      </w:r>
      <w:r w:rsidR="004465AB" w:rsidRPr="00731644">
        <w:rPr>
          <w:bCs/>
          <w:lang w:val="fr-CH"/>
        </w:rPr>
        <w:t xml:space="preserve"> </w:t>
      </w:r>
      <w:r w:rsidR="007A176F" w:rsidRPr="00731644">
        <w:rPr>
          <w:bCs/>
          <w:lang w:val="fr-CH"/>
        </w:rPr>
        <w:t>1)</w:t>
      </w:r>
      <w:r w:rsidR="004C7BF6" w:rsidRPr="00731644">
        <w:rPr>
          <w:bCs/>
          <w:lang w:val="fr-CH"/>
        </w:rPr>
        <w:t xml:space="preserve"> </w:t>
      </w:r>
      <w:r w:rsidR="004465AB" w:rsidRPr="00731644">
        <w:rPr>
          <w:bCs/>
          <w:lang w:val="fr-CH"/>
        </w:rPr>
        <w:t>d</w:t>
      </w:r>
      <w:r w:rsidR="00425386" w:rsidRPr="00731644">
        <w:rPr>
          <w:bCs/>
          <w:lang w:val="fr-CH"/>
        </w:rPr>
        <w:t>’</w:t>
      </w:r>
      <w:r w:rsidR="004465AB" w:rsidRPr="00731644">
        <w:rPr>
          <w:bCs/>
          <w:lang w:val="fr-CH"/>
        </w:rPr>
        <w:t xml:space="preserve">améliorer les résultats scolaires des élèves et de réduire les barrières linguistiques </w:t>
      </w:r>
      <w:r w:rsidR="00B57FA6" w:rsidRPr="00731644">
        <w:rPr>
          <w:bCs/>
          <w:lang w:val="fr-CH"/>
        </w:rPr>
        <w:t>au bénéfice</w:t>
      </w:r>
      <w:r w:rsidR="004465AB" w:rsidRPr="00731644">
        <w:rPr>
          <w:bCs/>
          <w:lang w:val="fr-CH"/>
        </w:rPr>
        <w:t xml:space="preserve"> des enfants qui fréquentent tant l</w:t>
      </w:r>
      <w:r w:rsidR="00425386" w:rsidRPr="00731644">
        <w:rPr>
          <w:bCs/>
          <w:lang w:val="fr-CH"/>
        </w:rPr>
        <w:t>’</w:t>
      </w:r>
      <w:r w:rsidR="004465AB" w:rsidRPr="00731644">
        <w:rPr>
          <w:bCs/>
          <w:lang w:val="fr-CH"/>
        </w:rPr>
        <w:t>école principale</w:t>
      </w:r>
      <w:r w:rsidR="00F31DD5" w:rsidRPr="00731644">
        <w:rPr>
          <w:bCs/>
          <w:lang w:val="fr-CH"/>
        </w:rPr>
        <w:t xml:space="preserve"> </w:t>
      </w:r>
      <w:r w:rsidR="002061AB">
        <w:rPr>
          <w:bCs/>
          <w:lang w:val="fr-CH"/>
        </w:rPr>
        <w:t>«</w:t>
      </w:r>
      <w:r w:rsidR="004C7BF6" w:rsidRPr="00731644">
        <w:rPr>
          <w:bCs/>
          <w:lang w:val="fr-CH"/>
        </w:rPr>
        <w:t>Bozidar Vukovic Podgoričanin</w:t>
      </w:r>
      <w:r w:rsidR="002061AB">
        <w:rPr>
          <w:bCs/>
          <w:lang w:val="fr-CH"/>
        </w:rPr>
        <w:t>»</w:t>
      </w:r>
      <w:r w:rsidR="004465AB" w:rsidRPr="00731644">
        <w:rPr>
          <w:bCs/>
          <w:lang w:val="fr-CH"/>
        </w:rPr>
        <w:t xml:space="preserve"> que son an</w:t>
      </w:r>
      <w:r w:rsidR="002C3D26" w:rsidRPr="00731644">
        <w:rPr>
          <w:bCs/>
          <w:lang w:val="fr-CH"/>
        </w:rPr>
        <w:t>tenne</w:t>
      </w:r>
      <w:r w:rsidR="00F31DD5" w:rsidRPr="00731644">
        <w:rPr>
          <w:bCs/>
          <w:lang w:val="fr-CH"/>
        </w:rPr>
        <w:t>;</w:t>
      </w:r>
      <w:r w:rsidR="004C7BF6" w:rsidRPr="00731644">
        <w:rPr>
          <w:lang w:val="fr-CH"/>
        </w:rPr>
        <w:t xml:space="preserve"> </w:t>
      </w:r>
      <w:r w:rsidR="007A176F" w:rsidRPr="00731644">
        <w:rPr>
          <w:lang w:val="fr-CH"/>
        </w:rPr>
        <w:t>2)</w:t>
      </w:r>
      <w:r w:rsidR="004C7BF6" w:rsidRPr="00731644">
        <w:rPr>
          <w:lang w:val="fr-CH"/>
        </w:rPr>
        <w:t xml:space="preserve"> </w:t>
      </w:r>
      <w:r w:rsidR="004465AB" w:rsidRPr="00731644">
        <w:rPr>
          <w:lang w:val="fr-CH"/>
        </w:rPr>
        <w:t>d</w:t>
      </w:r>
      <w:r w:rsidR="00425386" w:rsidRPr="00731644">
        <w:rPr>
          <w:lang w:val="fr-CH"/>
        </w:rPr>
        <w:t>’</w:t>
      </w:r>
      <w:r w:rsidR="004465AB" w:rsidRPr="00731644">
        <w:rPr>
          <w:lang w:val="fr-CH"/>
        </w:rPr>
        <w:t xml:space="preserve">aider les élèves à acquérir </w:t>
      </w:r>
      <w:r w:rsidR="00B57FA6" w:rsidRPr="00731644">
        <w:rPr>
          <w:lang w:val="fr-CH"/>
        </w:rPr>
        <w:t>des ap</w:t>
      </w:r>
      <w:r w:rsidR="004465AB" w:rsidRPr="00731644">
        <w:rPr>
          <w:lang w:val="fr-CH"/>
        </w:rPr>
        <w:t>titudes relationnelles</w:t>
      </w:r>
      <w:r w:rsidR="00B57FA6" w:rsidRPr="00731644">
        <w:rPr>
          <w:lang w:val="fr-CH"/>
        </w:rPr>
        <w:t xml:space="preserve">, à </w:t>
      </w:r>
      <w:r w:rsidR="002C3D26" w:rsidRPr="00731644">
        <w:rPr>
          <w:lang w:val="fr-CH"/>
        </w:rPr>
        <w:t>prendre de l</w:t>
      </w:r>
      <w:r w:rsidR="00425386" w:rsidRPr="00731644">
        <w:rPr>
          <w:lang w:val="fr-CH"/>
        </w:rPr>
        <w:t>’</w:t>
      </w:r>
      <w:r w:rsidR="00B57FA6" w:rsidRPr="00731644">
        <w:rPr>
          <w:lang w:val="fr-CH"/>
        </w:rPr>
        <w:t xml:space="preserve">assurance et </w:t>
      </w:r>
      <w:r w:rsidR="00B926A5" w:rsidRPr="00731644">
        <w:rPr>
          <w:lang w:val="fr-CH"/>
        </w:rPr>
        <w:t>à tirer davantage</w:t>
      </w:r>
      <w:r w:rsidR="00B57FA6" w:rsidRPr="00731644">
        <w:rPr>
          <w:lang w:val="fr-CH"/>
        </w:rPr>
        <w:t xml:space="preserve"> de satisfactions</w:t>
      </w:r>
      <w:r w:rsidR="00B926A5" w:rsidRPr="00731644">
        <w:rPr>
          <w:lang w:val="fr-CH"/>
        </w:rPr>
        <w:t xml:space="preserve"> de leur scolarité</w:t>
      </w:r>
      <w:r w:rsidR="00F31DD5" w:rsidRPr="00731644">
        <w:rPr>
          <w:lang w:val="fr-CH"/>
        </w:rPr>
        <w:t>;</w:t>
      </w:r>
      <w:r w:rsidR="004C7BF6" w:rsidRPr="00731644">
        <w:rPr>
          <w:lang w:val="fr-CH"/>
        </w:rPr>
        <w:t xml:space="preserve"> </w:t>
      </w:r>
      <w:r w:rsidR="007A176F" w:rsidRPr="00731644">
        <w:rPr>
          <w:lang w:val="fr-CH"/>
        </w:rPr>
        <w:t xml:space="preserve">3) </w:t>
      </w:r>
      <w:r w:rsidR="00B57FA6" w:rsidRPr="00731644">
        <w:rPr>
          <w:lang w:val="fr-CH"/>
        </w:rPr>
        <w:t xml:space="preserve">de mieux préparer les élèves à tous les processus futurs </w:t>
      </w:r>
      <w:r w:rsidR="00A46BCB" w:rsidRPr="00731644">
        <w:rPr>
          <w:lang w:val="fr-CH"/>
        </w:rPr>
        <w:t>d</w:t>
      </w:r>
      <w:r w:rsidR="00425386" w:rsidRPr="00731644">
        <w:rPr>
          <w:lang w:val="fr-CH"/>
        </w:rPr>
        <w:t>’</w:t>
      </w:r>
      <w:r w:rsidR="00A46BCB" w:rsidRPr="00731644">
        <w:rPr>
          <w:lang w:val="fr-CH"/>
        </w:rPr>
        <w:t xml:space="preserve">intégration et </w:t>
      </w:r>
      <w:r w:rsidR="00B57FA6" w:rsidRPr="00731644">
        <w:rPr>
          <w:lang w:val="fr-CH"/>
        </w:rPr>
        <w:t>de socialisation</w:t>
      </w:r>
      <w:r w:rsidR="004C7BF6" w:rsidRPr="00731644">
        <w:rPr>
          <w:lang w:val="fr-CH"/>
        </w:rPr>
        <w:t xml:space="preserve">; </w:t>
      </w:r>
      <w:r w:rsidR="007A176F" w:rsidRPr="00731644">
        <w:rPr>
          <w:lang w:val="fr-CH"/>
        </w:rPr>
        <w:t xml:space="preserve">4) </w:t>
      </w:r>
      <w:r w:rsidR="00A46BCB" w:rsidRPr="00731644">
        <w:rPr>
          <w:lang w:val="fr-CH"/>
        </w:rPr>
        <w:t>d</w:t>
      </w:r>
      <w:r w:rsidR="00425386" w:rsidRPr="00731644">
        <w:rPr>
          <w:lang w:val="fr-CH"/>
        </w:rPr>
        <w:t>’</w:t>
      </w:r>
      <w:r w:rsidR="00A46BCB" w:rsidRPr="00731644">
        <w:rPr>
          <w:lang w:val="fr-CH"/>
        </w:rPr>
        <w:t>améliorer la qualité de l</w:t>
      </w:r>
      <w:r w:rsidR="00425386" w:rsidRPr="00731644">
        <w:rPr>
          <w:lang w:val="fr-CH"/>
        </w:rPr>
        <w:t>’</w:t>
      </w:r>
      <w:r w:rsidR="00A46BCB" w:rsidRPr="00731644">
        <w:rPr>
          <w:lang w:val="fr-CH"/>
        </w:rPr>
        <w:t>é</w:t>
      </w:r>
      <w:r w:rsidR="004C7BF6" w:rsidRPr="00731644">
        <w:rPr>
          <w:lang w:val="fr-CH"/>
        </w:rPr>
        <w:t xml:space="preserve">ducation </w:t>
      </w:r>
      <w:r w:rsidR="00A46BCB" w:rsidRPr="00731644">
        <w:rPr>
          <w:lang w:val="fr-CH"/>
        </w:rPr>
        <w:t xml:space="preserve">par une démarche éducative </w:t>
      </w:r>
      <w:r w:rsidR="00B926A5" w:rsidRPr="00731644">
        <w:rPr>
          <w:lang w:val="fr-CH"/>
        </w:rPr>
        <w:t>personn</w:t>
      </w:r>
      <w:r w:rsidR="00A46BCB" w:rsidRPr="00731644">
        <w:rPr>
          <w:lang w:val="fr-CH"/>
        </w:rPr>
        <w:t xml:space="preserve">alisée </w:t>
      </w:r>
      <w:r w:rsidR="002C3D26" w:rsidRPr="00731644">
        <w:rPr>
          <w:lang w:val="fr-CH"/>
        </w:rPr>
        <w:t>et l</w:t>
      </w:r>
      <w:r w:rsidR="00425386" w:rsidRPr="00731644">
        <w:rPr>
          <w:lang w:val="fr-CH"/>
        </w:rPr>
        <w:t>’</w:t>
      </w:r>
      <w:r w:rsidR="002C3D26" w:rsidRPr="00731644">
        <w:rPr>
          <w:lang w:val="fr-CH"/>
        </w:rPr>
        <w:t>application des principes de l</w:t>
      </w:r>
      <w:r w:rsidR="00425386" w:rsidRPr="00731644">
        <w:rPr>
          <w:lang w:val="fr-CH"/>
        </w:rPr>
        <w:t>’</w:t>
      </w:r>
      <w:r w:rsidR="002C3D26" w:rsidRPr="00731644">
        <w:rPr>
          <w:lang w:val="fr-CH"/>
        </w:rPr>
        <w:t>inclusion sociale</w:t>
      </w:r>
      <w:r w:rsidR="00F31DD5" w:rsidRPr="00731644">
        <w:rPr>
          <w:lang w:val="fr-CH"/>
        </w:rPr>
        <w:t>;</w:t>
      </w:r>
      <w:r w:rsidR="004C7BF6" w:rsidRPr="00731644">
        <w:rPr>
          <w:lang w:val="fr-CH"/>
        </w:rPr>
        <w:t xml:space="preserve"> </w:t>
      </w:r>
      <w:r w:rsidR="007A176F" w:rsidRPr="00731644">
        <w:rPr>
          <w:lang w:val="fr-CH"/>
        </w:rPr>
        <w:t>5)</w:t>
      </w:r>
      <w:r w:rsidR="004C7BF6" w:rsidRPr="00731644">
        <w:rPr>
          <w:lang w:val="fr-CH"/>
        </w:rPr>
        <w:t xml:space="preserve"> </w:t>
      </w:r>
      <w:r w:rsidR="002C3D26" w:rsidRPr="00731644">
        <w:rPr>
          <w:lang w:val="fr-CH"/>
        </w:rPr>
        <w:t>de développer la notion de volontariat à l</w:t>
      </w:r>
      <w:r w:rsidR="00425386" w:rsidRPr="00731644">
        <w:rPr>
          <w:lang w:val="fr-CH"/>
        </w:rPr>
        <w:t>’</w:t>
      </w:r>
      <w:r w:rsidR="002C3D26" w:rsidRPr="00731644">
        <w:rPr>
          <w:lang w:val="fr-CH"/>
        </w:rPr>
        <w:t>Université mais aussi dans l</w:t>
      </w:r>
      <w:r w:rsidR="00425386" w:rsidRPr="00731644">
        <w:rPr>
          <w:lang w:val="fr-CH"/>
        </w:rPr>
        <w:t>’</w:t>
      </w:r>
      <w:r w:rsidR="002C3D26" w:rsidRPr="00731644">
        <w:rPr>
          <w:lang w:val="fr-CH"/>
        </w:rPr>
        <w:t>enseignement élémentaire</w:t>
      </w:r>
      <w:r w:rsidR="00F31DD5" w:rsidRPr="00731644">
        <w:rPr>
          <w:lang w:val="fr-CH"/>
        </w:rPr>
        <w:t>;</w:t>
      </w:r>
      <w:r w:rsidR="004C7BF6" w:rsidRPr="00731644">
        <w:rPr>
          <w:lang w:val="fr-CH"/>
        </w:rPr>
        <w:t xml:space="preserve"> </w:t>
      </w:r>
      <w:r w:rsidR="007A176F" w:rsidRPr="00731644">
        <w:rPr>
          <w:lang w:val="fr-CH"/>
        </w:rPr>
        <w:t>6)</w:t>
      </w:r>
      <w:r w:rsidR="004C7BF6" w:rsidRPr="00731644">
        <w:rPr>
          <w:lang w:val="fr-CH"/>
        </w:rPr>
        <w:t xml:space="preserve"> </w:t>
      </w:r>
      <w:r w:rsidR="002C3D26" w:rsidRPr="00731644">
        <w:rPr>
          <w:lang w:val="fr-CH"/>
        </w:rPr>
        <w:t>de faire acquérir à l</w:t>
      </w:r>
      <w:r w:rsidR="00425386" w:rsidRPr="00731644">
        <w:rPr>
          <w:lang w:val="fr-CH"/>
        </w:rPr>
        <w:t>’</w:t>
      </w:r>
      <w:r w:rsidR="002C3D26" w:rsidRPr="00731644">
        <w:rPr>
          <w:lang w:val="fr-CH"/>
        </w:rPr>
        <w:t>étudiant une pratique de l</w:t>
      </w:r>
      <w:r w:rsidR="00425386" w:rsidRPr="00731644">
        <w:rPr>
          <w:lang w:val="fr-CH"/>
        </w:rPr>
        <w:t>’</w:t>
      </w:r>
      <w:r w:rsidR="002C3D26" w:rsidRPr="00731644">
        <w:rPr>
          <w:lang w:val="fr-CH"/>
        </w:rPr>
        <w:t>enseignement et de la pédagogie, et de le préparer à travailler dans des classes multiculturelles et dans la communauté scolaire</w:t>
      </w:r>
      <w:r w:rsidR="00F31DD5" w:rsidRPr="00731644">
        <w:rPr>
          <w:lang w:val="fr-CH"/>
        </w:rPr>
        <w:t>;</w:t>
      </w:r>
      <w:r w:rsidR="004C7BF6" w:rsidRPr="00731644">
        <w:rPr>
          <w:lang w:val="fr-CH"/>
        </w:rPr>
        <w:t xml:space="preserve"> </w:t>
      </w:r>
      <w:r w:rsidR="007A176F" w:rsidRPr="00731644">
        <w:rPr>
          <w:lang w:val="fr-CH"/>
        </w:rPr>
        <w:t>7)</w:t>
      </w:r>
      <w:r w:rsidR="004C7BF6" w:rsidRPr="00731644">
        <w:rPr>
          <w:lang w:val="fr-CH"/>
        </w:rPr>
        <w:t xml:space="preserve"> </w:t>
      </w:r>
      <w:r w:rsidR="002C3D26" w:rsidRPr="00731644">
        <w:rPr>
          <w:lang w:val="fr-CH"/>
        </w:rPr>
        <w:t xml:space="preserve">de relier la recherche et la pratique </w:t>
      </w:r>
      <w:r w:rsidR="00610DAE" w:rsidRPr="00731644">
        <w:rPr>
          <w:lang w:val="fr-CH"/>
        </w:rPr>
        <w:t>pédagogique, c</w:t>
      </w:r>
      <w:r w:rsidR="00425386" w:rsidRPr="00731644">
        <w:rPr>
          <w:lang w:val="fr-CH"/>
        </w:rPr>
        <w:t>’</w:t>
      </w:r>
      <w:r w:rsidR="00610DAE" w:rsidRPr="00731644">
        <w:rPr>
          <w:lang w:val="fr-CH"/>
        </w:rPr>
        <w:t xml:space="preserve">est-à-dire de faire évoluer cette pratique à la lumière des résultats de la recherche. </w:t>
      </w:r>
    </w:p>
    <w:p w:rsidR="004C7BF6" w:rsidRPr="00731644" w:rsidRDefault="00D03EA3" w:rsidP="004011E4">
      <w:pPr>
        <w:pStyle w:val="SingleTxtG"/>
        <w:rPr>
          <w:lang w:val="fr-CH"/>
        </w:rPr>
      </w:pPr>
      <w:r w:rsidRPr="00731644">
        <w:rPr>
          <w:lang w:val="fr-CH"/>
        </w:rPr>
        <w:t>298</w:t>
      </w:r>
      <w:r w:rsidR="000B213E" w:rsidRPr="00731644">
        <w:rPr>
          <w:lang w:val="fr-CH"/>
        </w:rPr>
        <w:t>.</w:t>
      </w:r>
      <w:r w:rsidR="000B213E" w:rsidRPr="00731644">
        <w:rPr>
          <w:lang w:val="fr-CH"/>
        </w:rPr>
        <w:tab/>
      </w:r>
      <w:r w:rsidR="00610DAE" w:rsidRPr="00731644">
        <w:rPr>
          <w:lang w:val="fr-CH"/>
        </w:rPr>
        <w:t>Les activités menées à ce jour sont les suivantes. Phase préparatoire, recherche</w:t>
      </w:r>
      <w:r w:rsidR="00F31DD5" w:rsidRPr="00731644">
        <w:rPr>
          <w:lang w:val="fr-CH"/>
        </w:rPr>
        <w:t>:</w:t>
      </w:r>
      <w:r w:rsidR="00610DAE" w:rsidRPr="00731644">
        <w:rPr>
          <w:lang w:val="fr-CH"/>
        </w:rPr>
        <w:t xml:space="preserve"> </w:t>
      </w:r>
      <w:r w:rsidR="00B926A5" w:rsidRPr="00731644">
        <w:rPr>
          <w:lang w:val="fr-CH"/>
        </w:rPr>
        <w:t>a</w:t>
      </w:r>
      <w:r w:rsidR="004C7BF6" w:rsidRPr="00731644">
        <w:rPr>
          <w:lang w:val="fr-CH"/>
        </w:rPr>
        <w:t>nalyse</w:t>
      </w:r>
      <w:r w:rsidR="00610DAE" w:rsidRPr="00731644">
        <w:rPr>
          <w:lang w:val="fr-CH"/>
        </w:rPr>
        <w:t xml:space="preserve"> documentaire et élaboration des</w:t>
      </w:r>
      <w:r w:rsidR="00F31DD5" w:rsidRPr="00731644">
        <w:rPr>
          <w:lang w:val="fr-CH"/>
        </w:rPr>
        <w:t xml:space="preserve"> </w:t>
      </w:r>
      <w:r w:rsidR="004C7BF6" w:rsidRPr="00731644">
        <w:rPr>
          <w:lang w:val="fr-CH"/>
        </w:rPr>
        <w:t>instruments</w:t>
      </w:r>
      <w:r w:rsidR="00610DAE" w:rsidRPr="00731644">
        <w:rPr>
          <w:lang w:val="fr-CH"/>
        </w:rPr>
        <w:t xml:space="preserve"> de recherche</w:t>
      </w:r>
      <w:r w:rsidR="00F31DD5" w:rsidRPr="00731644">
        <w:rPr>
          <w:lang w:val="fr-CH"/>
        </w:rPr>
        <w:t>;</w:t>
      </w:r>
      <w:r w:rsidR="004C7BF6" w:rsidRPr="00731644">
        <w:rPr>
          <w:lang w:val="fr-CH"/>
        </w:rPr>
        <w:t xml:space="preserve"> </w:t>
      </w:r>
      <w:r w:rsidRPr="00731644">
        <w:rPr>
          <w:lang w:val="fr-CH"/>
        </w:rPr>
        <w:t>o</w:t>
      </w:r>
      <w:r w:rsidR="004C7BF6" w:rsidRPr="00731644">
        <w:rPr>
          <w:lang w:val="fr-CH"/>
        </w:rPr>
        <w:t>rgan</w:t>
      </w:r>
      <w:r w:rsidR="00AB4B08" w:rsidRPr="00731644">
        <w:rPr>
          <w:lang w:val="fr-CH"/>
        </w:rPr>
        <w:t>i</w:t>
      </w:r>
      <w:r w:rsidR="00610DAE" w:rsidRPr="00731644">
        <w:rPr>
          <w:lang w:val="fr-CH"/>
        </w:rPr>
        <w:t>s</w:t>
      </w:r>
      <w:r w:rsidR="00AB4B08" w:rsidRPr="00731644">
        <w:rPr>
          <w:lang w:val="fr-CH"/>
        </w:rPr>
        <w:t>ation</w:t>
      </w:r>
      <w:r w:rsidR="004C7BF6" w:rsidRPr="00731644">
        <w:rPr>
          <w:lang w:val="fr-CH"/>
        </w:rPr>
        <w:t xml:space="preserve"> </w:t>
      </w:r>
      <w:r w:rsidR="00610DAE" w:rsidRPr="00731644">
        <w:rPr>
          <w:lang w:val="fr-CH"/>
        </w:rPr>
        <w:t>de formations à l</w:t>
      </w:r>
      <w:r w:rsidR="00425386" w:rsidRPr="00731644">
        <w:rPr>
          <w:lang w:val="fr-CH"/>
        </w:rPr>
        <w:t>’</w:t>
      </w:r>
      <w:r w:rsidR="00610DAE" w:rsidRPr="00731644">
        <w:rPr>
          <w:lang w:val="fr-CH"/>
        </w:rPr>
        <w:t xml:space="preserve">intention des étudiants </w:t>
      </w:r>
      <w:r w:rsidR="00945395" w:rsidRPr="00731644">
        <w:rPr>
          <w:lang w:val="fr-CH"/>
        </w:rPr>
        <w:t xml:space="preserve">chargés </w:t>
      </w:r>
      <w:r w:rsidR="00610DAE" w:rsidRPr="00731644">
        <w:rPr>
          <w:lang w:val="fr-CH"/>
        </w:rPr>
        <w:t>des</w:t>
      </w:r>
      <w:r w:rsidR="00945395" w:rsidRPr="00731644">
        <w:rPr>
          <w:lang w:val="fr-CH"/>
        </w:rPr>
        <w:t xml:space="preserve"> travaux de recherche</w:t>
      </w:r>
      <w:r w:rsidR="00F31DD5" w:rsidRPr="00731644">
        <w:rPr>
          <w:lang w:val="fr-CH"/>
        </w:rPr>
        <w:t>;</w:t>
      </w:r>
      <w:r w:rsidR="004C7BF6" w:rsidRPr="00731644">
        <w:rPr>
          <w:lang w:val="fr-CH"/>
        </w:rPr>
        <w:t xml:space="preserve"> </w:t>
      </w:r>
      <w:r w:rsidR="00610DAE" w:rsidRPr="00731644">
        <w:rPr>
          <w:lang w:val="fr-CH"/>
        </w:rPr>
        <w:t>réalisation de</w:t>
      </w:r>
      <w:r w:rsidR="00945395" w:rsidRPr="00731644">
        <w:rPr>
          <w:lang w:val="fr-CH"/>
        </w:rPr>
        <w:t xml:space="preserve"> ce</w:t>
      </w:r>
      <w:r w:rsidR="00610DAE" w:rsidRPr="00731644">
        <w:rPr>
          <w:lang w:val="fr-CH"/>
        </w:rPr>
        <w:t>s travaux</w:t>
      </w:r>
      <w:r w:rsidR="004C7BF6" w:rsidRPr="00731644">
        <w:rPr>
          <w:lang w:val="fr-CH"/>
        </w:rPr>
        <w:t>. Compo</w:t>
      </w:r>
      <w:r w:rsidR="00610DAE" w:rsidRPr="00731644">
        <w:rPr>
          <w:lang w:val="fr-CH"/>
        </w:rPr>
        <w:t>sante</w:t>
      </w:r>
      <w:r w:rsidR="004C7BF6" w:rsidRPr="00731644">
        <w:rPr>
          <w:lang w:val="fr-CH"/>
        </w:rPr>
        <w:t xml:space="preserve"> 1</w:t>
      </w:r>
      <w:r w:rsidR="00523EA6" w:rsidRPr="00731644">
        <w:rPr>
          <w:lang w:val="fr-CH"/>
        </w:rPr>
        <w:t>:</w:t>
      </w:r>
      <w:r w:rsidR="004C7BF6" w:rsidRPr="00731644">
        <w:rPr>
          <w:lang w:val="fr-CH"/>
        </w:rPr>
        <w:t xml:space="preserve"> </w:t>
      </w:r>
      <w:r w:rsidR="00E451CF" w:rsidRPr="00731644">
        <w:rPr>
          <w:lang w:val="fr-CH"/>
        </w:rPr>
        <w:t>tutorat</w:t>
      </w:r>
      <w:r w:rsidR="004C7BF6" w:rsidRPr="00731644">
        <w:rPr>
          <w:lang w:val="fr-CH"/>
        </w:rPr>
        <w:t>/vol</w:t>
      </w:r>
      <w:r w:rsidR="00D61F12" w:rsidRPr="00731644">
        <w:rPr>
          <w:lang w:val="fr-CH"/>
        </w:rPr>
        <w:t>ontariat</w:t>
      </w:r>
      <w:r w:rsidR="00F31DD5" w:rsidRPr="00731644">
        <w:rPr>
          <w:lang w:val="fr-CH"/>
        </w:rPr>
        <w:t>:</w:t>
      </w:r>
      <w:r w:rsidR="004C7BF6" w:rsidRPr="00731644">
        <w:rPr>
          <w:lang w:val="fr-CH"/>
        </w:rPr>
        <w:t xml:space="preserve"> </w:t>
      </w:r>
      <w:r w:rsidR="00E451CF" w:rsidRPr="00731644">
        <w:rPr>
          <w:lang w:val="fr-CH"/>
        </w:rPr>
        <w:t>conception et réalisation d</w:t>
      </w:r>
      <w:r w:rsidR="00425386" w:rsidRPr="00731644">
        <w:rPr>
          <w:lang w:val="fr-CH"/>
        </w:rPr>
        <w:t>’</w:t>
      </w:r>
      <w:r w:rsidR="00E451CF" w:rsidRPr="00731644">
        <w:rPr>
          <w:lang w:val="fr-CH"/>
        </w:rPr>
        <w:t>un plan d</w:t>
      </w:r>
      <w:r w:rsidR="00425386" w:rsidRPr="00731644">
        <w:rPr>
          <w:lang w:val="fr-CH"/>
        </w:rPr>
        <w:t>’</w:t>
      </w:r>
      <w:r w:rsidR="00E451CF" w:rsidRPr="00731644">
        <w:rPr>
          <w:lang w:val="fr-CH"/>
        </w:rPr>
        <w:t>action destiné à être incorporé au volet recherche du projet</w:t>
      </w:r>
      <w:r w:rsidR="00F31DD5" w:rsidRPr="00731644">
        <w:rPr>
          <w:lang w:val="fr-CH"/>
        </w:rPr>
        <w:t>;</w:t>
      </w:r>
      <w:r w:rsidR="004C7BF6" w:rsidRPr="00731644">
        <w:rPr>
          <w:lang w:val="fr-CH"/>
        </w:rPr>
        <w:t xml:space="preserve"> </w:t>
      </w:r>
      <w:r w:rsidRPr="00731644">
        <w:rPr>
          <w:lang w:val="fr-CH"/>
        </w:rPr>
        <w:t>organi</w:t>
      </w:r>
      <w:r w:rsidR="00E451CF" w:rsidRPr="00731644">
        <w:rPr>
          <w:lang w:val="fr-CH"/>
        </w:rPr>
        <w:t>s</w:t>
      </w:r>
      <w:r w:rsidRPr="00731644">
        <w:rPr>
          <w:lang w:val="fr-CH"/>
        </w:rPr>
        <w:t xml:space="preserve">ation </w:t>
      </w:r>
      <w:r w:rsidR="00E451CF" w:rsidRPr="00731644">
        <w:rPr>
          <w:lang w:val="fr-CH"/>
        </w:rPr>
        <w:t>et</w:t>
      </w:r>
      <w:r w:rsidR="004C7BF6" w:rsidRPr="00731644">
        <w:rPr>
          <w:lang w:val="fr-CH"/>
        </w:rPr>
        <w:t xml:space="preserve"> coordination </w:t>
      </w:r>
      <w:r w:rsidR="00E451CF" w:rsidRPr="00731644">
        <w:rPr>
          <w:lang w:val="fr-CH"/>
        </w:rPr>
        <w:t>de la formation des étudiants volontaires</w:t>
      </w:r>
      <w:r w:rsidR="00F31DD5" w:rsidRPr="00731644">
        <w:rPr>
          <w:lang w:val="fr-CH"/>
        </w:rPr>
        <w:t>;</w:t>
      </w:r>
      <w:r w:rsidR="004C7BF6" w:rsidRPr="00731644">
        <w:rPr>
          <w:lang w:val="fr-CH"/>
        </w:rPr>
        <w:t xml:space="preserve"> </w:t>
      </w:r>
      <w:r w:rsidRPr="00731644">
        <w:rPr>
          <w:lang w:val="fr-CH"/>
        </w:rPr>
        <w:t xml:space="preserve">formation </w:t>
      </w:r>
      <w:r w:rsidR="00E451CF" w:rsidRPr="00731644">
        <w:rPr>
          <w:lang w:val="fr-CH"/>
        </w:rPr>
        <w:t>de groupes d</w:t>
      </w:r>
      <w:r w:rsidR="00425386" w:rsidRPr="00731644">
        <w:rPr>
          <w:lang w:val="fr-CH"/>
        </w:rPr>
        <w:t>’</w:t>
      </w:r>
      <w:r w:rsidR="00E451CF" w:rsidRPr="00731644">
        <w:rPr>
          <w:lang w:val="fr-CH"/>
        </w:rPr>
        <w:t>étudiants volontaires, travail auprès des enfants et supervision de ce travail</w:t>
      </w:r>
      <w:r w:rsidR="00F31DD5" w:rsidRPr="00731644">
        <w:rPr>
          <w:lang w:val="fr-CH"/>
        </w:rPr>
        <w:t>;</w:t>
      </w:r>
      <w:r w:rsidR="004C7BF6" w:rsidRPr="00731644">
        <w:rPr>
          <w:lang w:val="fr-CH"/>
        </w:rPr>
        <w:t xml:space="preserve"> </w:t>
      </w:r>
      <w:r w:rsidR="00B420D3" w:rsidRPr="00731644">
        <w:rPr>
          <w:lang w:val="fr-CH"/>
        </w:rPr>
        <w:t xml:space="preserve">mise à disposition </w:t>
      </w:r>
      <w:r w:rsidR="00B926A5" w:rsidRPr="00731644">
        <w:rPr>
          <w:lang w:val="fr-CH"/>
        </w:rPr>
        <w:t>de la documentation manquante</w:t>
      </w:r>
      <w:r w:rsidR="00E451CF" w:rsidRPr="00731644">
        <w:rPr>
          <w:lang w:val="fr-CH"/>
        </w:rPr>
        <w:t xml:space="preserve"> </w:t>
      </w:r>
      <w:r w:rsidR="004C7BF6" w:rsidRPr="00731644">
        <w:rPr>
          <w:lang w:val="fr-CH"/>
        </w:rPr>
        <w:t>(</w:t>
      </w:r>
      <w:r w:rsidR="00B420D3" w:rsidRPr="00731644">
        <w:rPr>
          <w:lang w:val="fr-CH"/>
        </w:rPr>
        <w:t xml:space="preserve">sur des thèmes tels que le </w:t>
      </w:r>
      <w:r w:rsidR="00E451CF" w:rsidRPr="00731644">
        <w:rPr>
          <w:lang w:val="fr-CH"/>
        </w:rPr>
        <w:t xml:space="preserve">tutorat, </w:t>
      </w:r>
      <w:r w:rsidR="00B420D3" w:rsidRPr="00731644">
        <w:rPr>
          <w:lang w:val="fr-CH"/>
        </w:rPr>
        <w:t xml:space="preserve">le </w:t>
      </w:r>
      <w:r w:rsidR="00E451CF" w:rsidRPr="00731644">
        <w:rPr>
          <w:lang w:val="fr-CH"/>
        </w:rPr>
        <w:t xml:space="preserve">travail en groupe, </w:t>
      </w:r>
      <w:r w:rsidR="00B420D3" w:rsidRPr="00731644">
        <w:rPr>
          <w:lang w:val="fr-CH"/>
        </w:rPr>
        <w:t xml:space="preserve">le </w:t>
      </w:r>
      <w:r w:rsidR="004C7BF6" w:rsidRPr="00731644">
        <w:rPr>
          <w:lang w:val="fr-CH"/>
        </w:rPr>
        <w:t>multiculturalism</w:t>
      </w:r>
      <w:r w:rsidR="00E451CF" w:rsidRPr="00731644">
        <w:rPr>
          <w:lang w:val="fr-CH"/>
        </w:rPr>
        <w:t>e</w:t>
      </w:r>
      <w:r w:rsidR="004C7BF6" w:rsidRPr="00731644">
        <w:rPr>
          <w:lang w:val="fr-CH"/>
        </w:rPr>
        <w:t xml:space="preserve">, </w:t>
      </w:r>
      <w:r w:rsidR="00B420D3" w:rsidRPr="00731644">
        <w:rPr>
          <w:lang w:val="fr-CH"/>
        </w:rPr>
        <w:t xml:space="preserve">le </w:t>
      </w:r>
      <w:r w:rsidR="004C7BF6" w:rsidRPr="00731644">
        <w:rPr>
          <w:lang w:val="fr-CH"/>
        </w:rPr>
        <w:t>bilinguism</w:t>
      </w:r>
      <w:r w:rsidR="00E451CF" w:rsidRPr="00731644">
        <w:rPr>
          <w:lang w:val="fr-CH"/>
        </w:rPr>
        <w:t>e</w:t>
      </w:r>
      <w:r w:rsidR="004C7BF6" w:rsidRPr="00731644">
        <w:rPr>
          <w:lang w:val="fr-CH"/>
        </w:rPr>
        <w:t>, etc.)</w:t>
      </w:r>
      <w:r w:rsidR="00F31DD5" w:rsidRPr="00731644">
        <w:rPr>
          <w:lang w:val="fr-CH"/>
        </w:rPr>
        <w:t>;</w:t>
      </w:r>
      <w:r w:rsidR="004C7BF6" w:rsidRPr="00731644">
        <w:rPr>
          <w:lang w:val="fr-CH"/>
        </w:rPr>
        <w:t xml:space="preserve"> </w:t>
      </w:r>
      <w:r w:rsidR="00B926A5" w:rsidRPr="00731644">
        <w:rPr>
          <w:lang w:val="fr-CH"/>
        </w:rPr>
        <w:t>suivi de l</w:t>
      </w:r>
      <w:r w:rsidR="00425386" w:rsidRPr="00731644">
        <w:rPr>
          <w:lang w:val="fr-CH"/>
        </w:rPr>
        <w:t>’</w:t>
      </w:r>
      <w:r w:rsidR="00B926A5" w:rsidRPr="00731644">
        <w:rPr>
          <w:lang w:val="fr-CH"/>
        </w:rPr>
        <w:t>él</w:t>
      </w:r>
      <w:r w:rsidR="00E451CF" w:rsidRPr="00731644">
        <w:rPr>
          <w:lang w:val="fr-CH"/>
        </w:rPr>
        <w:t>aboration des rapports des étudiants</w:t>
      </w:r>
      <w:r w:rsidR="004C7BF6" w:rsidRPr="00731644">
        <w:rPr>
          <w:lang w:val="fr-CH"/>
        </w:rPr>
        <w:t>. Compo</w:t>
      </w:r>
      <w:r w:rsidR="00E451CF" w:rsidRPr="00731644">
        <w:rPr>
          <w:lang w:val="fr-CH"/>
        </w:rPr>
        <w:t>sante</w:t>
      </w:r>
      <w:r w:rsidR="004C7BF6" w:rsidRPr="00731644">
        <w:rPr>
          <w:lang w:val="fr-CH"/>
        </w:rPr>
        <w:t xml:space="preserve"> 2</w:t>
      </w:r>
      <w:r w:rsidR="00F31DD5" w:rsidRPr="00731644">
        <w:rPr>
          <w:lang w:val="fr-CH"/>
        </w:rPr>
        <w:t>:</w:t>
      </w:r>
      <w:r w:rsidR="00A332AD" w:rsidRPr="00731644">
        <w:rPr>
          <w:lang w:val="fr-CH"/>
        </w:rPr>
        <w:t xml:space="preserve"> assistants</w:t>
      </w:r>
      <w:r w:rsidR="00E451CF" w:rsidRPr="00731644">
        <w:rPr>
          <w:lang w:val="fr-CH"/>
        </w:rPr>
        <w:t xml:space="preserve"> roms dans la communauté – </w:t>
      </w:r>
      <w:r w:rsidR="00B420D3" w:rsidRPr="00731644">
        <w:rPr>
          <w:lang w:val="fr-CH"/>
        </w:rPr>
        <w:t>information par voie d</w:t>
      </w:r>
      <w:r w:rsidR="00425386" w:rsidRPr="00731644">
        <w:rPr>
          <w:lang w:val="fr-CH"/>
        </w:rPr>
        <w:t>’</w:t>
      </w:r>
      <w:r w:rsidR="00B420D3" w:rsidRPr="00731644">
        <w:rPr>
          <w:lang w:val="fr-CH"/>
        </w:rPr>
        <w:t>annonces</w:t>
      </w:r>
      <w:r w:rsidR="00E451CF" w:rsidRPr="00731644">
        <w:rPr>
          <w:lang w:val="fr-CH"/>
        </w:rPr>
        <w:t xml:space="preserve"> </w:t>
      </w:r>
      <w:r w:rsidR="00B420D3" w:rsidRPr="00731644">
        <w:rPr>
          <w:lang w:val="fr-CH"/>
        </w:rPr>
        <w:t>sur l</w:t>
      </w:r>
      <w:r w:rsidR="00E451CF" w:rsidRPr="00731644">
        <w:rPr>
          <w:lang w:val="fr-CH"/>
        </w:rPr>
        <w:t>es besoins à cet égard, sélection des assistants et suivi de leur travail.</w:t>
      </w:r>
      <w:r w:rsidR="00F31DD5" w:rsidRPr="00731644">
        <w:rPr>
          <w:lang w:val="fr-CH"/>
        </w:rPr>
        <w:t xml:space="preserve"> </w:t>
      </w:r>
    </w:p>
    <w:p w:rsidR="004C7BF6" w:rsidRPr="00731644" w:rsidRDefault="008A5997" w:rsidP="000149A2">
      <w:pPr>
        <w:pStyle w:val="SingleTxtG"/>
        <w:rPr>
          <w:lang w:val="fr-CH"/>
        </w:rPr>
      </w:pPr>
      <w:r w:rsidRPr="00731644">
        <w:rPr>
          <w:iCs/>
          <w:lang w:val="fr-CH"/>
        </w:rPr>
        <w:t>299</w:t>
      </w:r>
      <w:r w:rsidR="000B213E" w:rsidRPr="00731644">
        <w:rPr>
          <w:iCs/>
          <w:lang w:val="fr-CH"/>
        </w:rPr>
        <w:t>.</w:t>
      </w:r>
      <w:r w:rsidR="000B213E" w:rsidRPr="00731644">
        <w:rPr>
          <w:iCs/>
          <w:lang w:val="fr-CH"/>
        </w:rPr>
        <w:tab/>
      </w:r>
      <w:r w:rsidR="00E451CF" w:rsidRPr="00731644">
        <w:rPr>
          <w:iCs/>
          <w:lang w:val="fr-CH"/>
        </w:rPr>
        <w:t>Le</w:t>
      </w:r>
      <w:r w:rsidR="004C7BF6" w:rsidRPr="00731644">
        <w:rPr>
          <w:iCs/>
          <w:lang w:val="fr-CH"/>
        </w:rPr>
        <w:t xml:space="preserve"> plan </w:t>
      </w:r>
      <w:r w:rsidR="00E451CF" w:rsidRPr="00731644">
        <w:rPr>
          <w:iCs/>
          <w:lang w:val="fr-CH"/>
        </w:rPr>
        <w:t>prévoit la poursuite du programme MN 001</w:t>
      </w:r>
      <w:r w:rsidR="00490A6B" w:rsidRPr="00731644">
        <w:rPr>
          <w:iCs/>
          <w:lang w:val="fr-CH"/>
        </w:rPr>
        <w:t>,</w:t>
      </w:r>
      <w:r w:rsidR="00E451CF" w:rsidRPr="00731644">
        <w:rPr>
          <w:iCs/>
          <w:lang w:val="fr-CH"/>
        </w:rPr>
        <w:t xml:space="preserve"> </w:t>
      </w:r>
      <w:r w:rsidR="002061AB">
        <w:rPr>
          <w:iCs/>
          <w:lang w:val="fr-CH"/>
        </w:rPr>
        <w:t>«</w:t>
      </w:r>
      <w:r w:rsidR="00490A6B" w:rsidRPr="00731644">
        <w:rPr>
          <w:iCs/>
          <w:lang w:val="fr-CH"/>
        </w:rPr>
        <w:t>Initiative pour l</w:t>
      </w:r>
      <w:r w:rsidR="00425386" w:rsidRPr="00731644">
        <w:rPr>
          <w:iCs/>
          <w:lang w:val="fr-CH"/>
        </w:rPr>
        <w:t>’</w:t>
      </w:r>
      <w:r w:rsidR="00490A6B" w:rsidRPr="00731644">
        <w:rPr>
          <w:iCs/>
          <w:lang w:val="fr-CH"/>
        </w:rPr>
        <w:t>éducation des Roms au Monténégro</w:t>
      </w:r>
      <w:r w:rsidR="002061AB">
        <w:rPr>
          <w:iCs/>
          <w:lang w:val="fr-CH"/>
        </w:rPr>
        <w:t>»</w:t>
      </w:r>
      <w:r w:rsidR="00490A6B" w:rsidRPr="00731644">
        <w:rPr>
          <w:iCs/>
          <w:lang w:val="fr-CH"/>
        </w:rPr>
        <w:t>, qui a été soumis au Fonds pour l</w:t>
      </w:r>
      <w:r w:rsidR="00425386" w:rsidRPr="00731644">
        <w:rPr>
          <w:iCs/>
          <w:lang w:val="fr-CH"/>
        </w:rPr>
        <w:t>’</w:t>
      </w:r>
      <w:r w:rsidR="00490A6B" w:rsidRPr="00731644">
        <w:rPr>
          <w:iCs/>
          <w:lang w:val="fr-CH"/>
        </w:rPr>
        <w:t>éducation des Roms</w:t>
      </w:r>
      <w:r w:rsidR="004C7BF6" w:rsidRPr="00731644">
        <w:rPr>
          <w:iCs/>
          <w:lang w:val="fr-CH"/>
        </w:rPr>
        <w:t xml:space="preserve">. </w:t>
      </w:r>
      <w:r w:rsidR="00490A6B" w:rsidRPr="00731644">
        <w:rPr>
          <w:iCs/>
          <w:lang w:val="fr-CH"/>
        </w:rPr>
        <w:t>Les éléments en sont les suivants</w:t>
      </w:r>
      <w:r w:rsidR="00F31DD5" w:rsidRPr="00731644">
        <w:rPr>
          <w:iCs/>
          <w:lang w:val="fr-CH"/>
        </w:rPr>
        <w:t>:</w:t>
      </w:r>
      <w:r w:rsidR="00490A6B" w:rsidRPr="00731644">
        <w:rPr>
          <w:iCs/>
          <w:lang w:val="fr-CH"/>
        </w:rPr>
        <w:t xml:space="preserve"> </w:t>
      </w:r>
      <w:r w:rsidR="00A332AD" w:rsidRPr="00731644">
        <w:rPr>
          <w:iCs/>
          <w:lang w:val="fr-CH"/>
        </w:rPr>
        <w:t>in</w:t>
      </w:r>
      <w:r w:rsidR="00413FC8" w:rsidRPr="00731644">
        <w:rPr>
          <w:iCs/>
          <w:lang w:val="fr-CH"/>
        </w:rPr>
        <w:t>ser</w:t>
      </w:r>
      <w:r w:rsidR="00A332AD" w:rsidRPr="00731644">
        <w:rPr>
          <w:iCs/>
          <w:lang w:val="fr-CH"/>
        </w:rPr>
        <w:t>tion</w:t>
      </w:r>
      <w:r w:rsidR="004C7BF6" w:rsidRPr="00731644">
        <w:rPr>
          <w:iCs/>
          <w:lang w:val="fr-CH"/>
        </w:rPr>
        <w:t xml:space="preserve"> </w:t>
      </w:r>
      <w:r w:rsidR="00490A6B" w:rsidRPr="00731644">
        <w:rPr>
          <w:iCs/>
          <w:lang w:val="fr-CH"/>
        </w:rPr>
        <w:t>et</w:t>
      </w:r>
      <w:r w:rsidR="004C7BF6" w:rsidRPr="00731644">
        <w:rPr>
          <w:iCs/>
          <w:lang w:val="fr-CH"/>
        </w:rPr>
        <w:t xml:space="preserve"> </w:t>
      </w:r>
      <w:r w:rsidR="00490A6B" w:rsidRPr="00731644">
        <w:rPr>
          <w:iCs/>
          <w:lang w:val="fr-CH"/>
        </w:rPr>
        <w:t>é</w:t>
      </w:r>
      <w:r w:rsidR="004C7BF6" w:rsidRPr="00731644">
        <w:rPr>
          <w:iCs/>
          <w:lang w:val="fr-CH"/>
        </w:rPr>
        <w:t xml:space="preserve">ducation </w:t>
      </w:r>
      <w:r w:rsidR="00413FC8" w:rsidRPr="00731644">
        <w:rPr>
          <w:iCs/>
          <w:lang w:val="fr-CH"/>
        </w:rPr>
        <w:t>dans le cadre du</w:t>
      </w:r>
      <w:r w:rsidR="00490A6B" w:rsidRPr="00731644">
        <w:rPr>
          <w:iCs/>
          <w:lang w:val="fr-CH"/>
        </w:rPr>
        <w:t xml:space="preserve"> plan de déségrégation</w:t>
      </w:r>
      <w:r w:rsidR="004C7BF6" w:rsidRPr="00731644">
        <w:rPr>
          <w:iCs/>
          <w:lang w:val="fr-CH"/>
        </w:rPr>
        <w:t xml:space="preserve">; </w:t>
      </w:r>
      <w:r w:rsidR="00D03EA3" w:rsidRPr="00731644">
        <w:rPr>
          <w:iCs/>
          <w:lang w:val="fr-CH"/>
        </w:rPr>
        <w:t>p</w:t>
      </w:r>
      <w:r w:rsidR="00286F92" w:rsidRPr="00731644">
        <w:rPr>
          <w:iCs/>
          <w:lang w:val="fr-CH"/>
        </w:rPr>
        <w:t>rogramme</w:t>
      </w:r>
      <w:r w:rsidR="004C7BF6" w:rsidRPr="00731644">
        <w:rPr>
          <w:iCs/>
          <w:lang w:val="fr-CH"/>
        </w:rPr>
        <w:t xml:space="preserve"> </w:t>
      </w:r>
      <w:r w:rsidR="00490A6B" w:rsidRPr="00731644">
        <w:rPr>
          <w:iCs/>
          <w:lang w:val="fr-CH"/>
        </w:rPr>
        <w:t>de préparation à l</w:t>
      </w:r>
      <w:r w:rsidR="00425386" w:rsidRPr="00731644">
        <w:rPr>
          <w:iCs/>
          <w:lang w:val="fr-CH"/>
        </w:rPr>
        <w:t>’</w:t>
      </w:r>
      <w:r w:rsidR="00490A6B" w:rsidRPr="00731644">
        <w:rPr>
          <w:iCs/>
          <w:lang w:val="fr-CH"/>
        </w:rPr>
        <w:t>inscription à l</w:t>
      </w:r>
      <w:r w:rsidR="00425386" w:rsidRPr="00731644">
        <w:rPr>
          <w:iCs/>
          <w:lang w:val="fr-CH"/>
        </w:rPr>
        <w:t>’</w:t>
      </w:r>
      <w:r w:rsidR="00490A6B" w:rsidRPr="00731644">
        <w:rPr>
          <w:iCs/>
          <w:lang w:val="fr-CH"/>
        </w:rPr>
        <w:t xml:space="preserve">école élémentaire et programme de soutien </w:t>
      </w:r>
      <w:r w:rsidR="004C7BF6" w:rsidRPr="00731644">
        <w:rPr>
          <w:iCs/>
          <w:lang w:val="fr-CH"/>
        </w:rPr>
        <w:t xml:space="preserve">psychosocial </w:t>
      </w:r>
      <w:r w:rsidR="00490A6B" w:rsidRPr="00731644">
        <w:rPr>
          <w:iCs/>
          <w:lang w:val="fr-CH"/>
        </w:rPr>
        <w:t>aux enfants d</w:t>
      </w:r>
      <w:r w:rsidR="00425386" w:rsidRPr="00731644">
        <w:rPr>
          <w:iCs/>
          <w:lang w:val="fr-CH"/>
        </w:rPr>
        <w:t>’</w:t>
      </w:r>
      <w:r w:rsidR="00490A6B" w:rsidRPr="00731644">
        <w:rPr>
          <w:iCs/>
          <w:lang w:val="fr-CH"/>
        </w:rPr>
        <w:t>âge présco</w:t>
      </w:r>
      <w:r w:rsidR="00B420D3" w:rsidRPr="00731644">
        <w:rPr>
          <w:iCs/>
          <w:lang w:val="fr-CH"/>
        </w:rPr>
        <w:t>l</w:t>
      </w:r>
      <w:r w:rsidR="00490A6B" w:rsidRPr="00731644">
        <w:rPr>
          <w:iCs/>
          <w:lang w:val="fr-CH"/>
        </w:rPr>
        <w:t>aire</w:t>
      </w:r>
      <w:r w:rsidR="00F31DD5" w:rsidRPr="00731644">
        <w:rPr>
          <w:iCs/>
          <w:lang w:val="fr-CH"/>
        </w:rPr>
        <w:t>;</w:t>
      </w:r>
      <w:r w:rsidR="004C7BF6" w:rsidRPr="00731644">
        <w:rPr>
          <w:iCs/>
          <w:lang w:val="fr-CH"/>
        </w:rPr>
        <w:t xml:space="preserve"> </w:t>
      </w:r>
      <w:r w:rsidR="00490A6B" w:rsidRPr="00731644">
        <w:rPr>
          <w:iCs/>
          <w:lang w:val="fr-CH"/>
        </w:rPr>
        <w:t xml:space="preserve">cours </w:t>
      </w:r>
      <w:r w:rsidR="00B420D3" w:rsidRPr="00731644">
        <w:rPr>
          <w:iCs/>
          <w:lang w:val="fr-CH"/>
        </w:rPr>
        <w:t>supplémentaires</w:t>
      </w:r>
      <w:r w:rsidR="00490A6B" w:rsidRPr="00731644">
        <w:rPr>
          <w:iCs/>
          <w:lang w:val="fr-CH"/>
        </w:rPr>
        <w:t xml:space="preserve"> pour l</w:t>
      </w:r>
      <w:r w:rsidR="00425386" w:rsidRPr="00731644">
        <w:rPr>
          <w:iCs/>
          <w:lang w:val="fr-CH"/>
        </w:rPr>
        <w:t>’</w:t>
      </w:r>
      <w:r w:rsidR="00490A6B" w:rsidRPr="00731644">
        <w:rPr>
          <w:iCs/>
          <w:lang w:val="fr-CH"/>
        </w:rPr>
        <w:t>amélioration des résultats scolaires</w:t>
      </w:r>
      <w:r w:rsidR="00F31DD5" w:rsidRPr="00731644">
        <w:rPr>
          <w:iCs/>
          <w:lang w:val="fr-CH"/>
        </w:rPr>
        <w:t>;</w:t>
      </w:r>
      <w:r w:rsidR="004C7BF6" w:rsidRPr="00731644">
        <w:rPr>
          <w:iCs/>
          <w:lang w:val="fr-CH"/>
        </w:rPr>
        <w:t xml:space="preserve"> </w:t>
      </w:r>
      <w:r w:rsidR="00B420D3" w:rsidRPr="00731644">
        <w:rPr>
          <w:iCs/>
          <w:lang w:val="fr-CH"/>
        </w:rPr>
        <w:t>form</w:t>
      </w:r>
      <w:r w:rsidR="00490A6B" w:rsidRPr="00731644">
        <w:rPr>
          <w:iCs/>
          <w:lang w:val="fr-CH"/>
        </w:rPr>
        <w:t>ation d</w:t>
      </w:r>
      <w:r w:rsidR="00425386" w:rsidRPr="00731644">
        <w:rPr>
          <w:iCs/>
          <w:lang w:val="fr-CH"/>
        </w:rPr>
        <w:t>’</w:t>
      </w:r>
      <w:r w:rsidR="00490A6B" w:rsidRPr="00731644">
        <w:rPr>
          <w:iCs/>
          <w:lang w:val="fr-CH"/>
        </w:rPr>
        <w:t xml:space="preserve">enseignants </w:t>
      </w:r>
      <w:r w:rsidR="00B420D3" w:rsidRPr="00731644">
        <w:rPr>
          <w:iCs/>
          <w:lang w:val="fr-CH"/>
        </w:rPr>
        <w:t xml:space="preserve">au travail auprès </w:t>
      </w:r>
      <w:r w:rsidR="00413FC8" w:rsidRPr="00731644">
        <w:rPr>
          <w:iCs/>
          <w:lang w:val="fr-CH"/>
        </w:rPr>
        <w:t xml:space="preserve">des </w:t>
      </w:r>
      <w:r w:rsidR="00490A6B" w:rsidRPr="00731644">
        <w:rPr>
          <w:iCs/>
          <w:lang w:val="fr-CH"/>
        </w:rPr>
        <w:t>élèves rom</w:t>
      </w:r>
      <w:r w:rsidR="00B420D3" w:rsidRPr="00731644">
        <w:rPr>
          <w:iCs/>
          <w:lang w:val="fr-CH"/>
        </w:rPr>
        <w:t>s</w:t>
      </w:r>
      <w:r w:rsidR="00490A6B" w:rsidRPr="00731644">
        <w:rPr>
          <w:iCs/>
          <w:lang w:val="fr-CH"/>
        </w:rPr>
        <w:t xml:space="preserve">, </w:t>
      </w:r>
      <w:r w:rsidR="002A5033" w:rsidRPr="00731644">
        <w:rPr>
          <w:iCs/>
          <w:lang w:val="fr-CH"/>
        </w:rPr>
        <w:t>ashkali</w:t>
      </w:r>
      <w:r w:rsidR="00490A6B" w:rsidRPr="00731644">
        <w:rPr>
          <w:iCs/>
          <w:lang w:val="fr-CH"/>
        </w:rPr>
        <w:t xml:space="preserve"> et </w:t>
      </w:r>
      <w:r w:rsidR="00B420D3" w:rsidRPr="00731644">
        <w:rPr>
          <w:iCs/>
          <w:lang w:val="fr-CH"/>
        </w:rPr>
        <w:t>tziganes</w:t>
      </w:r>
      <w:r w:rsidR="00490A6B" w:rsidRPr="00731644">
        <w:rPr>
          <w:iCs/>
          <w:lang w:val="fr-CH"/>
        </w:rPr>
        <w:t xml:space="preserve"> dans des écoles </w:t>
      </w:r>
      <w:r w:rsidR="002061AB">
        <w:rPr>
          <w:iCs/>
          <w:lang w:val="fr-CH"/>
        </w:rPr>
        <w:t>«</w:t>
      </w:r>
      <w:r w:rsidR="00490A6B" w:rsidRPr="00731644">
        <w:rPr>
          <w:iCs/>
          <w:lang w:val="fr-CH"/>
        </w:rPr>
        <w:t>déségréguées</w:t>
      </w:r>
      <w:r w:rsidR="002061AB">
        <w:rPr>
          <w:iCs/>
          <w:lang w:val="fr-CH"/>
        </w:rPr>
        <w:t>»</w:t>
      </w:r>
      <w:r w:rsidR="00F31DD5" w:rsidRPr="00731644">
        <w:rPr>
          <w:iCs/>
          <w:lang w:val="fr-CH"/>
        </w:rPr>
        <w:t>;</w:t>
      </w:r>
      <w:r w:rsidR="004C7BF6" w:rsidRPr="00731644">
        <w:rPr>
          <w:iCs/>
          <w:lang w:val="fr-CH"/>
        </w:rPr>
        <w:t xml:space="preserve"> </w:t>
      </w:r>
      <w:r w:rsidR="00490A6B" w:rsidRPr="00731644">
        <w:rPr>
          <w:iCs/>
          <w:lang w:val="fr-CH"/>
        </w:rPr>
        <w:t>projets scolaires dans les établissements qu</w:t>
      </w:r>
      <w:r w:rsidR="00B420D3" w:rsidRPr="00731644">
        <w:rPr>
          <w:iCs/>
          <w:lang w:val="fr-CH"/>
        </w:rPr>
        <w:t>i</w:t>
      </w:r>
      <w:r w:rsidR="00490A6B" w:rsidRPr="00731644">
        <w:rPr>
          <w:iCs/>
          <w:lang w:val="fr-CH"/>
        </w:rPr>
        <w:t xml:space="preserve"> </w:t>
      </w:r>
      <w:r w:rsidR="00B420D3" w:rsidRPr="00731644">
        <w:rPr>
          <w:iCs/>
          <w:lang w:val="fr-CH"/>
        </w:rPr>
        <w:t>accueill</w:t>
      </w:r>
      <w:r w:rsidR="00490A6B" w:rsidRPr="00731644">
        <w:rPr>
          <w:iCs/>
          <w:lang w:val="fr-CH"/>
        </w:rPr>
        <w:t xml:space="preserve">ent </w:t>
      </w:r>
      <w:r w:rsidR="00B420D3" w:rsidRPr="00731644">
        <w:rPr>
          <w:iCs/>
          <w:lang w:val="fr-CH"/>
        </w:rPr>
        <w:t>c</w:t>
      </w:r>
      <w:r w:rsidR="00490A6B" w:rsidRPr="00731644">
        <w:rPr>
          <w:iCs/>
          <w:lang w:val="fr-CH"/>
        </w:rPr>
        <w:t>es enfants</w:t>
      </w:r>
      <w:r w:rsidR="004C7BF6" w:rsidRPr="00731644">
        <w:rPr>
          <w:lang w:val="fr-CH"/>
        </w:rPr>
        <w:t>.</w:t>
      </w:r>
    </w:p>
    <w:p w:rsidR="004C7BF6" w:rsidRPr="00731644" w:rsidRDefault="008A5997" w:rsidP="00B50E02">
      <w:pPr>
        <w:pStyle w:val="SingleTxtG"/>
        <w:rPr>
          <w:lang w:val="fr-CH"/>
        </w:rPr>
      </w:pPr>
      <w:r w:rsidRPr="00731644">
        <w:rPr>
          <w:lang w:val="fr-CH"/>
        </w:rPr>
        <w:t>300</w:t>
      </w:r>
      <w:r w:rsidR="000B213E" w:rsidRPr="00731644">
        <w:rPr>
          <w:lang w:val="fr-CH"/>
        </w:rPr>
        <w:t>.</w:t>
      </w:r>
      <w:r w:rsidR="000B213E" w:rsidRPr="00731644">
        <w:rPr>
          <w:lang w:val="fr-CH"/>
        </w:rPr>
        <w:tab/>
      </w:r>
      <w:r w:rsidR="00490A6B" w:rsidRPr="00731644">
        <w:rPr>
          <w:lang w:val="fr-CH"/>
        </w:rPr>
        <w:t>À la demande de l</w:t>
      </w:r>
      <w:r w:rsidR="00425386" w:rsidRPr="00731644">
        <w:rPr>
          <w:lang w:val="fr-CH"/>
        </w:rPr>
        <w:t>’</w:t>
      </w:r>
      <w:r w:rsidR="00490A6B" w:rsidRPr="00731644">
        <w:rPr>
          <w:lang w:val="fr-CH"/>
        </w:rPr>
        <w:t>Agence pour l</w:t>
      </w:r>
      <w:r w:rsidR="00425386" w:rsidRPr="00731644">
        <w:rPr>
          <w:lang w:val="fr-CH"/>
        </w:rPr>
        <w:t>’</w:t>
      </w:r>
      <w:r w:rsidR="00490A6B" w:rsidRPr="00731644">
        <w:rPr>
          <w:lang w:val="fr-CH"/>
        </w:rPr>
        <w:t xml:space="preserve">emploi, le </w:t>
      </w:r>
      <w:r w:rsidR="00CA4737" w:rsidRPr="00731644">
        <w:rPr>
          <w:lang w:val="fr-CH"/>
        </w:rPr>
        <w:t>C</w:t>
      </w:r>
      <w:r w:rsidR="00490A6B" w:rsidRPr="00731644">
        <w:rPr>
          <w:lang w:val="fr-CH"/>
        </w:rPr>
        <w:t>entre d</w:t>
      </w:r>
      <w:r w:rsidR="00425386" w:rsidRPr="00731644">
        <w:rPr>
          <w:lang w:val="fr-CH"/>
        </w:rPr>
        <w:t>’</w:t>
      </w:r>
      <w:r w:rsidR="00490A6B" w:rsidRPr="00731644">
        <w:rPr>
          <w:lang w:val="fr-CH"/>
        </w:rPr>
        <w:t>enseignement professionnel a mis</w:t>
      </w:r>
      <w:r w:rsidR="00CA4737" w:rsidRPr="00731644">
        <w:rPr>
          <w:lang w:val="fr-CH"/>
        </w:rPr>
        <w:t xml:space="preserve"> au point des normes professionnelles et des programmes de formation pour la réalisation d</w:t>
      </w:r>
      <w:r w:rsidR="002C3A2F" w:rsidRPr="00731644">
        <w:rPr>
          <w:lang w:val="fr-CH"/>
        </w:rPr>
        <w:t xml:space="preserve">u projet </w:t>
      </w:r>
      <w:r w:rsidR="002061AB">
        <w:rPr>
          <w:lang w:val="fr-CH"/>
        </w:rPr>
        <w:t>«</w:t>
      </w:r>
      <w:r w:rsidR="002C3A2F" w:rsidRPr="00731644">
        <w:rPr>
          <w:lang w:val="fr-CH"/>
        </w:rPr>
        <w:t>Permettre aux Roms, aux</w:t>
      </w:r>
      <w:r w:rsidR="00CA4737" w:rsidRPr="00731644">
        <w:rPr>
          <w:lang w:val="fr-CH"/>
        </w:rPr>
        <w:t xml:space="preserve"> </w:t>
      </w:r>
      <w:r w:rsidR="002A5033" w:rsidRPr="00731644">
        <w:rPr>
          <w:lang w:val="fr-CH"/>
        </w:rPr>
        <w:t>Ashkali</w:t>
      </w:r>
      <w:r w:rsidR="00CA4737" w:rsidRPr="00731644">
        <w:rPr>
          <w:lang w:val="fr-CH"/>
        </w:rPr>
        <w:t xml:space="preserve"> et </w:t>
      </w:r>
      <w:r w:rsidR="002C3A2F" w:rsidRPr="00731644">
        <w:rPr>
          <w:lang w:val="fr-CH"/>
        </w:rPr>
        <w:t>aux tziganes</w:t>
      </w:r>
      <w:r w:rsidR="00CA4737" w:rsidRPr="00731644">
        <w:rPr>
          <w:lang w:val="fr-CH"/>
        </w:rPr>
        <w:t xml:space="preserve"> d</w:t>
      </w:r>
      <w:r w:rsidR="00425386" w:rsidRPr="00731644">
        <w:rPr>
          <w:lang w:val="fr-CH"/>
        </w:rPr>
        <w:t>’</w:t>
      </w:r>
      <w:r w:rsidR="00CA4737" w:rsidRPr="00731644">
        <w:rPr>
          <w:lang w:val="fr-CH"/>
        </w:rPr>
        <w:t>accéder aux emplois dans des conditions d</w:t>
      </w:r>
      <w:r w:rsidR="00425386" w:rsidRPr="00731644">
        <w:rPr>
          <w:lang w:val="fr-CH"/>
        </w:rPr>
        <w:t>’</w:t>
      </w:r>
      <w:r w:rsidR="00CA4737" w:rsidRPr="00731644">
        <w:rPr>
          <w:lang w:val="fr-CH"/>
        </w:rPr>
        <w:t xml:space="preserve">égalité avec </w:t>
      </w:r>
      <w:r w:rsidR="002C3A2F" w:rsidRPr="00731644">
        <w:rPr>
          <w:lang w:val="fr-CH"/>
        </w:rPr>
        <w:t>le reste</w:t>
      </w:r>
      <w:r w:rsidR="00CA4737" w:rsidRPr="00731644">
        <w:rPr>
          <w:lang w:val="fr-CH"/>
        </w:rPr>
        <w:t xml:space="preserve"> de la population</w:t>
      </w:r>
      <w:r w:rsidR="002061AB">
        <w:rPr>
          <w:lang w:val="fr-CH"/>
        </w:rPr>
        <w:t>»</w:t>
      </w:r>
      <w:r w:rsidR="00CA4737" w:rsidRPr="00731644">
        <w:rPr>
          <w:lang w:val="fr-CH"/>
        </w:rPr>
        <w:t>. Le Centre, également à la demande de la Fondation pour l</w:t>
      </w:r>
      <w:r w:rsidR="00425386" w:rsidRPr="00731644">
        <w:rPr>
          <w:lang w:val="fr-CH"/>
        </w:rPr>
        <w:t>’</w:t>
      </w:r>
      <w:r w:rsidR="00CA4737" w:rsidRPr="00731644">
        <w:rPr>
          <w:lang w:val="fr-CH"/>
        </w:rPr>
        <w:t xml:space="preserve">attribution de bourses aux Roms </w:t>
      </w:r>
      <w:r w:rsidR="00181569" w:rsidRPr="00731644">
        <w:rPr>
          <w:lang w:val="fr-CH"/>
        </w:rPr>
        <w:t>(</w:t>
      </w:r>
      <w:r w:rsidR="00CA4737" w:rsidRPr="00731644">
        <w:rPr>
          <w:lang w:val="fr-CH"/>
        </w:rPr>
        <w:t xml:space="preserve">programme financé par le </w:t>
      </w:r>
      <w:r w:rsidR="002061AB">
        <w:rPr>
          <w:lang w:val="fr-CH"/>
        </w:rPr>
        <w:t>«</w:t>
      </w:r>
      <w:r w:rsidR="00CA4737" w:rsidRPr="00731644">
        <w:rPr>
          <w:lang w:val="fr-CH"/>
        </w:rPr>
        <w:t>Comitato di Coordinamento delle Organizzazioni per il Servizio Volontario</w:t>
      </w:r>
      <w:r w:rsidR="002061AB">
        <w:rPr>
          <w:lang w:val="fr-CH"/>
        </w:rPr>
        <w:t>»</w:t>
      </w:r>
      <w:r w:rsidR="00CA4737" w:rsidRPr="00731644">
        <w:rPr>
          <w:lang w:val="fr-CH"/>
        </w:rPr>
        <w:t xml:space="preserve"> (COSV)</w:t>
      </w:r>
      <w:r w:rsidR="00181569" w:rsidRPr="00731644">
        <w:rPr>
          <w:lang w:val="fr-CH"/>
        </w:rPr>
        <w:t>)</w:t>
      </w:r>
      <w:r w:rsidR="00CA4737" w:rsidRPr="00731644">
        <w:rPr>
          <w:lang w:val="fr-CH"/>
        </w:rPr>
        <w:t xml:space="preserve"> et </w:t>
      </w:r>
      <w:r w:rsidR="00181569" w:rsidRPr="00731644">
        <w:rPr>
          <w:lang w:val="fr-CH"/>
        </w:rPr>
        <w:t>de</w:t>
      </w:r>
      <w:r w:rsidR="00CA4737" w:rsidRPr="00731644">
        <w:rPr>
          <w:lang w:val="fr-CH"/>
        </w:rPr>
        <w:t xml:space="preserve"> la Croix-Rouge </w:t>
      </w:r>
      <w:r w:rsidR="00413FC8" w:rsidRPr="00731644">
        <w:rPr>
          <w:lang w:val="fr-CH"/>
        </w:rPr>
        <w:t>m</w:t>
      </w:r>
      <w:r w:rsidR="00CA4737" w:rsidRPr="00731644">
        <w:rPr>
          <w:lang w:val="fr-CH"/>
        </w:rPr>
        <w:t>onténégr</w:t>
      </w:r>
      <w:r w:rsidR="00413FC8" w:rsidRPr="00731644">
        <w:rPr>
          <w:lang w:val="fr-CH"/>
        </w:rPr>
        <w:t>ine</w:t>
      </w:r>
      <w:r w:rsidR="00181569" w:rsidRPr="00731644">
        <w:rPr>
          <w:lang w:val="fr-CH"/>
        </w:rPr>
        <w:t xml:space="preserve"> (</w:t>
      </w:r>
      <w:r w:rsidR="00CA4737" w:rsidRPr="00731644">
        <w:rPr>
          <w:lang w:val="fr-CH"/>
        </w:rPr>
        <w:t>financée par la Commission européenne et par la Croix-Rouge danoise</w:t>
      </w:r>
      <w:r w:rsidR="00181569" w:rsidRPr="00731644">
        <w:rPr>
          <w:lang w:val="fr-CH"/>
        </w:rPr>
        <w:t>),</w:t>
      </w:r>
      <w:r w:rsidR="004C7BF6" w:rsidRPr="00731644">
        <w:rPr>
          <w:lang w:val="fr-CH"/>
        </w:rPr>
        <w:t xml:space="preserve"> </w:t>
      </w:r>
      <w:r w:rsidR="00CA4737" w:rsidRPr="00731644">
        <w:rPr>
          <w:lang w:val="fr-CH"/>
        </w:rPr>
        <w:t>élabore des normes ainsi que des programmes dont il suit l</w:t>
      </w:r>
      <w:r w:rsidR="00425386" w:rsidRPr="00731644">
        <w:rPr>
          <w:lang w:val="fr-CH"/>
        </w:rPr>
        <w:t>’</w:t>
      </w:r>
      <w:r w:rsidR="00CA4737" w:rsidRPr="00731644">
        <w:rPr>
          <w:lang w:val="fr-CH"/>
        </w:rPr>
        <w:t>application</w:t>
      </w:r>
      <w:r w:rsidR="00F31DD5" w:rsidRPr="00731644">
        <w:rPr>
          <w:lang w:val="fr-CH"/>
        </w:rPr>
        <w:t>;</w:t>
      </w:r>
      <w:r w:rsidR="00CA4737" w:rsidRPr="00731644">
        <w:rPr>
          <w:lang w:val="fr-CH"/>
        </w:rPr>
        <w:t xml:space="preserve"> avec le Centre des examens, il organise les épreuves </w:t>
      </w:r>
      <w:r w:rsidR="00D04539" w:rsidRPr="00731644">
        <w:rPr>
          <w:lang w:val="fr-CH"/>
        </w:rPr>
        <w:t>de fin des programmes d</w:t>
      </w:r>
      <w:r w:rsidR="00425386" w:rsidRPr="00731644">
        <w:rPr>
          <w:lang w:val="fr-CH"/>
        </w:rPr>
        <w:t>’</w:t>
      </w:r>
      <w:r w:rsidR="00D04539" w:rsidRPr="00731644">
        <w:rPr>
          <w:lang w:val="fr-CH"/>
        </w:rPr>
        <w:t xml:space="preserve">alphabétisation fonctionnelle élémentaire. </w:t>
      </w:r>
      <w:r w:rsidR="00181569" w:rsidRPr="00731644">
        <w:rPr>
          <w:lang w:val="fr-CH"/>
        </w:rPr>
        <w:t>Cette année, 14 des 18</w:t>
      </w:r>
      <w:r w:rsidR="00CB7658" w:rsidRPr="00731644">
        <w:rPr>
          <w:lang w:val="fr-CH"/>
        </w:rPr>
        <w:t> personnes</w:t>
      </w:r>
      <w:r w:rsidR="00181569" w:rsidRPr="00731644">
        <w:rPr>
          <w:lang w:val="fr-CH"/>
        </w:rPr>
        <w:t xml:space="preserve"> qui ont suivi les cours organisés par </w:t>
      </w:r>
      <w:r w:rsidR="00D04539" w:rsidRPr="00731644">
        <w:rPr>
          <w:lang w:val="fr-CH"/>
        </w:rPr>
        <w:t>la Fondation pour l</w:t>
      </w:r>
      <w:r w:rsidR="00425386" w:rsidRPr="00731644">
        <w:rPr>
          <w:lang w:val="fr-CH"/>
        </w:rPr>
        <w:t>’</w:t>
      </w:r>
      <w:r w:rsidR="00181569" w:rsidRPr="00731644">
        <w:rPr>
          <w:lang w:val="fr-CH"/>
        </w:rPr>
        <w:t xml:space="preserve">attribution de bourses aux Roms </w:t>
      </w:r>
      <w:r w:rsidR="00D04539" w:rsidRPr="00731644">
        <w:rPr>
          <w:lang w:val="fr-CH"/>
        </w:rPr>
        <w:t>ont réussi l</w:t>
      </w:r>
      <w:r w:rsidR="00425386" w:rsidRPr="00731644">
        <w:rPr>
          <w:lang w:val="fr-CH"/>
        </w:rPr>
        <w:t>’</w:t>
      </w:r>
      <w:r w:rsidR="00D04539" w:rsidRPr="00731644">
        <w:rPr>
          <w:lang w:val="fr-CH"/>
        </w:rPr>
        <w:t>examen.</w:t>
      </w:r>
      <w:r w:rsidR="00F31DD5" w:rsidRPr="00731644">
        <w:rPr>
          <w:lang w:val="fr-CH"/>
        </w:rPr>
        <w:t xml:space="preserve"> </w:t>
      </w:r>
      <w:r w:rsidR="00D04539" w:rsidRPr="00731644">
        <w:rPr>
          <w:lang w:val="fr-CH"/>
        </w:rPr>
        <w:t xml:space="preserve">Trente adultes des deux sexes ont </w:t>
      </w:r>
      <w:r w:rsidR="00181569" w:rsidRPr="00731644">
        <w:rPr>
          <w:lang w:val="fr-CH"/>
        </w:rPr>
        <w:t>réussi</w:t>
      </w:r>
      <w:r w:rsidR="00D04539" w:rsidRPr="00731644">
        <w:rPr>
          <w:lang w:val="fr-CH"/>
        </w:rPr>
        <w:t xml:space="preserve"> les épreuves sanctionnant le programme d</w:t>
      </w:r>
      <w:r w:rsidR="00425386" w:rsidRPr="00731644">
        <w:rPr>
          <w:lang w:val="fr-CH"/>
        </w:rPr>
        <w:t>’</w:t>
      </w:r>
      <w:r w:rsidR="00D04539" w:rsidRPr="00731644">
        <w:rPr>
          <w:lang w:val="fr-CH"/>
        </w:rPr>
        <w:t>alphabétisation fonctionnelle de la Croix-Rouge</w:t>
      </w:r>
      <w:r w:rsidR="00413FC8" w:rsidRPr="00731644">
        <w:rPr>
          <w:lang w:val="fr-CH"/>
        </w:rPr>
        <w:t xml:space="preserve"> monténégrine</w:t>
      </w:r>
      <w:r w:rsidR="004C7BF6" w:rsidRPr="00731644">
        <w:rPr>
          <w:lang w:val="fr-CH"/>
        </w:rPr>
        <w:t xml:space="preserve">. </w:t>
      </w:r>
      <w:r w:rsidR="00D04539" w:rsidRPr="00731644">
        <w:rPr>
          <w:lang w:val="fr-CH"/>
        </w:rPr>
        <w:t xml:space="preserve">Enfin, dans le cadre du projet dénommé </w:t>
      </w:r>
      <w:r w:rsidR="002061AB">
        <w:rPr>
          <w:lang w:val="fr-CH"/>
        </w:rPr>
        <w:t>«</w:t>
      </w:r>
      <w:r w:rsidR="00D04539" w:rsidRPr="00731644">
        <w:rPr>
          <w:lang w:val="fr-CH"/>
        </w:rPr>
        <w:t>Initiative intersectorielle de prévention des maladies et d</w:t>
      </w:r>
      <w:r w:rsidR="00425386" w:rsidRPr="00731644">
        <w:rPr>
          <w:lang w:val="fr-CH"/>
        </w:rPr>
        <w:t>’</w:t>
      </w:r>
      <w:r w:rsidR="00D04539" w:rsidRPr="00731644">
        <w:rPr>
          <w:lang w:val="fr-CH"/>
        </w:rPr>
        <w:t>organisation d</w:t>
      </w:r>
      <w:r w:rsidR="00425386" w:rsidRPr="00731644">
        <w:rPr>
          <w:lang w:val="fr-CH"/>
        </w:rPr>
        <w:t>’</w:t>
      </w:r>
      <w:r w:rsidR="00D04539" w:rsidRPr="00731644">
        <w:rPr>
          <w:lang w:val="fr-CH"/>
        </w:rPr>
        <w:t>une éducation spéciale à l</w:t>
      </w:r>
      <w:r w:rsidR="00425386" w:rsidRPr="00731644">
        <w:rPr>
          <w:lang w:val="fr-CH"/>
        </w:rPr>
        <w:t>’</w:t>
      </w:r>
      <w:r w:rsidR="00D04539" w:rsidRPr="00731644">
        <w:rPr>
          <w:lang w:val="fr-CH"/>
        </w:rPr>
        <w:t xml:space="preserve">intention </w:t>
      </w:r>
      <w:r w:rsidR="005F11A4" w:rsidRPr="00731644">
        <w:rPr>
          <w:lang w:val="fr-CH"/>
        </w:rPr>
        <w:t>de Roms des deux sexes de Konik</w:t>
      </w:r>
      <w:r w:rsidR="002061AB">
        <w:rPr>
          <w:lang w:val="fr-CH"/>
        </w:rPr>
        <w:t>»</w:t>
      </w:r>
      <w:r w:rsidR="005F11A4" w:rsidRPr="00731644">
        <w:rPr>
          <w:lang w:val="fr-CH"/>
        </w:rPr>
        <w:t xml:space="preserve">, que les autorités mettent en </w:t>
      </w:r>
      <w:r w:rsidR="00A332AD" w:rsidRPr="00731644">
        <w:rPr>
          <w:lang w:val="fr-CH"/>
        </w:rPr>
        <w:t>œuvre</w:t>
      </w:r>
      <w:r w:rsidR="005F11A4" w:rsidRPr="00731644">
        <w:rPr>
          <w:lang w:val="fr-CH"/>
        </w:rPr>
        <w:t xml:space="preserve"> en coopération avec la Croix-Rouge </w:t>
      </w:r>
      <w:r w:rsidR="00413FC8" w:rsidRPr="00731644">
        <w:rPr>
          <w:lang w:val="fr-CH"/>
        </w:rPr>
        <w:t>monténégrine</w:t>
      </w:r>
      <w:r w:rsidR="005F11A4" w:rsidRPr="00731644">
        <w:rPr>
          <w:lang w:val="fr-CH"/>
        </w:rPr>
        <w:t xml:space="preserve">, </w:t>
      </w:r>
      <w:r w:rsidR="004C7BF6" w:rsidRPr="00731644">
        <w:rPr>
          <w:lang w:val="fr-CH"/>
        </w:rPr>
        <w:t>20 Rom</w:t>
      </w:r>
      <w:r w:rsidR="005F11A4" w:rsidRPr="00731644">
        <w:rPr>
          <w:lang w:val="fr-CH"/>
        </w:rPr>
        <w:t>s de sexe masculin suivent le programme de formation professionnelle d</w:t>
      </w:r>
      <w:r w:rsidR="00425386" w:rsidRPr="00731644">
        <w:rPr>
          <w:lang w:val="fr-CH"/>
        </w:rPr>
        <w:t>’</w:t>
      </w:r>
      <w:r w:rsidR="005F11A4" w:rsidRPr="00731644">
        <w:rPr>
          <w:lang w:val="fr-CH"/>
        </w:rPr>
        <w:t>aide</w:t>
      </w:r>
      <w:r w:rsidR="001739ED" w:rsidRPr="00731644">
        <w:rPr>
          <w:lang w:val="fr-CH"/>
        </w:rPr>
        <w:t xml:space="preserve"> </w:t>
      </w:r>
      <w:r w:rsidR="005F11A4" w:rsidRPr="00731644">
        <w:rPr>
          <w:lang w:val="fr-CH"/>
        </w:rPr>
        <w:t>mécanicien ou de réparateur de pneus à l</w:t>
      </w:r>
      <w:r w:rsidR="00425386" w:rsidRPr="00731644">
        <w:rPr>
          <w:lang w:val="fr-CH"/>
        </w:rPr>
        <w:t>’</w:t>
      </w:r>
      <w:r w:rsidR="005F11A4" w:rsidRPr="00731644">
        <w:rPr>
          <w:lang w:val="fr-CH"/>
        </w:rPr>
        <w:t>école professionnelle secondaire</w:t>
      </w:r>
      <w:r w:rsidR="00F31DD5" w:rsidRPr="00731644">
        <w:rPr>
          <w:lang w:val="fr-CH"/>
        </w:rPr>
        <w:t xml:space="preserve"> </w:t>
      </w:r>
      <w:r w:rsidR="002061AB">
        <w:rPr>
          <w:lang w:val="fr-CH"/>
        </w:rPr>
        <w:t>«</w:t>
      </w:r>
      <w:r w:rsidR="004C7BF6" w:rsidRPr="00731644">
        <w:rPr>
          <w:lang w:val="fr-CH"/>
        </w:rPr>
        <w:t>Ivan Uskokovic</w:t>
      </w:r>
      <w:r w:rsidR="002061AB">
        <w:rPr>
          <w:lang w:val="fr-CH"/>
        </w:rPr>
        <w:t>»</w:t>
      </w:r>
      <w:r w:rsidR="004C7BF6" w:rsidRPr="00731644">
        <w:rPr>
          <w:lang w:val="fr-CH"/>
        </w:rPr>
        <w:t xml:space="preserve">, </w:t>
      </w:r>
      <w:r w:rsidR="005F11A4" w:rsidRPr="00731644">
        <w:rPr>
          <w:lang w:val="fr-CH"/>
        </w:rPr>
        <w:t xml:space="preserve">et </w:t>
      </w:r>
      <w:r w:rsidR="004C7BF6" w:rsidRPr="00731644">
        <w:rPr>
          <w:lang w:val="fr-CH"/>
        </w:rPr>
        <w:t xml:space="preserve">12 </w:t>
      </w:r>
      <w:r w:rsidR="005F11A4" w:rsidRPr="00731644">
        <w:rPr>
          <w:lang w:val="fr-CH"/>
        </w:rPr>
        <w:t xml:space="preserve">femmes </w:t>
      </w:r>
      <w:r w:rsidR="001739ED" w:rsidRPr="00731644">
        <w:rPr>
          <w:lang w:val="fr-CH"/>
        </w:rPr>
        <w:t>roms</w:t>
      </w:r>
      <w:r w:rsidR="00413FC8" w:rsidRPr="00731644">
        <w:rPr>
          <w:lang w:val="fr-CH"/>
        </w:rPr>
        <w:t>,</w:t>
      </w:r>
      <w:r w:rsidR="001739ED" w:rsidRPr="00731644">
        <w:rPr>
          <w:lang w:val="fr-CH"/>
        </w:rPr>
        <w:t xml:space="preserve"> </w:t>
      </w:r>
      <w:r w:rsidR="00413FC8" w:rsidRPr="00731644">
        <w:rPr>
          <w:lang w:val="fr-CH"/>
        </w:rPr>
        <w:t>à l</w:t>
      </w:r>
      <w:r w:rsidR="00425386" w:rsidRPr="00731644">
        <w:rPr>
          <w:lang w:val="fr-CH"/>
        </w:rPr>
        <w:t>’</w:t>
      </w:r>
      <w:r w:rsidR="00413FC8" w:rsidRPr="00731644">
        <w:rPr>
          <w:lang w:val="fr-CH"/>
        </w:rPr>
        <w:t xml:space="preserve">école professionnelle secondaire </w:t>
      </w:r>
      <w:r w:rsidR="002061AB">
        <w:rPr>
          <w:lang w:val="fr-CH"/>
        </w:rPr>
        <w:t>«</w:t>
      </w:r>
      <w:r w:rsidR="00413FC8" w:rsidRPr="00731644">
        <w:rPr>
          <w:lang w:val="fr-CH"/>
        </w:rPr>
        <w:t>Spasoje Raspopović</w:t>
      </w:r>
      <w:r w:rsidR="002061AB">
        <w:rPr>
          <w:lang w:val="fr-CH"/>
        </w:rPr>
        <w:t>»</w:t>
      </w:r>
      <w:r w:rsidR="00413FC8" w:rsidRPr="00731644">
        <w:rPr>
          <w:lang w:val="fr-CH"/>
        </w:rPr>
        <w:t xml:space="preserve">, </w:t>
      </w:r>
      <w:r w:rsidR="005F11A4" w:rsidRPr="00731644">
        <w:rPr>
          <w:lang w:val="fr-CH"/>
        </w:rPr>
        <w:t>se préparent à devenir assistantes coiffeuses</w:t>
      </w:r>
      <w:r w:rsidR="004C7BF6" w:rsidRPr="00731644">
        <w:rPr>
          <w:lang w:val="fr-CH"/>
        </w:rPr>
        <w:t xml:space="preserve">. </w:t>
      </w:r>
      <w:r w:rsidR="005F11A4" w:rsidRPr="00731644">
        <w:rPr>
          <w:lang w:val="fr-CH"/>
        </w:rPr>
        <w:t>Ces métiers sont recherchés sur le marché du travail et les participants ont, dans leur majorité, exprimé leur intérêt à l</w:t>
      </w:r>
      <w:r w:rsidR="00425386" w:rsidRPr="00731644">
        <w:rPr>
          <w:lang w:val="fr-CH"/>
        </w:rPr>
        <w:t>’</w:t>
      </w:r>
      <w:r w:rsidR="005F11A4" w:rsidRPr="00731644">
        <w:rPr>
          <w:lang w:val="fr-CH"/>
        </w:rPr>
        <w:t xml:space="preserve">égard de ces programmes au cours des </w:t>
      </w:r>
      <w:r w:rsidR="00A332AD" w:rsidRPr="00731644">
        <w:rPr>
          <w:lang w:val="fr-CH"/>
        </w:rPr>
        <w:t>entretiens</w:t>
      </w:r>
      <w:r w:rsidR="005F11A4" w:rsidRPr="00731644">
        <w:rPr>
          <w:lang w:val="fr-CH"/>
        </w:rPr>
        <w:t xml:space="preserve"> qu</w:t>
      </w:r>
      <w:r w:rsidR="00425386" w:rsidRPr="00731644">
        <w:rPr>
          <w:lang w:val="fr-CH"/>
        </w:rPr>
        <w:t>’</w:t>
      </w:r>
      <w:r w:rsidR="005F11A4" w:rsidRPr="00731644">
        <w:rPr>
          <w:lang w:val="fr-CH"/>
        </w:rPr>
        <w:t>ils ont eus avec des représentants de l</w:t>
      </w:r>
      <w:r w:rsidR="00425386" w:rsidRPr="00731644">
        <w:rPr>
          <w:lang w:val="fr-CH"/>
        </w:rPr>
        <w:t>’</w:t>
      </w:r>
      <w:r w:rsidR="005F11A4" w:rsidRPr="00731644">
        <w:rPr>
          <w:lang w:val="fr-CH"/>
        </w:rPr>
        <w:t>Agence pour l</w:t>
      </w:r>
      <w:r w:rsidR="00425386" w:rsidRPr="00731644">
        <w:rPr>
          <w:lang w:val="fr-CH"/>
        </w:rPr>
        <w:t>’</w:t>
      </w:r>
      <w:r w:rsidR="005F11A4" w:rsidRPr="00731644">
        <w:rPr>
          <w:lang w:val="fr-CH"/>
        </w:rPr>
        <w:t xml:space="preserve">emploi. Les </w:t>
      </w:r>
      <w:r w:rsidR="001739ED" w:rsidRPr="00731644">
        <w:rPr>
          <w:lang w:val="fr-CH"/>
        </w:rPr>
        <w:t>cour</w:t>
      </w:r>
      <w:r w:rsidR="005F11A4" w:rsidRPr="00731644">
        <w:rPr>
          <w:lang w:val="fr-CH"/>
        </w:rPr>
        <w:t>s de formation</w:t>
      </w:r>
      <w:r w:rsidR="001739ED" w:rsidRPr="00731644">
        <w:rPr>
          <w:lang w:val="fr-CH"/>
        </w:rPr>
        <w:t>, d</w:t>
      </w:r>
      <w:r w:rsidR="00425386" w:rsidRPr="00731644">
        <w:rPr>
          <w:lang w:val="fr-CH"/>
        </w:rPr>
        <w:t>’</w:t>
      </w:r>
      <w:r w:rsidR="001739ED" w:rsidRPr="00731644">
        <w:rPr>
          <w:lang w:val="fr-CH"/>
        </w:rPr>
        <w:t>une</w:t>
      </w:r>
      <w:r w:rsidR="005F11A4" w:rsidRPr="00731644">
        <w:rPr>
          <w:lang w:val="fr-CH"/>
        </w:rPr>
        <w:t xml:space="preserve"> duré</w:t>
      </w:r>
      <w:r w:rsidR="001739ED" w:rsidRPr="00731644">
        <w:rPr>
          <w:lang w:val="fr-CH"/>
        </w:rPr>
        <w:t>e de</w:t>
      </w:r>
      <w:r w:rsidR="005F11A4" w:rsidRPr="00731644">
        <w:rPr>
          <w:lang w:val="fr-CH"/>
        </w:rPr>
        <w:t xml:space="preserve"> deux mois, on</w:t>
      </w:r>
      <w:r w:rsidR="001739ED" w:rsidRPr="00731644">
        <w:rPr>
          <w:lang w:val="fr-CH"/>
        </w:rPr>
        <w:t>t</w:t>
      </w:r>
      <w:r w:rsidR="005F11A4" w:rsidRPr="00731644">
        <w:rPr>
          <w:lang w:val="fr-CH"/>
        </w:rPr>
        <w:t xml:space="preserve"> pris fin le 1</w:t>
      </w:r>
      <w:r w:rsidR="005F11A4" w:rsidRPr="00731644">
        <w:rPr>
          <w:vertAlign w:val="superscript"/>
          <w:lang w:val="fr-CH"/>
        </w:rPr>
        <w:t>er</w:t>
      </w:r>
      <w:r w:rsidR="005F11A4" w:rsidRPr="00731644">
        <w:rPr>
          <w:lang w:val="fr-CH"/>
        </w:rPr>
        <w:t xml:space="preserve"> juin</w:t>
      </w:r>
      <w:r w:rsidR="00F31DD5" w:rsidRPr="00731644">
        <w:rPr>
          <w:lang w:val="fr-CH"/>
        </w:rPr>
        <w:t xml:space="preserve"> </w:t>
      </w:r>
      <w:r w:rsidR="004C7BF6" w:rsidRPr="00731644">
        <w:rPr>
          <w:lang w:val="fr-CH"/>
        </w:rPr>
        <w:t>2011.</w:t>
      </w:r>
    </w:p>
    <w:p w:rsidR="004C7BF6" w:rsidRPr="00731644" w:rsidRDefault="008A5997" w:rsidP="008A5997">
      <w:pPr>
        <w:pStyle w:val="SingleTxtG"/>
        <w:rPr>
          <w:b/>
          <w:lang w:val="fr-CH"/>
        </w:rPr>
      </w:pPr>
      <w:r w:rsidRPr="00731644">
        <w:rPr>
          <w:lang w:val="fr-CH"/>
        </w:rPr>
        <w:t>301</w:t>
      </w:r>
      <w:r w:rsidR="000B213E" w:rsidRPr="00731644">
        <w:rPr>
          <w:lang w:val="fr-CH"/>
        </w:rPr>
        <w:t>.</w:t>
      </w:r>
      <w:r w:rsidR="000B213E" w:rsidRPr="00731644">
        <w:rPr>
          <w:lang w:val="fr-CH"/>
        </w:rPr>
        <w:tab/>
      </w:r>
      <w:r w:rsidR="001739ED" w:rsidRPr="00731644">
        <w:rPr>
          <w:lang w:val="fr-CH"/>
        </w:rPr>
        <w:t>L</w:t>
      </w:r>
      <w:r w:rsidR="00425386" w:rsidRPr="00731644">
        <w:rPr>
          <w:lang w:val="fr-CH"/>
        </w:rPr>
        <w:t>’</w:t>
      </w:r>
      <w:r w:rsidR="005130BB" w:rsidRPr="00731644">
        <w:rPr>
          <w:lang w:val="fr-CH"/>
        </w:rPr>
        <w:t>exposé détaillé</w:t>
      </w:r>
      <w:r w:rsidR="00E339CF" w:rsidRPr="00731644">
        <w:rPr>
          <w:lang w:val="fr-CH"/>
        </w:rPr>
        <w:t xml:space="preserve"> qui précède vise à répondre aux recommandations contenues au</w:t>
      </w:r>
      <w:r w:rsidR="00F31DD5" w:rsidRPr="00731644">
        <w:rPr>
          <w:lang w:val="fr-CH"/>
        </w:rPr>
        <w:t xml:space="preserve"> </w:t>
      </w:r>
      <w:r w:rsidR="00CB7658" w:rsidRPr="00731644">
        <w:rPr>
          <w:lang w:val="fr-CH"/>
        </w:rPr>
        <w:t>paragraphe </w:t>
      </w:r>
      <w:r w:rsidR="00B14D2B" w:rsidRPr="00731644">
        <w:rPr>
          <w:lang w:val="fr-CH"/>
        </w:rPr>
        <w:t xml:space="preserve">16 </w:t>
      </w:r>
      <w:r w:rsidR="00E339CF" w:rsidRPr="00731644">
        <w:rPr>
          <w:lang w:val="fr-CH"/>
        </w:rPr>
        <w:t>des observations finales du Comité au sujet du rapport initial.</w:t>
      </w:r>
      <w:r w:rsidR="00F31DD5" w:rsidRPr="00731644">
        <w:rPr>
          <w:lang w:val="fr-CH"/>
        </w:rPr>
        <w:t xml:space="preserve"> </w:t>
      </w:r>
    </w:p>
    <w:p w:rsidR="004C7BF6" w:rsidRPr="00731644" w:rsidRDefault="00490A6B" w:rsidP="000B213E">
      <w:pPr>
        <w:pStyle w:val="H4G"/>
        <w:rPr>
          <w:lang w:val="fr-CH"/>
        </w:rPr>
      </w:pPr>
      <w:r w:rsidRPr="00731644">
        <w:rPr>
          <w:lang w:val="fr-CH"/>
        </w:rPr>
        <w:tab/>
      </w:r>
      <w:r w:rsidRPr="00731644">
        <w:rPr>
          <w:lang w:val="fr-CH"/>
        </w:rPr>
        <w:tab/>
      </w:r>
      <w:r w:rsidR="004C7BF6" w:rsidRPr="00731644">
        <w:rPr>
          <w:lang w:val="fr-CH"/>
        </w:rPr>
        <w:t>Culture</w:t>
      </w:r>
    </w:p>
    <w:p w:rsidR="00A30A2D" w:rsidRPr="00731644" w:rsidRDefault="008A5997" w:rsidP="008A5997">
      <w:pPr>
        <w:pStyle w:val="SingleTxtG"/>
        <w:rPr>
          <w:bCs/>
          <w:lang w:val="fr-CH"/>
        </w:rPr>
      </w:pPr>
      <w:r w:rsidRPr="00731644">
        <w:rPr>
          <w:bCs/>
          <w:lang w:val="fr-CH"/>
        </w:rPr>
        <w:t>302</w:t>
      </w:r>
      <w:r w:rsidR="000B213E" w:rsidRPr="00731644">
        <w:rPr>
          <w:bCs/>
          <w:lang w:val="fr-CH"/>
        </w:rPr>
        <w:t>.</w:t>
      </w:r>
      <w:r w:rsidR="000B213E" w:rsidRPr="00731644">
        <w:rPr>
          <w:bCs/>
          <w:lang w:val="fr-CH"/>
        </w:rPr>
        <w:tab/>
      </w:r>
      <w:r w:rsidR="00E339CF" w:rsidRPr="00731644">
        <w:rPr>
          <w:bCs/>
          <w:lang w:val="fr-CH"/>
        </w:rPr>
        <w:t xml:space="preserve">Les principes fondamentaux de la </w:t>
      </w:r>
      <w:r w:rsidR="004C7BF6" w:rsidRPr="00731644">
        <w:rPr>
          <w:bCs/>
          <w:lang w:val="fr-CH"/>
        </w:rPr>
        <w:t xml:space="preserve">Convention </w:t>
      </w:r>
      <w:r w:rsidR="00E339CF" w:rsidRPr="00731644">
        <w:rPr>
          <w:bCs/>
          <w:lang w:val="fr-CH"/>
        </w:rPr>
        <w:t>sur la p</w:t>
      </w:r>
      <w:r w:rsidR="004C7BF6" w:rsidRPr="00731644">
        <w:rPr>
          <w:bCs/>
          <w:lang w:val="fr-CH"/>
        </w:rPr>
        <w:t xml:space="preserve">rotection </w:t>
      </w:r>
      <w:r w:rsidR="00E339CF" w:rsidRPr="00731644">
        <w:rPr>
          <w:bCs/>
          <w:lang w:val="fr-CH"/>
        </w:rPr>
        <w:t>et l</w:t>
      </w:r>
      <w:r w:rsidR="001554AC" w:rsidRPr="00731644">
        <w:rPr>
          <w:bCs/>
          <w:lang w:val="fr-CH"/>
        </w:rPr>
        <w:t>a</w:t>
      </w:r>
      <w:r w:rsidR="00E339CF" w:rsidRPr="00731644">
        <w:rPr>
          <w:bCs/>
          <w:lang w:val="fr-CH"/>
        </w:rPr>
        <w:t xml:space="preserve"> p</w:t>
      </w:r>
      <w:r w:rsidR="004C7BF6" w:rsidRPr="00731644">
        <w:rPr>
          <w:bCs/>
          <w:lang w:val="fr-CH"/>
        </w:rPr>
        <w:t xml:space="preserve">romotion </w:t>
      </w:r>
      <w:r w:rsidR="00E339CF" w:rsidRPr="00731644">
        <w:rPr>
          <w:bCs/>
          <w:lang w:val="fr-CH"/>
        </w:rPr>
        <w:t xml:space="preserve">de la diversité des expressions culturelles, que le Monténégro a ratifiée en août </w:t>
      </w:r>
      <w:r w:rsidR="004C7BF6" w:rsidRPr="00731644">
        <w:rPr>
          <w:bCs/>
          <w:lang w:val="fr-CH"/>
        </w:rPr>
        <w:t xml:space="preserve">2008, </w:t>
      </w:r>
      <w:r w:rsidR="00E339CF" w:rsidRPr="00731644">
        <w:rPr>
          <w:bCs/>
          <w:lang w:val="fr-CH"/>
        </w:rPr>
        <w:t xml:space="preserve">sont repris dans les </w:t>
      </w:r>
      <w:r w:rsidR="00CB7658" w:rsidRPr="00731644">
        <w:rPr>
          <w:bCs/>
          <w:iCs/>
          <w:lang w:val="fr-CH"/>
        </w:rPr>
        <w:t>articles </w:t>
      </w:r>
      <w:r w:rsidR="004C7BF6" w:rsidRPr="00731644">
        <w:rPr>
          <w:bCs/>
          <w:iCs/>
          <w:lang w:val="fr-CH"/>
        </w:rPr>
        <w:t xml:space="preserve">3 </w:t>
      </w:r>
      <w:r w:rsidR="00E339CF" w:rsidRPr="00731644">
        <w:rPr>
          <w:bCs/>
          <w:iCs/>
          <w:lang w:val="fr-CH"/>
        </w:rPr>
        <w:t>et</w:t>
      </w:r>
      <w:r w:rsidR="004C7BF6" w:rsidRPr="00731644">
        <w:rPr>
          <w:bCs/>
          <w:iCs/>
          <w:lang w:val="fr-CH"/>
        </w:rPr>
        <w:t xml:space="preserve"> 5</w:t>
      </w:r>
      <w:r w:rsidR="004C7BF6" w:rsidRPr="00731644">
        <w:rPr>
          <w:bCs/>
          <w:i/>
          <w:lang w:val="fr-CH"/>
        </w:rPr>
        <w:t xml:space="preserve"> </w:t>
      </w:r>
      <w:r w:rsidR="00E339CF" w:rsidRPr="00731644">
        <w:rPr>
          <w:bCs/>
          <w:lang w:val="fr-CH"/>
        </w:rPr>
        <w:t xml:space="preserve">de la </w:t>
      </w:r>
      <w:r w:rsidR="00E339CF" w:rsidRPr="00A828E9">
        <w:rPr>
          <w:bCs/>
          <w:i/>
          <w:lang w:val="fr-CH"/>
        </w:rPr>
        <w:t>loi relative à la culture</w:t>
      </w:r>
      <w:r w:rsidR="00E339CF" w:rsidRPr="00731644">
        <w:rPr>
          <w:bCs/>
          <w:lang w:val="fr-CH"/>
        </w:rPr>
        <w:t xml:space="preserve"> </w:t>
      </w:r>
      <w:r w:rsidR="004C7BF6" w:rsidRPr="00731644">
        <w:rPr>
          <w:bCs/>
          <w:iCs/>
          <w:lang w:val="fr-CH"/>
        </w:rPr>
        <w:t>(</w:t>
      </w:r>
      <w:r w:rsidR="007370E0" w:rsidRPr="001115F6">
        <w:rPr>
          <w:bCs/>
          <w:i/>
          <w:iCs/>
          <w:lang w:val="fr-CH"/>
        </w:rPr>
        <w:t>Journal</w:t>
      </w:r>
      <w:r w:rsidR="001115F6" w:rsidRPr="001115F6">
        <w:rPr>
          <w:bCs/>
          <w:i/>
          <w:iCs/>
          <w:lang w:val="fr-CH"/>
        </w:rPr>
        <w:t xml:space="preserve"> officiel</w:t>
      </w:r>
      <w:r w:rsidR="00E66A6C" w:rsidRPr="00E66A6C">
        <w:rPr>
          <w:bCs/>
          <w:iCs/>
          <w:lang w:val="fr-CH"/>
        </w:rPr>
        <w:t xml:space="preserve"> du </w:t>
      </w:r>
      <w:r w:rsidR="001115F6">
        <w:rPr>
          <w:bCs/>
          <w:iCs/>
          <w:lang w:val="fr-CH"/>
        </w:rPr>
        <w:t>Monténégro</w:t>
      </w:r>
      <w:r w:rsidR="00E66A6C" w:rsidRPr="00E66A6C">
        <w:rPr>
          <w:bCs/>
          <w:iCs/>
          <w:lang w:val="fr-CH"/>
        </w:rPr>
        <w:t>,</w:t>
      </w:r>
      <w:r w:rsidR="00F47A90">
        <w:rPr>
          <w:bCs/>
          <w:iCs/>
          <w:lang w:val="fr-CH"/>
        </w:rPr>
        <w:t xml:space="preserve"> </w:t>
      </w:r>
      <w:r w:rsidR="005072A0">
        <w:rPr>
          <w:lang w:val="fr-CH"/>
        </w:rPr>
        <w:t>n</w:t>
      </w:r>
      <w:r w:rsidR="005072A0" w:rsidRPr="005072A0">
        <w:rPr>
          <w:vertAlign w:val="superscript"/>
          <w:lang w:val="fr-CH"/>
        </w:rPr>
        <w:t>o</w:t>
      </w:r>
      <w:r w:rsidR="005072A0">
        <w:rPr>
          <w:lang w:val="fr-CH"/>
        </w:rPr>
        <w:t> </w:t>
      </w:r>
      <w:r w:rsidR="004C7BF6" w:rsidRPr="00731644">
        <w:rPr>
          <w:bCs/>
          <w:iCs/>
          <w:lang w:val="fr-CH"/>
        </w:rPr>
        <w:t>49/08)</w:t>
      </w:r>
      <w:r w:rsidR="004C7BF6" w:rsidRPr="00731644">
        <w:rPr>
          <w:bCs/>
          <w:lang w:val="fr-CH"/>
        </w:rPr>
        <w:t>,</w:t>
      </w:r>
      <w:r w:rsidR="00E339CF" w:rsidRPr="00731644">
        <w:rPr>
          <w:bCs/>
          <w:lang w:val="fr-CH"/>
        </w:rPr>
        <w:t xml:space="preserve"> qui disposent que </w:t>
      </w:r>
      <w:r w:rsidR="00BE7BA5" w:rsidRPr="00731644">
        <w:rPr>
          <w:bCs/>
          <w:lang w:val="fr-CH"/>
        </w:rPr>
        <w:t xml:space="preserve">le </w:t>
      </w:r>
      <w:r w:rsidR="00E339CF" w:rsidRPr="00731644">
        <w:rPr>
          <w:bCs/>
          <w:lang w:val="fr-CH"/>
        </w:rPr>
        <w:t>Monténégro assurera et</w:t>
      </w:r>
      <w:r w:rsidR="00F31DD5" w:rsidRPr="00731644">
        <w:rPr>
          <w:bCs/>
          <w:lang w:val="fr-CH"/>
        </w:rPr>
        <w:t xml:space="preserve"> </w:t>
      </w:r>
      <w:r w:rsidR="001739ED" w:rsidRPr="00731644">
        <w:rPr>
          <w:bCs/>
          <w:lang w:val="fr-CH"/>
        </w:rPr>
        <w:t xml:space="preserve">développera la préservation </w:t>
      </w:r>
      <w:r w:rsidR="00BE7BA5" w:rsidRPr="00731644">
        <w:rPr>
          <w:bCs/>
          <w:lang w:val="fr-CH"/>
        </w:rPr>
        <w:t xml:space="preserve">à </w:t>
      </w:r>
      <w:r w:rsidR="001739ED" w:rsidRPr="00731644">
        <w:rPr>
          <w:bCs/>
          <w:lang w:val="fr-CH"/>
        </w:rPr>
        <w:t>égalité</w:t>
      </w:r>
      <w:r w:rsidR="00E339CF" w:rsidRPr="00731644">
        <w:rPr>
          <w:bCs/>
          <w:lang w:val="fr-CH"/>
        </w:rPr>
        <w:t xml:space="preserve"> de toutes les identités culturelles et le respect de la diversité culturelle, </w:t>
      </w:r>
      <w:r w:rsidR="00A30A2D" w:rsidRPr="00731644">
        <w:rPr>
          <w:bCs/>
          <w:lang w:val="fr-CH"/>
        </w:rPr>
        <w:t xml:space="preserve">et </w:t>
      </w:r>
      <w:r w:rsidR="004935F7" w:rsidRPr="00731644">
        <w:rPr>
          <w:bCs/>
          <w:lang w:val="fr-CH"/>
        </w:rPr>
        <w:t>que pour</w:t>
      </w:r>
      <w:r w:rsidR="001739ED" w:rsidRPr="00731644">
        <w:rPr>
          <w:bCs/>
          <w:lang w:val="fr-CH"/>
        </w:rPr>
        <w:t xml:space="preserve"> </w:t>
      </w:r>
      <w:r w:rsidR="00A30A2D" w:rsidRPr="00731644">
        <w:rPr>
          <w:bCs/>
          <w:lang w:val="fr-CH"/>
        </w:rPr>
        <w:t>la culture monténégrine, la sauvegarde des caractéristiques culturelles et ethno-culturelles originales et traditionnelles est une question d</w:t>
      </w:r>
      <w:r w:rsidR="00425386" w:rsidRPr="00731644">
        <w:rPr>
          <w:bCs/>
          <w:lang w:val="fr-CH"/>
        </w:rPr>
        <w:t>’</w:t>
      </w:r>
      <w:r w:rsidR="00A30A2D" w:rsidRPr="00731644">
        <w:rPr>
          <w:bCs/>
          <w:lang w:val="fr-CH"/>
        </w:rPr>
        <w:t>intérêt public.</w:t>
      </w:r>
      <w:r w:rsidR="00F31DD5" w:rsidRPr="00731644">
        <w:rPr>
          <w:bCs/>
          <w:lang w:val="fr-CH"/>
        </w:rPr>
        <w:t xml:space="preserve"> </w:t>
      </w:r>
    </w:p>
    <w:p w:rsidR="004C7BF6" w:rsidRPr="00731644" w:rsidRDefault="008A5997" w:rsidP="008A5997">
      <w:pPr>
        <w:pStyle w:val="SingleTxtG"/>
        <w:rPr>
          <w:lang w:val="fr-CH"/>
        </w:rPr>
      </w:pPr>
      <w:r w:rsidRPr="00731644">
        <w:rPr>
          <w:lang w:val="fr-CH"/>
        </w:rPr>
        <w:t>303</w:t>
      </w:r>
      <w:r w:rsidR="000B213E" w:rsidRPr="00731644">
        <w:rPr>
          <w:lang w:val="fr-CH"/>
        </w:rPr>
        <w:t>.</w:t>
      </w:r>
      <w:r w:rsidR="000B213E" w:rsidRPr="00731644">
        <w:rPr>
          <w:lang w:val="fr-CH"/>
        </w:rPr>
        <w:tab/>
      </w:r>
      <w:r w:rsidR="00A30A2D" w:rsidRPr="00731644">
        <w:rPr>
          <w:lang w:val="fr-CH"/>
        </w:rPr>
        <w:t xml:space="preserve">Conformément </w:t>
      </w:r>
      <w:r w:rsidR="003618A8" w:rsidRPr="00731644">
        <w:rPr>
          <w:lang w:val="fr-CH"/>
        </w:rPr>
        <w:t>à l</w:t>
      </w:r>
      <w:r w:rsidR="00425386" w:rsidRPr="00731644">
        <w:rPr>
          <w:lang w:val="fr-CH"/>
        </w:rPr>
        <w:t>’</w:t>
      </w:r>
      <w:r w:rsidR="003618A8" w:rsidRPr="00731644">
        <w:rPr>
          <w:lang w:val="fr-CH"/>
        </w:rPr>
        <w:t>engagement pris par</w:t>
      </w:r>
      <w:r w:rsidR="00A30A2D" w:rsidRPr="00731644">
        <w:rPr>
          <w:lang w:val="fr-CH"/>
        </w:rPr>
        <w:t xml:space="preserve"> chaque État signataire de la </w:t>
      </w:r>
      <w:r w:rsidR="00A30A2D" w:rsidRPr="00731644">
        <w:rPr>
          <w:bCs/>
          <w:lang w:val="fr-CH"/>
        </w:rPr>
        <w:t>Convention, le Monténégro a désigné en 2010</w:t>
      </w:r>
      <w:r w:rsidR="00A30A2D" w:rsidRPr="00731644">
        <w:rPr>
          <w:lang w:val="fr-CH"/>
        </w:rPr>
        <w:t xml:space="preserve"> le point de contact visé dans cet instrument, c</w:t>
      </w:r>
      <w:r w:rsidR="00425386" w:rsidRPr="00731644">
        <w:rPr>
          <w:lang w:val="fr-CH"/>
        </w:rPr>
        <w:t>’</w:t>
      </w:r>
      <w:r w:rsidR="00A30A2D" w:rsidRPr="00731644">
        <w:rPr>
          <w:lang w:val="fr-CH"/>
        </w:rPr>
        <w:t xml:space="preserve">est-à-dire la personne </w:t>
      </w:r>
      <w:r w:rsidR="003618A8" w:rsidRPr="00731644">
        <w:rPr>
          <w:lang w:val="fr-CH"/>
        </w:rPr>
        <w:t>appelée à</w:t>
      </w:r>
      <w:r w:rsidR="00A30A2D" w:rsidRPr="00731644">
        <w:rPr>
          <w:lang w:val="fr-CH"/>
        </w:rPr>
        <w:t xml:space="preserve"> veiller </w:t>
      </w:r>
      <w:r w:rsidR="003618A8" w:rsidRPr="00731644">
        <w:rPr>
          <w:lang w:val="fr-CH"/>
        </w:rPr>
        <w:t>au respe</w:t>
      </w:r>
      <w:r w:rsidR="006943C8" w:rsidRPr="00731644">
        <w:rPr>
          <w:lang w:val="fr-CH"/>
        </w:rPr>
        <w:t>c</w:t>
      </w:r>
      <w:r w:rsidR="003618A8" w:rsidRPr="00731644">
        <w:rPr>
          <w:lang w:val="fr-CH"/>
        </w:rPr>
        <w:t>t des obligations</w:t>
      </w:r>
      <w:r w:rsidR="006943C8" w:rsidRPr="00731644">
        <w:rPr>
          <w:lang w:val="fr-CH"/>
        </w:rPr>
        <w:t xml:space="preserve"> </w:t>
      </w:r>
      <w:r w:rsidR="003618A8" w:rsidRPr="00731644">
        <w:rPr>
          <w:lang w:val="fr-CH"/>
        </w:rPr>
        <w:t>découlant</w:t>
      </w:r>
      <w:r w:rsidR="00A30A2D" w:rsidRPr="00731644">
        <w:rPr>
          <w:lang w:val="fr-CH"/>
        </w:rPr>
        <w:t xml:space="preserve"> de la Convention </w:t>
      </w:r>
      <w:r w:rsidR="003618A8" w:rsidRPr="00731644">
        <w:rPr>
          <w:lang w:val="fr-CH"/>
        </w:rPr>
        <w:t>et chargée du partage de l</w:t>
      </w:r>
      <w:r w:rsidR="00425386" w:rsidRPr="00731644">
        <w:rPr>
          <w:lang w:val="fr-CH"/>
        </w:rPr>
        <w:t>’</w:t>
      </w:r>
      <w:r w:rsidR="003618A8" w:rsidRPr="00731644">
        <w:rPr>
          <w:lang w:val="fr-CH"/>
        </w:rPr>
        <w:t>information relative à celle-ci.</w:t>
      </w:r>
      <w:r w:rsidR="00F31DD5" w:rsidRPr="00731644">
        <w:rPr>
          <w:lang w:val="fr-CH"/>
        </w:rPr>
        <w:t xml:space="preserve"> </w:t>
      </w:r>
    </w:p>
    <w:p w:rsidR="00D91096" w:rsidRPr="00731644" w:rsidRDefault="008A5997" w:rsidP="008A5997">
      <w:pPr>
        <w:pStyle w:val="SingleTxtG"/>
        <w:rPr>
          <w:lang w:val="fr-CH"/>
        </w:rPr>
      </w:pPr>
      <w:r w:rsidRPr="00731644">
        <w:rPr>
          <w:lang w:val="fr-CH"/>
        </w:rPr>
        <w:t>304</w:t>
      </w:r>
      <w:r w:rsidR="000B213E" w:rsidRPr="00731644">
        <w:rPr>
          <w:lang w:val="fr-CH"/>
        </w:rPr>
        <w:t>.</w:t>
      </w:r>
      <w:r w:rsidR="000B213E" w:rsidRPr="00731644">
        <w:rPr>
          <w:lang w:val="fr-CH"/>
        </w:rPr>
        <w:tab/>
      </w:r>
      <w:r w:rsidR="00CC488D" w:rsidRPr="00731644">
        <w:rPr>
          <w:lang w:val="fr-CH"/>
        </w:rPr>
        <w:t>L</w:t>
      </w:r>
      <w:r w:rsidR="003618A8" w:rsidRPr="00731644">
        <w:rPr>
          <w:lang w:val="fr-CH"/>
        </w:rPr>
        <w:t xml:space="preserve">e Ministère de la culture </w:t>
      </w:r>
      <w:r w:rsidR="00CC488D" w:rsidRPr="00731644">
        <w:rPr>
          <w:lang w:val="fr-CH"/>
        </w:rPr>
        <w:t xml:space="preserve">a </w:t>
      </w:r>
      <w:r w:rsidR="003618A8" w:rsidRPr="00731644">
        <w:rPr>
          <w:lang w:val="fr-CH"/>
        </w:rPr>
        <w:t>annonc</w:t>
      </w:r>
      <w:r w:rsidR="00CC488D" w:rsidRPr="00731644">
        <w:rPr>
          <w:lang w:val="fr-CH"/>
        </w:rPr>
        <w:t>é</w:t>
      </w:r>
      <w:r w:rsidR="003618A8" w:rsidRPr="00731644">
        <w:rPr>
          <w:lang w:val="fr-CH"/>
        </w:rPr>
        <w:t xml:space="preserve"> l</w:t>
      </w:r>
      <w:r w:rsidR="00425386" w:rsidRPr="00731644">
        <w:rPr>
          <w:lang w:val="fr-CH"/>
        </w:rPr>
        <w:t>’</w:t>
      </w:r>
      <w:r w:rsidR="003618A8" w:rsidRPr="00731644">
        <w:rPr>
          <w:lang w:val="fr-CH"/>
        </w:rPr>
        <w:t>organisation</w:t>
      </w:r>
      <w:r w:rsidR="00CC488D" w:rsidRPr="00731644">
        <w:rPr>
          <w:lang w:val="fr-CH"/>
        </w:rPr>
        <w:t xml:space="preserve"> d</w:t>
      </w:r>
      <w:r w:rsidR="00425386" w:rsidRPr="00731644">
        <w:rPr>
          <w:lang w:val="fr-CH"/>
        </w:rPr>
        <w:t>’</w:t>
      </w:r>
      <w:r w:rsidR="00CC488D" w:rsidRPr="00731644">
        <w:rPr>
          <w:lang w:val="fr-CH"/>
        </w:rPr>
        <w:t>un concours pour</w:t>
      </w:r>
      <w:r w:rsidR="003618A8" w:rsidRPr="00731644">
        <w:rPr>
          <w:lang w:val="fr-CH"/>
        </w:rPr>
        <w:t xml:space="preserve"> le </w:t>
      </w:r>
      <w:r w:rsidR="00A332AD" w:rsidRPr="00731644">
        <w:rPr>
          <w:lang w:val="fr-CH"/>
        </w:rPr>
        <w:t>cofinancement</w:t>
      </w:r>
      <w:r w:rsidR="003618A8" w:rsidRPr="00731644">
        <w:rPr>
          <w:lang w:val="fr-CH"/>
        </w:rPr>
        <w:t xml:space="preserve"> de programmes et de projets culturels port</w:t>
      </w:r>
      <w:r w:rsidR="00CC488D" w:rsidRPr="00731644">
        <w:rPr>
          <w:lang w:val="fr-CH"/>
        </w:rPr>
        <w:t>ant plus</w:t>
      </w:r>
      <w:r w:rsidR="003618A8" w:rsidRPr="00731644">
        <w:rPr>
          <w:lang w:val="fr-CH"/>
        </w:rPr>
        <w:t xml:space="preserve"> particulièrement sur des expressions et des savoirs artistiques traditionnels ainsi que sur des activités d</w:t>
      </w:r>
      <w:r w:rsidR="00425386" w:rsidRPr="00731644">
        <w:rPr>
          <w:lang w:val="fr-CH"/>
        </w:rPr>
        <w:t>’</w:t>
      </w:r>
      <w:r w:rsidR="003618A8" w:rsidRPr="00731644">
        <w:rPr>
          <w:lang w:val="fr-CH"/>
        </w:rPr>
        <w:t>amateurs, c</w:t>
      </w:r>
      <w:r w:rsidR="00425386" w:rsidRPr="00731644">
        <w:rPr>
          <w:lang w:val="fr-CH"/>
        </w:rPr>
        <w:t>’</w:t>
      </w:r>
      <w:r w:rsidR="003618A8" w:rsidRPr="00731644">
        <w:rPr>
          <w:lang w:val="fr-CH"/>
        </w:rPr>
        <w:t xml:space="preserve">est-à-dire sur un </w:t>
      </w:r>
      <w:r w:rsidR="00CC488D" w:rsidRPr="00731644">
        <w:rPr>
          <w:lang w:val="fr-CH"/>
        </w:rPr>
        <w:t xml:space="preserve">champ de la création </w:t>
      </w:r>
      <w:r w:rsidR="003618A8" w:rsidRPr="00731644">
        <w:rPr>
          <w:lang w:val="fr-CH"/>
        </w:rPr>
        <w:t xml:space="preserve">qui </w:t>
      </w:r>
      <w:r w:rsidR="006943C8" w:rsidRPr="00731644">
        <w:rPr>
          <w:lang w:val="fr-CH"/>
        </w:rPr>
        <w:t>illustre</w:t>
      </w:r>
      <w:r w:rsidR="00D91096" w:rsidRPr="00731644">
        <w:rPr>
          <w:lang w:val="fr-CH"/>
        </w:rPr>
        <w:t xml:space="preserve"> la diversité du patrimoine culturel du Monténégro et notamment de son patrimoine immatériel, ainsi que des traditions préservées par les minorités et les autres communautés nationales minoritaires. </w:t>
      </w:r>
    </w:p>
    <w:p w:rsidR="004C7BF6" w:rsidRPr="00731644" w:rsidRDefault="008A5997" w:rsidP="008A5997">
      <w:pPr>
        <w:pStyle w:val="SingleTxtG"/>
        <w:rPr>
          <w:lang w:val="fr-CH"/>
        </w:rPr>
      </w:pPr>
      <w:r w:rsidRPr="00731644">
        <w:rPr>
          <w:lang w:val="fr-CH"/>
        </w:rPr>
        <w:t>305</w:t>
      </w:r>
      <w:r w:rsidR="000B213E" w:rsidRPr="00731644">
        <w:rPr>
          <w:lang w:val="fr-CH"/>
        </w:rPr>
        <w:t>.</w:t>
      </w:r>
      <w:r w:rsidR="000B213E" w:rsidRPr="00731644">
        <w:rPr>
          <w:lang w:val="fr-CH"/>
        </w:rPr>
        <w:tab/>
      </w:r>
      <w:r w:rsidR="00CC488D" w:rsidRPr="00731644">
        <w:rPr>
          <w:lang w:val="fr-CH"/>
        </w:rPr>
        <w:t>Dans la perspective de</w:t>
      </w:r>
      <w:r w:rsidR="00D91096" w:rsidRPr="00731644">
        <w:rPr>
          <w:lang w:val="fr-CH"/>
        </w:rPr>
        <w:t xml:space="preserve"> l</w:t>
      </w:r>
      <w:r w:rsidR="00425386" w:rsidRPr="00731644">
        <w:rPr>
          <w:lang w:val="fr-CH"/>
        </w:rPr>
        <w:t>’</w:t>
      </w:r>
      <w:r w:rsidR="004C7BF6" w:rsidRPr="00731644">
        <w:rPr>
          <w:lang w:val="fr-CH"/>
        </w:rPr>
        <w:t xml:space="preserve">affirmation </w:t>
      </w:r>
      <w:r w:rsidR="00D91096" w:rsidRPr="00731644">
        <w:rPr>
          <w:lang w:val="fr-CH"/>
        </w:rPr>
        <w:t xml:space="preserve">des caractéristiques </w:t>
      </w:r>
      <w:r w:rsidR="004C7BF6" w:rsidRPr="00731644">
        <w:rPr>
          <w:lang w:val="fr-CH"/>
        </w:rPr>
        <w:t>multinational</w:t>
      </w:r>
      <w:r w:rsidR="00D91096" w:rsidRPr="00731644">
        <w:rPr>
          <w:lang w:val="fr-CH"/>
        </w:rPr>
        <w:t xml:space="preserve">es et multiculturelles du patrimoine </w:t>
      </w:r>
      <w:r w:rsidR="00E55F89" w:rsidRPr="00731644">
        <w:rPr>
          <w:lang w:val="fr-CH"/>
        </w:rPr>
        <w:t>m</w:t>
      </w:r>
      <w:r w:rsidR="00D91096" w:rsidRPr="00731644">
        <w:rPr>
          <w:lang w:val="fr-CH"/>
        </w:rPr>
        <w:t>onténégr</w:t>
      </w:r>
      <w:r w:rsidR="00E55F89" w:rsidRPr="00731644">
        <w:rPr>
          <w:lang w:val="fr-CH"/>
        </w:rPr>
        <w:t>in</w:t>
      </w:r>
      <w:r w:rsidR="00D91096" w:rsidRPr="00731644">
        <w:rPr>
          <w:lang w:val="fr-CH"/>
        </w:rPr>
        <w:t>,</w:t>
      </w:r>
      <w:r w:rsidR="00F31DD5" w:rsidRPr="00731644">
        <w:rPr>
          <w:lang w:val="fr-CH"/>
        </w:rPr>
        <w:t xml:space="preserve"> </w:t>
      </w:r>
      <w:r w:rsidR="00D91096" w:rsidRPr="00731644">
        <w:rPr>
          <w:lang w:val="fr-CH"/>
        </w:rPr>
        <w:t>un des critères d</w:t>
      </w:r>
      <w:r w:rsidR="00425386" w:rsidRPr="00731644">
        <w:rPr>
          <w:lang w:val="fr-CH"/>
        </w:rPr>
        <w:t>’</w:t>
      </w:r>
      <w:r w:rsidR="00D91096" w:rsidRPr="00731644">
        <w:rPr>
          <w:lang w:val="fr-CH"/>
        </w:rPr>
        <w:t xml:space="preserve">évaluation des projets de création culturelle et artistique présentés pour être </w:t>
      </w:r>
      <w:r w:rsidR="00A332AD" w:rsidRPr="00731644">
        <w:rPr>
          <w:lang w:val="fr-CH"/>
        </w:rPr>
        <w:t>cofinancés</w:t>
      </w:r>
      <w:r w:rsidR="00D91096" w:rsidRPr="00731644">
        <w:rPr>
          <w:lang w:val="fr-CH"/>
        </w:rPr>
        <w:t xml:space="preserve"> </w:t>
      </w:r>
      <w:r w:rsidR="00CC488D" w:rsidRPr="00731644">
        <w:rPr>
          <w:lang w:val="fr-CH"/>
        </w:rPr>
        <w:t xml:space="preserve">est leur </w:t>
      </w:r>
      <w:r w:rsidR="002061AB">
        <w:rPr>
          <w:lang w:val="fr-CH"/>
        </w:rPr>
        <w:t>«</w:t>
      </w:r>
      <w:r w:rsidR="00CC488D" w:rsidRPr="00731644">
        <w:rPr>
          <w:lang w:val="fr-CH"/>
        </w:rPr>
        <w:t>contribution</w:t>
      </w:r>
      <w:r w:rsidR="00F31DD5" w:rsidRPr="00731644">
        <w:rPr>
          <w:lang w:val="fr-CH"/>
        </w:rPr>
        <w:t xml:space="preserve"> </w:t>
      </w:r>
      <w:r w:rsidR="00CC488D" w:rsidRPr="00731644">
        <w:rPr>
          <w:lang w:val="fr-CH"/>
        </w:rPr>
        <w:t>au développement de valeurs multinationales et multiculturelles</w:t>
      </w:r>
      <w:r w:rsidR="002061AB">
        <w:rPr>
          <w:lang w:val="fr-CH"/>
        </w:rPr>
        <w:t>»</w:t>
      </w:r>
      <w:r w:rsidR="00CC488D" w:rsidRPr="00731644">
        <w:rPr>
          <w:lang w:val="fr-CH"/>
        </w:rPr>
        <w:t xml:space="preserve"> et </w:t>
      </w:r>
      <w:r w:rsidR="00E55F89" w:rsidRPr="00731644">
        <w:rPr>
          <w:lang w:val="fr-CH"/>
        </w:rPr>
        <w:t xml:space="preserve">à </w:t>
      </w:r>
      <w:r w:rsidR="002061AB">
        <w:rPr>
          <w:lang w:val="fr-CH"/>
        </w:rPr>
        <w:t>«</w:t>
      </w:r>
      <w:r w:rsidR="00CC488D" w:rsidRPr="00731644">
        <w:rPr>
          <w:lang w:val="fr-CH"/>
        </w:rPr>
        <w:t>la préservation des traditions et du patrimoine culturel monténégrin</w:t>
      </w:r>
      <w:r w:rsidR="00CF57B1" w:rsidRPr="00731644">
        <w:rPr>
          <w:lang w:val="fr-CH"/>
        </w:rPr>
        <w:t>s</w:t>
      </w:r>
      <w:r w:rsidR="002061AB">
        <w:rPr>
          <w:lang w:val="fr-CH"/>
        </w:rPr>
        <w:t>»</w:t>
      </w:r>
      <w:r w:rsidR="004C7BF6" w:rsidRPr="00731644">
        <w:rPr>
          <w:lang w:val="fr-CH"/>
        </w:rPr>
        <w:t>.</w:t>
      </w:r>
    </w:p>
    <w:p w:rsidR="005E6930" w:rsidRPr="00731644" w:rsidRDefault="008A5997" w:rsidP="008A5997">
      <w:pPr>
        <w:pStyle w:val="SingleTxtG"/>
        <w:rPr>
          <w:lang w:val="fr-CH"/>
        </w:rPr>
      </w:pPr>
      <w:r w:rsidRPr="00731644">
        <w:rPr>
          <w:lang w:val="fr-CH"/>
        </w:rPr>
        <w:t>306</w:t>
      </w:r>
      <w:r w:rsidR="000B213E" w:rsidRPr="00731644">
        <w:rPr>
          <w:lang w:val="fr-CH"/>
        </w:rPr>
        <w:t>.</w:t>
      </w:r>
      <w:r w:rsidR="000B213E" w:rsidRPr="00731644">
        <w:rPr>
          <w:lang w:val="fr-CH"/>
        </w:rPr>
        <w:tab/>
      </w:r>
      <w:r w:rsidR="005E6930" w:rsidRPr="00731644">
        <w:rPr>
          <w:lang w:val="fr-CH"/>
        </w:rPr>
        <w:t>Afin de</w:t>
      </w:r>
      <w:r w:rsidR="00CC488D" w:rsidRPr="00731644">
        <w:rPr>
          <w:lang w:val="fr-CH"/>
        </w:rPr>
        <w:t xml:space="preserve"> sauvegarder l</w:t>
      </w:r>
      <w:r w:rsidR="00425386" w:rsidRPr="00731644">
        <w:rPr>
          <w:lang w:val="fr-CH"/>
        </w:rPr>
        <w:t>’</w:t>
      </w:r>
      <w:r w:rsidR="004C7BF6" w:rsidRPr="00731644">
        <w:rPr>
          <w:lang w:val="fr-CH"/>
        </w:rPr>
        <w:t>authenticit</w:t>
      </w:r>
      <w:r w:rsidR="00CC488D" w:rsidRPr="00731644">
        <w:rPr>
          <w:lang w:val="fr-CH"/>
        </w:rPr>
        <w:t xml:space="preserve">é du patrimoine culturel </w:t>
      </w:r>
      <w:r w:rsidR="005E6930" w:rsidRPr="00731644">
        <w:rPr>
          <w:lang w:val="fr-CH"/>
        </w:rPr>
        <w:t>en tant que</w:t>
      </w:r>
      <w:r w:rsidR="00CC488D" w:rsidRPr="00731644">
        <w:rPr>
          <w:lang w:val="fr-CH"/>
        </w:rPr>
        <w:t xml:space="preserve"> composante de l</w:t>
      </w:r>
      <w:r w:rsidR="00425386" w:rsidRPr="00731644">
        <w:rPr>
          <w:lang w:val="fr-CH"/>
        </w:rPr>
        <w:t>’</w:t>
      </w:r>
      <w:r w:rsidR="00CC488D" w:rsidRPr="00731644">
        <w:rPr>
          <w:lang w:val="fr-CH"/>
        </w:rPr>
        <w:t xml:space="preserve">identité nationale, le Ministère de la culture a fait adopter </w:t>
      </w:r>
      <w:r w:rsidR="005E6930" w:rsidRPr="00731644">
        <w:rPr>
          <w:lang w:val="fr-CH"/>
        </w:rPr>
        <w:t xml:space="preserve">en août 2010 </w:t>
      </w:r>
      <w:r w:rsidR="00CC488D" w:rsidRPr="00731644">
        <w:rPr>
          <w:lang w:val="fr-CH"/>
        </w:rPr>
        <w:t xml:space="preserve">quatre nouvelles lois (relatives à la protection des biens culturels, </w:t>
      </w:r>
      <w:r w:rsidR="005E6930" w:rsidRPr="00731644">
        <w:rPr>
          <w:lang w:val="fr-CH"/>
        </w:rPr>
        <w:t xml:space="preserve">aux musées, aux archives et aux bibliothèques) </w:t>
      </w:r>
      <w:r w:rsidR="00CF57B1" w:rsidRPr="00731644">
        <w:rPr>
          <w:lang w:val="fr-CH"/>
        </w:rPr>
        <w:t>destinées à</w:t>
      </w:r>
      <w:r w:rsidR="005E6930" w:rsidRPr="00731644">
        <w:rPr>
          <w:lang w:val="fr-CH"/>
        </w:rPr>
        <w:t xml:space="preserve"> assurer </w:t>
      </w:r>
      <w:r w:rsidR="00CF57B1" w:rsidRPr="00731644">
        <w:rPr>
          <w:lang w:val="fr-CH"/>
        </w:rPr>
        <w:t xml:space="preserve">la protection et </w:t>
      </w:r>
      <w:r w:rsidR="005E6930" w:rsidRPr="00731644">
        <w:rPr>
          <w:lang w:val="fr-CH"/>
        </w:rPr>
        <w:t xml:space="preserve">la préservation du patrimoine et des biens culturels conformément aux dispositions des normes et conventions européennes et </w:t>
      </w:r>
      <w:r w:rsidR="00A332AD" w:rsidRPr="00731644">
        <w:rPr>
          <w:lang w:val="fr-CH"/>
        </w:rPr>
        <w:t>internationales</w:t>
      </w:r>
      <w:r w:rsidR="005E6930" w:rsidRPr="00731644">
        <w:rPr>
          <w:lang w:val="fr-CH"/>
        </w:rPr>
        <w:t>.</w:t>
      </w:r>
      <w:r w:rsidR="00F31DD5" w:rsidRPr="00731644">
        <w:rPr>
          <w:lang w:val="fr-CH"/>
        </w:rPr>
        <w:t xml:space="preserve"> </w:t>
      </w:r>
    </w:p>
    <w:p w:rsidR="004C7BF6" w:rsidRPr="00731644" w:rsidRDefault="008A5997" w:rsidP="005072A0">
      <w:pPr>
        <w:pStyle w:val="SingleTxtG"/>
        <w:keepNext/>
        <w:rPr>
          <w:lang w:val="fr-CH"/>
        </w:rPr>
      </w:pPr>
      <w:r w:rsidRPr="00731644">
        <w:rPr>
          <w:lang w:val="fr-CH"/>
        </w:rPr>
        <w:t>307</w:t>
      </w:r>
      <w:r w:rsidR="000B213E" w:rsidRPr="00731644">
        <w:rPr>
          <w:lang w:val="fr-CH"/>
        </w:rPr>
        <w:t>.</w:t>
      </w:r>
      <w:r w:rsidR="000B213E" w:rsidRPr="00731644">
        <w:rPr>
          <w:lang w:val="fr-CH"/>
        </w:rPr>
        <w:tab/>
      </w:r>
      <w:r w:rsidR="00CF57B1" w:rsidRPr="00731644">
        <w:rPr>
          <w:lang w:val="fr-CH"/>
        </w:rPr>
        <w:t>En vue d</w:t>
      </w:r>
      <w:r w:rsidR="00425386" w:rsidRPr="00731644">
        <w:rPr>
          <w:lang w:val="fr-CH"/>
        </w:rPr>
        <w:t>’</w:t>
      </w:r>
      <w:r w:rsidR="005E6930" w:rsidRPr="00731644">
        <w:rPr>
          <w:lang w:val="fr-CH"/>
        </w:rPr>
        <w:t xml:space="preserve">affirmer la diversité culturelle et </w:t>
      </w:r>
      <w:r w:rsidR="00CF57B1" w:rsidRPr="00731644">
        <w:rPr>
          <w:lang w:val="fr-CH"/>
        </w:rPr>
        <w:t xml:space="preserve">de </w:t>
      </w:r>
      <w:r w:rsidR="005E6930" w:rsidRPr="00731644">
        <w:rPr>
          <w:lang w:val="fr-CH"/>
        </w:rPr>
        <w:t>protéger la culture et le patrimoine des minorités et aut</w:t>
      </w:r>
      <w:r w:rsidR="00CF57B1" w:rsidRPr="00731644">
        <w:rPr>
          <w:lang w:val="fr-CH"/>
        </w:rPr>
        <w:t>r</w:t>
      </w:r>
      <w:r w:rsidR="005E6930" w:rsidRPr="00731644">
        <w:rPr>
          <w:lang w:val="fr-CH"/>
        </w:rPr>
        <w:t>es communautés nationales minoritaires, le Gouvernement du Monténégro a créé le Centre</w:t>
      </w:r>
      <w:r w:rsidR="00F31DD5" w:rsidRPr="00731644">
        <w:rPr>
          <w:lang w:val="fr-CH"/>
        </w:rPr>
        <w:t xml:space="preserve"> </w:t>
      </w:r>
      <w:r w:rsidR="005E6930" w:rsidRPr="00731644">
        <w:rPr>
          <w:lang w:val="fr-CH"/>
        </w:rPr>
        <w:t xml:space="preserve">de </w:t>
      </w:r>
      <w:r w:rsidR="00CF57B1" w:rsidRPr="00731644">
        <w:rPr>
          <w:lang w:val="fr-CH"/>
        </w:rPr>
        <w:t>sauvegarde</w:t>
      </w:r>
      <w:r w:rsidR="005E6930" w:rsidRPr="00731644">
        <w:rPr>
          <w:lang w:val="fr-CH"/>
        </w:rPr>
        <w:t xml:space="preserve"> et de mise en valeur des cultures des minorités, institution dotée d</w:t>
      </w:r>
      <w:r w:rsidR="00425386" w:rsidRPr="00731644">
        <w:rPr>
          <w:lang w:val="fr-CH"/>
        </w:rPr>
        <w:t>’</w:t>
      </w:r>
      <w:r w:rsidR="000E41BA" w:rsidRPr="00731644">
        <w:rPr>
          <w:lang w:val="fr-CH"/>
        </w:rPr>
        <w:t>un</w:t>
      </w:r>
      <w:r w:rsidR="005E6930" w:rsidRPr="00731644">
        <w:rPr>
          <w:lang w:val="fr-CH"/>
        </w:rPr>
        <w:t xml:space="preserve"> budget spécial</w:t>
      </w:r>
      <w:r w:rsidR="00E55F89" w:rsidRPr="00731644">
        <w:rPr>
          <w:lang w:val="fr-CH"/>
        </w:rPr>
        <w:t>,</w:t>
      </w:r>
      <w:r w:rsidR="005E6930" w:rsidRPr="00731644">
        <w:rPr>
          <w:lang w:val="fr-CH"/>
        </w:rPr>
        <w:t xml:space="preserve"> qui a pour </w:t>
      </w:r>
      <w:r w:rsidR="00E55F89" w:rsidRPr="00731644">
        <w:rPr>
          <w:lang w:val="fr-CH"/>
        </w:rPr>
        <w:t xml:space="preserve">principales </w:t>
      </w:r>
      <w:r w:rsidR="00CF57B1" w:rsidRPr="00731644">
        <w:rPr>
          <w:lang w:val="fr-CH"/>
        </w:rPr>
        <w:t>mission</w:t>
      </w:r>
      <w:r w:rsidR="005E6930" w:rsidRPr="00731644">
        <w:rPr>
          <w:lang w:val="fr-CH"/>
        </w:rPr>
        <w:t>s</w:t>
      </w:r>
      <w:r w:rsidR="004C7BF6" w:rsidRPr="00731644">
        <w:rPr>
          <w:lang w:val="fr-CH"/>
        </w:rPr>
        <w:t>:</w:t>
      </w:r>
    </w:p>
    <w:p w:rsidR="004C7BF6" w:rsidRPr="00731644" w:rsidRDefault="006755A0" w:rsidP="002337A9">
      <w:pPr>
        <w:pStyle w:val="Bullet1G"/>
        <w:rPr>
          <w:lang w:val="fr-CH"/>
        </w:rPr>
      </w:pPr>
      <w:r w:rsidRPr="00731644">
        <w:rPr>
          <w:lang w:val="fr-CH"/>
        </w:rPr>
        <w:t xml:space="preserve">De conserver et de mettre en valeur les </w:t>
      </w:r>
      <w:r w:rsidR="004C7BF6" w:rsidRPr="00731644">
        <w:rPr>
          <w:lang w:val="fr-CH"/>
        </w:rPr>
        <w:t>expression</w:t>
      </w:r>
      <w:r w:rsidRPr="00731644">
        <w:rPr>
          <w:lang w:val="fr-CH"/>
        </w:rPr>
        <w:t>s culturelles des minorités du Monténégro</w:t>
      </w:r>
      <w:r w:rsidR="005072A0">
        <w:rPr>
          <w:lang w:val="fr-CH"/>
        </w:rPr>
        <w:t>;</w:t>
      </w:r>
      <w:r w:rsidR="00F31DD5" w:rsidRPr="00731644">
        <w:rPr>
          <w:lang w:val="fr-CH"/>
        </w:rPr>
        <w:t xml:space="preserve"> </w:t>
      </w:r>
    </w:p>
    <w:p w:rsidR="004C7BF6" w:rsidRPr="00731644" w:rsidRDefault="006755A0" w:rsidP="002337A9">
      <w:pPr>
        <w:pStyle w:val="Bullet1G"/>
        <w:rPr>
          <w:lang w:val="fr-CH"/>
        </w:rPr>
      </w:pPr>
      <w:r w:rsidRPr="00731644">
        <w:rPr>
          <w:lang w:val="fr-CH"/>
        </w:rPr>
        <w:t>D</w:t>
      </w:r>
      <w:r w:rsidR="00425386" w:rsidRPr="00731644">
        <w:rPr>
          <w:lang w:val="fr-CH"/>
        </w:rPr>
        <w:t>’</w:t>
      </w:r>
      <w:r w:rsidRPr="00731644">
        <w:rPr>
          <w:lang w:val="fr-CH"/>
        </w:rPr>
        <w:t>appliquer et de diffuser des programmes ainsi que d</w:t>
      </w:r>
      <w:r w:rsidR="00425386" w:rsidRPr="00731644">
        <w:rPr>
          <w:lang w:val="fr-CH"/>
        </w:rPr>
        <w:t>’</w:t>
      </w:r>
      <w:r w:rsidRPr="00731644">
        <w:rPr>
          <w:lang w:val="fr-CH"/>
        </w:rPr>
        <w:t xml:space="preserve">organiser des manifestations </w:t>
      </w:r>
      <w:r w:rsidR="00E55F89" w:rsidRPr="00731644">
        <w:rPr>
          <w:lang w:val="fr-CH"/>
        </w:rPr>
        <w:t xml:space="preserve">qui se </w:t>
      </w:r>
      <w:r w:rsidR="00B726A4" w:rsidRPr="00731644">
        <w:rPr>
          <w:lang w:val="fr-CH"/>
        </w:rPr>
        <w:t>rapport</w:t>
      </w:r>
      <w:r w:rsidR="00E55F89" w:rsidRPr="00731644">
        <w:rPr>
          <w:lang w:val="fr-CH"/>
        </w:rPr>
        <w:t>ent aux</w:t>
      </w:r>
      <w:r w:rsidR="004C7BF6" w:rsidRPr="00731644">
        <w:rPr>
          <w:lang w:val="fr-CH"/>
        </w:rPr>
        <w:t xml:space="preserve"> minorit</w:t>
      </w:r>
      <w:r w:rsidRPr="00731644">
        <w:rPr>
          <w:lang w:val="fr-CH"/>
        </w:rPr>
        <w:t xml:space="preserve">és du Monténégro </w:t>
      </w:r>
      <w:r w:rsidR="00B726A4" w:rsidRPr="00731644">
        <w:rPr>
          <w:lang w:val="fr-CH"/>
        </w:rPr>
        <w:t xml:space="preserve">et </w:t>
      </w:r>
      <w:r w:rsidR="00E55F89" w:rsidRPr="00731644">
        <w:rPr>
          <w:lang w:val="fr-CH"/>
        </w:rPr>
        <w:t xml:space="preserve">à </w:t>
      </w:r>
      <w:r w:rsidR="00B726A4" w:rsidRPr="00731644">
        <w:rPr>
          <w:lang w:val="fr-CH"/>
        </w:rPr>
        <w:t>leurs institutions</w:t>
      </w:r>
      <w:r w:rsidR="00E55F89" w:rsidRPr="00731644">
        <w:rPr>
          <w:lang w:val="fr-CH"/>
        </w:rPr>
        <w:t>, dans tous les domaines artistiques (beaux-arts, théâtre, littérature, cinéma, etc.)</w:t>
      </w:r>
      <w:r w:rsidR="005072A0">
        <w:rPr>
          <w:lang w:val="fr-CH"/>
        </w:rPr>
        <w:t>;</w:t>
      </w:r>
    </w:p>
    <w:p w:rsidR="004C7BF6" w:rsidRPr="00731644" w:rsidRDefault="006755A0" w:rsidP="002337A9">
      <w:pPr>
        <w:pStyle w:val="Bullet1G"/>
        <w:rPr>
          <w:lang w:val="fr-CH"/>
        </w:rPr>
      </w:pPr>
      <w:r w:rsidRPr="00731644">
        <w:rPr>
          <w:lang w:val="fr-CH"/>
        </w:rPr>
        <w:t xml:space="preserve">De sensibiliser les membres des minorités du Monténégro en organisant des causeries, des séminaires, des cours, des conférences, des </w:t>
      </w:r>
      <w:r w:rsidR="00B726A4" w:rsidRPr="00731644">
        <w:rPr>
          <w:lang w:val="fr-CH"/>
        </w:rPr>
        <w:t>débats</w:t>
      </w:r>
      <w:r w:rsidRPr="00731644">
        <w:rPr>
          <w:lang w:val="fr-CH"/>
        </w:rPr>
        <w:t>, des activités de promotion</w:t>
      </w:r>
      <w:r w:rsidR="004C7BF6" w:rsidRPr="00731644">
        <w:rPr>
          <w:lang w:val="fr-CH"/>
        </w:rPr>
        <w:t>, etc.</w:t>
      </w:r>
      <w:r w:rsidR="005072A0">
        <w:rPr>
          <w:lang w:val="fr-CH"/>
        </w:rPr>
        <w:t>;</w:t>
      </w:r>
    </w:p>
    <w:p w:rsidR="009C7AD8" w:rsidRPr="00731644" w:rsidRDefault="006755A0" w:rsidP="002337A9">
      <w:pPr>
        <w:pStyle w:val="Bullet1G"/>
        <w:rPr>
          <w:lang w:val="fr-CH"/>
        </w:rPr>
      </w:pPr>
      <w:r w:rsidRPr="00731644">
        <w:rPr>
          <w:lang w:val="fr-CH"/>
        </w:rPr>
        <w:t>D</w:t>
      </w:r>
      <w:r w:rsidR="00425386" w:rsidRPr="00731644">
        <w:rPr>
          <w:lang w:val="fr-CH"/>
        </w:rPr>
        <w:t>’</w:t>
      </w:r>
      <w:r w:rsidRPr="00731644">
        <w:rPr>
          <w:lang w:val="fr-CH"/>
        </w:rPr>
        <w:t>organiser des visites</w:t>
      </w:r>
      <w:r w:rsidR="00E55F89" w:rsidRPr="00731644">
        <w:rPr>
          <w:lang w:val="fr-CH"/>
        </w:rPr>
        <w:t xml:space="preserve"> de</w:t>
      </w:r>
      <w:r w:rsidRPr="00731644">
        <w:rPr>
          <w:lang w:val="fr-CH"/>
        </w:rPr>
        <w:t xml:space="preserve"> spécialis</w:t>
      </w:r>
      <w:r w:rsidR="00E55F89" w:rsidRPr="00731644">
        <w:rPr>
          <w:lang w:val="fr-CH"/>
        </w:rPr>
        <w:t>t</w:t>
      </w:r>
      <w:r w:rsidRPr="00731644">
        <w:rPr>
          <w:lang w:val="fr-CH"/>
        </w:rPr>
        <w:t>es ainsi q</w:t>
      </w:r>
      <w:r w:rsidR="009C7AD8" w:rsidRPr="00731644">
        <w:rPr>
          <w:lang w:val="fr-CH"/>
        </w:rPr>
        <w:t>u</w:t>
      </w:r>
      <w:r w:rsidRPr="00731644">
        <w:rPr>
          <w:lang w:val="fr-CH"/>
        </w:rPr>
        <w:t xml:space="preserve">e des </w:t>
      </w:r>
      <w:r w:rsidR="009C7AD8" w:rsidRPr="00731644">
        <w:rPr>
          <w:lang w:val="fr-CH"/>
        </w:rPr>
        <w:t>visites d</w:t>
      </w:r>
      <w:r w:rsidR="00425386" w:rsidRPr="00731644">
        <w:rPr>
          <w:lang w:val="fr-CH"/>
        </w:rPr>
        <w:t>’</w:t>
      </w:r>
      <w:r w:rsidR="009C7AD8" w:rsidRPr="00731644">
        <w:rPr>
          <w:lang w:val="fr-CH"/>
        </w:rPr>
        <w:t>artistes monténégrins et étrangers qui présentent un intérêt pour les minorités du Monténégro</w:t>
      </w:r>
      <w:r w:rsidR="005072A0">
        <w:rPr>
          <w:lang w:val="fr-CH"/>
        </w:rPr>
        <w:t>;</w:t>
      </w:r>
      <w:r w:rsidR="009C7AD8" w:rsidRPr="00731644">
        <w:rPr>
          <w:lang w:val="fr-CH"/>
        </w:rPr>
        <w:t xml:space="preserve"> </w:t>
      </w:r>
    </w:p>
    <w:p w:rsidR="009C7AD8" w:rsidRPr="00731644" w:rsidRDefault="009C7AD8" w:rsidP="002337A9">
      <w:pPr>
        <w:pStyle w:val="Bullet1G"/>
        <w:rPr>
          <w:lang w:val="fr-CH"/>
        </w:rPr>
      </w:pPr>
      <w:r w:rsidRPr="00731644">
        <w:rPr>
          <w:lang w:val="fr-CH"/>
        </w:rPr>
        <w:t xml:space="preserve">De soutenir des projets de recherche </w:t>
      </w:r>
      <w:r w:rsidR="00B726A4" w:rsidRPr="00731644">
        <w:rPr>
          <w:lang w:val="fr-CH"/>
        </w:rPr>
        <w:t>portant sur les</w:t>
      </w:r>
      <w:r w:rsidRPr="00731644">
        <w:rPr>
          <w:lang w:val="fr-CH"/>
        </w:rPr>
        <w:t xml:space="preserve"> cultures des minorités du Monténégro</w:t>
      </w:r>
      <w:r w:rsidR="005072A0">
        <w:rPr>
          <w:lang w:val="fr-CH"/>
        </w:rPr>
        <w:t>;</w:t>
      </w:r>
      <w:r w:rsidRPr="00731644">
        <w:rPr>
          <w:lang w:val="fr-CH"/>
        </w:rPr>
        <w:t xml:space="preserve"> </w:t>
      </w:r>
    </w:p>
    <w:p w:rsidR="009C7AD8" w:rsidRPr="00731644" w:rsidRDefault="009C7AD8" w:rsidP="002337A9">
      <w:pPr>
        <w:pStyle w:val="Bullet1G"/>
        <w:rPr>
          <w:lang w:val="fr-CH"/>
        </w:rPr>
      </w:pPr>
      <w:r w:rsidRPr="00731644">
        <w:rPr>
          <w:lang w:val="fr-CH"/>
        </w:rPr>
        <w:t>D</w:t>
      </w:r>
      <w:r w:rsidR="00425386" w:rsidRPr="00731644">
        <w:rPr>
          <w:lang w:val="fr-CH"/>
        </w:rPr>
        <w:t>’</w:t>
      </w:r>
      <w:r w:rsidRPr="00731644">
        <w:rPr>
          <w:lang w:val="fr-CH"/>
        </w:rPr>
        <w:t xml:space="preserve">apporter un soutien financier aux institutions et </w:t>
      </w:r>
      <w:r w:rsidR="00B726A4" w:rsidRPr="00731644">
        <w:rPr>
          <w:lang w:val="fr-CH"/>
        </w:rPr>
        <w:t xml:space="preserve">aux </w:t>
      </w:r>
      <w:r w:rsidRPr="00731644">
        <w:rPr>
          <w:lang w:val="fr-CH"/>
        </w:rPr>
        <w:t xml:space="preserve">associations culturelles </w:t>
      </w:r>
      <w:r w:rsidR="004C7BF6" w:rsidRPr="00731644">
        <w:rPr>
          <w:lang w:val="fr-CH"/>
        </w:rPr>
        <w:t>(</w:t>
      </w:r>
      <w:r w:rsidRPr="00731644">
        <w:rPr>
          <w:lang w:val="fr-CH"/>
        </w:rPr>
        <w:t>bibliothèqu</w:t>
      </w:r>
      <w:r w:rsidR="004C7BF6" w:rsidRPr="00731644">
        <w:rPr>
          <w:lang w:val="fr-CH"/>
        </w:rPr>
        <w:t xml:space="preserve">es, galeries, </w:t>
      </w:r>
      <w:r w:rsidRPr="00731644">
        <w:rPr>
          <w:lang w:val="fr-CH"/>
        </w:rPr>
        <w:t>organisations non gouvernementales,</w:t>
      </w:r>
      <w:r w:rsidR="00F31DD5" w:rsidRPr="00731644">
        <w:rPr>
          <w:lang w:val="fr-CH"/>
        </w:rPr>
        <w:t xml:space="preserve"> </w:t>
      </w:r>
      <w:r w:rsidR="004C7BF6" w:rsidRPr="00731644">
        <w:rPr>
          <w:lang w:val="fr-CH"/>
        </w:rPr>
        <w:t xml:space="preserve">etc.) </w:t>
      </w:r>
      <w:r w:rsidR="001908E2" w:rsidRPr="00731644">
        <w:rPr>
          <w:lang w:val="fr-CH"/>
        </w:rPr>
        <w:t>sises</w:t>
      </w:r>
      <w:r w:rsidRPr="00731644">
        <w:rPr>
          <w:lang w:val="fr-CH"/>
        </w:rPr>
        <w:t xml:space="preserve"> sur le territoire </w:t>
      </w:r>
      <w:r w:rsidR="007C46A5" w:rsidRPr="00731644">
        <w:rPr>
          <w:lang w:val="fr-CH"/>
        </w:rPr>
        <w:t>m</w:t>
      </w:r>
      <w:r w:rsidRPr="00731644">
        <w:rPr>
          <w:lang w:val="fr-CH"/>
        </w:rPr>
        <w:t>onténégr</w:t>
      </w:r>
      <w:r w:rsidR="007C46A5" w:rsidRPr="00731644">
        <w:rPr>
          <w:lang w:val="fr-CH"/>
        </w:rPr>
        <w:t>in</w:t>
      </w:r>
      <w:r w:rsidRPr="00731644">
        <w:rPr>
          <w:lang w:val="fr-CH"/>
        </w:rPr>
        <w:t xml:space="preserve"> qui sont importantes pour l</w:t>
      </w:r>
      <w:r w:rsidR="00B726A4" w:rsidRPr="00731644">
        <w:rPr>
          <w:lang w:val="fr-CH"/>
        </w:rPr>
        <w:t>es</w:t>
      </w:r>
      <w:r w:rsidRPr="00731644">
        <w:rPr>
          <w:lang w:val="fr-CH"/>
        </w:rPr>
        <w:t xml:space="preserve"> culture</w:t>
      </w:r>
      <w:r w:rsidR="00B726A4" w:rsidRPr="00731644">
        <w:rPr>
          <w:lang w:val="fr-CH"/>
        </w:rPr>
        <w:t>s</w:t>
      </w:r>
      <w:r w:rsidRPr="00731644">
        <w:rPr>
          <w:lang w:val="fr-CH"/>
        </w:rPr>
        <w:t xml:space="preserve"> des minorités</w:t>
      </w:r>
      <w:r w:rsidR="005072A0">
        <w:rPr>
          <w:lang w:val="fr-CH"/>
        </w:rPr>
        <w:t>;</w:t>
      </w:r>
      <w:r w:rsidRPr="00731644">
        <w:rPr>
          <w:lang w:val="fr-CH"/>
        </w:rPr>
        <w:t xml:space="preserve"> </w:t>
      </w:r>
    </w:p>
    <w:p w:rsidR="004C7BF6" w:rsidRPr="00731644" w:rsidRDefault="009C7AD8" w:rsidP="002337A9">
      <w:pPr>
        <w:pStyle w:val="Bullet1G"/>
        <w:rPr>
          <w:lang w:val="fr-CH"/>
        </w:rPr>
      </w:pPr>
      <w:r w:rsidRPr="00731644">
        <w:rPr>
          <w:lang w:val="fr-CH"/>
        </w:rPr>
        <w:t>De financer des projets en rapport avec les cultures des minorités du Monténégro</w:t>
      </w:r>
      <w:r w:rsidR="005072A0">
        <w:rPr>
          <w:lang w:val="fr-CH"/>
        </w:rPr>
        <w:t>;</w:t>
      </w:r>
      <w:r w:rsidRPr="00731644">
        <w:rPr>
          <w:lang w:val="fr-CH"/>
        </w:rPr>
        <w:t xml:space="preserve"> </w:t>
      </w:r>
    </w:p>
    <w:p w:rsidR="00C05F5B" w:rsidRPr="00731644" w:rsidRDefault="009C7AD8" w:rsidP="002337A9">
      <w:pPr>
        <w:pStyle w:val="Bullet1G"/>
        <w:rPr>
          <w:lang w:val="fr-CH"/>
        </w:rPr>
      </w:pPr>
      <w:r w:rsidRPr="00731644">
        <w:rPr>
          <w:lang w:val="fr-CH"/>
        </w:rPr>
        <w:t xml:space="preserve">De soutenir et de développer la coopération avec </w:t>
      </w:r>
      <w:r w:rsidR="00C05F5B" w:rsidRPr="00731644">
        <w:rPr>
          <w:lang w:val="fr-CH"/>
        </w:rPr>
        <w:t xml:space="preserve">les institutions culturelles et </w:t>
      </w:r>
      <w:r w:rsidR="007C46A5" w:rsidRPr="00731644">
        <w:rPr>
          <w:lang w:val="fr-CH"/>
        </w:rPr>
        <w:t>l</w:t>
      </w:r>
      <w:r w:rsidR="00C05F5B" w:rsidRPr="00731644">
        <w:rPr>
          <w:lang w:val="fr-CH"/>
        </w:rPr>
        <w:t xml:space="preserve">es institutions </w:t>
      </w:r>
      <w:r w:rsidR="001908E2" w:rsidRPr="00731644">
        <w:rPr>
          <w:lang w:val="fr-CH"/>
        </w:rPr>
        <w:t>a</w:t>
      </w:r>
      <w:r w:rsidR="007C46A5" w:rsidRPr="00731644">
        <w:rPr>
          <w:lang w:val="fr-CH"/>
        </w:rPr>
        <w:t>pparentées qui sont</w:t>
      </w:r>
      <w:r w:rsidR="00C05F5B" w:rsidRPr="00731644">
        <w:rPr>
          <w:lang w:val="fr-CH"/>
        </w:rPr>
        <w:t xml:space="preserve"> </w:t>
      </w:r>
      <w:r w:rsidR="001908E2" w:rsidRPr="00731644">
        <w:rPr>
          <w:lang w:val="fr-CH"/>
        </w:rPr>
        <w:t xml:space="preserve">situées dans le </w:t>
      </w:r>
      <w:r w:rsidR="00C05F5B" w:rsidRPr="00731644">
        <w:rPr>
          <w:lang w:val="fr-CH"/>
        </w:rPr>
        <w:t>pays et à l</w:t>
      </w:r>
      <w:r w:rsidR="00425386" w:rsidRPr="00731644">
        <w:rPr>
          <w:lang w:val="fr-CH"/>
        </w:rPr>
        <w:t>’</w:t>
      </w:r>
      <w:r w:rsidR="00C05F5B" w:rsidRPr="00731644">
        <w:rPr>
          <w:lang w:val="fr-CH"/>
        </w:rPr>
        <w:t>étranger</w:t>
      </w:r>
      <w:r w:rsidR="005072A0">
        <w:rPr>
          <w:lang w:val="fr-CH"/>
        </w:rPr>
        <w:t>;</w:t>
      </w:r>
      <w:r w:rsidR="00C05F5B" w:rsidRPr="00731644">
        <w:rPr>
          <w:lang w:val="fr-CH"/>
        </w:rPr>
        <w:t xml:space="preserve"> </w:t>
      </w:r>
    </w:p>
    <w:p w:rsidR="00C05F5B" w:rsidRPr="00731644" w:rsidRDefault="00C05F5B" w:rsidP="002337A9">
      <w:pPr>
        <w:pStyle w:val="Bullet1G"/>
        <w:rPr>
          <w:lang w:val="fr-CH"/>
        </w:rPr>
      </w:pPr>
      <w:r w:rsidRPr="00731644">
        <w:rPr>
          <w:lang w:val="fr-CH"/>
        </w:rPr>
        <w:t>De soutenir et d</w:t>
      </w:r>
      <w:r w:rsidR="00425386" w:rsidRPr="00731644">
        <w:rPr>
          <w:lang w:val="fr-CH"/>
        </w:rPr>
        <w:t>’</w:t>
      </w:r>
      <w:r w:rsidRPr="00731644">
        <w:rPr>
          <w:lang w:val="fr-CH"/>
        </w:rPr>
        <w:t xml:space="preserve">aider les institutions du </w:t>
      </w:r>
      <w:r w:rsidR="007C46A5" w:rsidRPr="00731644">
        <w:rPr>
          <w:lang w:val="fr-CH"/>
        </w:rPr>
        <w:t>pays</w:t>
      </w:r>
      <w:r w:rsidRPr="00731644">
        <w:rPr>
          <w:lang w:val="fr-CH"/>
        </w:rPr>
        <w:t xml:space="preserve"> qui s</w:t>
      </w:r>
      <w:r w:rsidR="00425386" w:rsidRPr="00731644">
        <w:rPr>
          <w:lang w:val="fr-CH"/>
        </w:rPr>
        <w:t>’</w:t>
      </w:r>
      <w:r w:rsidRPr="00731644">
        <w:rPr>
          <w:lang w:val="fr-CH"/>
        </w:rPr>
        <w:t xml:space="preserve">attachent à promouvoir la culture de masse et </w:t>
      </w:r>
      <w:r w:rsidR="001908E2" w:rsidRPr="00731644">
        <w:rPr>
          <w:lang w:val="fr-CH"/>
        </w:rPr>
        <w:t>l</w:t>
      </w:r>
      <w:r w:rsidR="00425386" w:rsidRPr="00731644">
        <w:rPr>
          <w:lang w:val="fr-CH"/>
        </w:rPr>
        <w:t>’</w:t>
      </w:r>
      <w:r w:rsidR="001908E2" w:rsidRPr="00731644">
        <w:rPr>
          <w:lang w:val="fr-CH"/>
        </w:rPr>
        <w:t>activité</w:t>
      </w:r>
      <w:r w:rsidRPr="00731644">
        <w:rPr>
          <w:lang w:val="fr-CH"/>
        </w:rPr>
        <w:t xml:space="preserve"> culturel</w:t>
      </w:r>
      <w:r w:rsidR="001908E2" w:rsidRPr="00731644">
        <w:rPr>
          <w:lang w:val="fr-CH"/>
        </w:rPr>
        <w:t>le</w:t>
      </w:r>
      <w:r w:rsidRPr="00731644">
        <w:rPr>
          <w:lang w:val="fr-CH"/>
        </w:rPr>
        <w:t xml:space="preserve"> et artistique d</w:t>
      </w:r>
      <w:r w:rsidR="00425386" w:rsidRPr="00731644">
        <w:rPr>
          <w:lang w:val="fr-CH"/>
        </w:rPr>
        <w:t>’</w:t>
      </w:r>
      <w:r w:rsidRPr="00731644">
        <w:rPr>
          <w:lang w:val="fr-CH"/>
        </w:rPr>
        <w:t xml:space="preserve">amateurs </w:t>
      </w:r>
      <w:r w:rsidR="001908E2" w:rsidRPr="00731644">
        <w:rPr>
          <w:lang w:val="fr-CH"/>
        </w:rPr>
        <w:t>faisant partie des</w:t>
      </w:r>
      <w:r w:rsidRPr="00731644">
        <w:rPr>
          <w:lang w:val="fr-CH"/>
        </w:rPr>
        <w:t xml:space="preserve"> minorités du Monténégro</w:t>
      </w:r>
      <w:r w:rsidR="005072A0">
        <w:rPr>
          <w:lang w:val="fr-CH"/>
        </w:rPr>
        <w:t>;</w:t>
      </w:r>
      <w:r w:rsidRPr="00731644">
        <w:rPr>
          <w:lang w:val="fr-CH"/>
        </w:rPr>
        <w:t xml:space="preserve"> </w:t>
      </w:r>
    </w:p>
    <w:p w:rsidR="00C05F5B" w:rsidRPr="00731644" w:rsidRDefault="00C05F5B" w:rsidP="002337A9">
      <w:pPr>
        <w:pStyle w:val="Bullet1G"/>
        <w:rPr>
          <w:lang w:val="fr-CH"/>
        </w:rPr>
      </w:pPr>
      <w:r w:rsidRPr="00731644">
        <w:rPr>
          <w:lang w:val="fr-CH"/>
        </w:rPr>
        <w:t>D</w:t>
      </w:r>
      <w:r w:rsidR="00425386" w:rsidRPr="00731644">
        <w:rPr>
          <w:lang w:val="fr-CH"/>
        </w:rPr>
        <w:t>’</w:t>
      </w:r>
      <w:r w:rsidRPr="00731644">
        <w:rPr>
          <w:lang w:val="fr-CH"/>
        </w:rPr>
        <w:t xml:space="preserve">appuyer les </w:t>
      </w:r>
      <w:r w:rsidR="004C7BF6" w:rsidRPr="00731644">
        <w:rPr>
          <w:lang w:val="fr-CH"/>
        </w:rPr>
        <w:t xml:space="preserve">initiatives </w:t>
      </w:r>
      <w:r w:rsidRPr="00731644">
        <w:rPr>
          <w:lang w:val="fr-CH"/>
        </w:rPr>
        <w:t>prises dans tous les domaines de l</w:t>
      </w:r>
      <w:r w:rsidR="00425386" w:rsidRPr="00731644">
        <w:rPr>
          <w:lang w:val="fr-CH"/>
        </w:rPr>
        <w:t>’</w:t>
      </w:r>
      <w:r w:rsidRPr="00731644">
        <w:rPr>
          <w:lang w:val="fr-CH"/>
        </w:rPr>
        <w:t>expression artistique par tous les membres des minorités du Monténégro</w:t>
      </w:r>
      <w:r w:rsidR="005072A0">
        <w:rPr>
          <w:lang w:val="fr-CH"/>
        </w:rPr>
        <w:t>;</w:t>
      </w:r>
      <w:r w:rsidR="00F31DD5" w:rsidRPr="00731644">
        <w:rPr>
          <w:lang w:val="fr-CH"/>
        </w:rPr>
        <w:t xml:space="preserve"> </w:t>
      </w:r>
    </w:p>
    <w:p w:rsidR="004C7BF6" w:rsidRPr="00731644" w:rsidRDefault="00C05F5B" w:rsidP="002337A9">
      <w:pPr>
        <w:pStyle w:val="Bullet1G"/>
        <w:rPr>
          <w:lang w:val="fr-CH"/>
        </w:rPr>
      </w:pPr>
      <w:r w:rsidRPr="00731644">
        <w:rPr>
          <w:lang w:val="fr-CH"/>
        </w:rPr>
        <w:t>D</w:t>
      </w:r>
      <w:r w:rsidR="007C46A5" w:rsidRPr="00731644">
        <w:rPr>
          <w:lang w:val="fr-CH"/>
        </w:rPr>
        <w:t>e faire paraître</w:t>
      </w:r>
      <w:r w:rsidRPr="00731644">
        <w:rPr>
          <w:lang w:val="fr-CH"/>
        </w:rPr>
        <w:t xml:space="preserve"> des études spécialisées et d</w:t>
      </w:r>
      <w:r w:rsidR="00425386" w:rsidRPr="00731644">
        <w:rPr>
          <w:lang w:val="fr-CH"/>
        </w:rPr>
        <w:t>’</w:t>
      </w:r>
      <w:r w:rsidRPr="00731644">
        <w:rPr>
          <w:lang w:val="fr-CH"/>
        </w:rPr>
        <w:t xml:space="preserve">autres publications répondant à </w:t>
      </w:r>
      <w:r w:rsidR="000E41BA" w:rsidRPr="00731644">
        <w:rPr>
          <w:lang w:val="fr-CH"/>
        </w:rPr>
        <w:t>la vocation</w:t>
      </w:r>
      <w:r w:rsidRPr="00731644">
        <w:rPr>
          <w:lang w:val="fr-CH"/>
        </w:rPr>
        <w:t xml:space="preserve"> du </w:t>
      </w:r>
      <w:r w:rsidR="000E41BA" w:rsidRPr="00731644">
        <w:rPr>
          <w:lang w:val="fr-CH"/>
        </w:rPr>
        <w:t>C</w:t>
      </w:r>
      <w:r w:rsidRPr="00731644">
        <w:rPr>
          <w:lang w:val="fr-CH"/>
        </w:rPr>
        <w:t>ent</w:t>
      </w:r>
      <w:r w:rsidR="000E41BA" w:rsidRPr="00731644">
        <w:rPr>
          <w:lang w:val="fr-CH"/>
        </w:rPr>
        <w:t>r</w:t>
      </w:r>
      <w:r w:rsidRPr="00731644">
        <w:rPr>
          <w:lang w:val="fr-CH"/>
        </w:rPr>
        <w:t>e</w:t>
      </w:r>
      <w:r w:rsidR="005072A0">
        <w:rPr>
          <w:lang w:val="fr-CH"/>
        </w:rPr>
        <w:t>;</w:t>
      </w:r>
      <w:r w:rsidRPr="00731644">
        <w:rPr>
          <w:lang w:val="fr-CH"/>
        </w:rPr>
        <w:t xml:space="preserve"> </w:t>
      </w:r>
    </w:p>
    <w:p w:rsidR="000E41BA" w:rsidRPr="00731644" w:rsidRDefault="000E41BA" w:rsidP="002337A9">
      <w:pPr>
        <w:pStyle w:val="Bullet1G"/>
        <w:rPr>
          <w:lang w:val="fr-CH"/>
        </w:rPr>
      </w:pPr>
      <w:r w:rsidRPr="00731644">
        <w:rPr>
          <w:lang w:val="fr-CH"/>
        </w:rPr>
        <w:t xml:space="preserve">De publier des périodiques </w:t>
      </w:r>
      <w:r w:rsidR="00100D10" w:rsidRPr="00731644">
        <w:rPr>
          <w:lang w:val="fr-CH"/>
        </w:rPr>
        <w:t>qui présentent</w:t>
      </w:r>
      <w:r w:rsidRPr="00731644">
        <w:rPr>
          <w:lang w:val="fr-CH"/>
        </w:rPr>
        <w:t xml:space="preserve"> la culture et </w:t>
      </w:r>
      <w:r w:rsidR="00100D10" w:rsidRPr="00731644">
        <w:rPr>
          <w:lang w:val="fr-CH"/>
        </w:rPr>
        <w:t>l</w:t>
      </w:r>
      <w:r w:rsidR="00425386" w:rsidRPr="00731644">
        <w:rPr>
          <w:lang w:val="fr-CH"/>
        </w:rPr>
        <w:t>’</w:t>
      </w:r>
      <w:r w:rsidR="00100D10" w:rsidRPr="00731644">
        <w:rPr>
          <w:lang w:val="fr-CH"/>
        </w:rPr>
        <w:t>activité artistique</w:t>
      </w:r>
      <w:r w:rsidRPr="00731644">
        <w:rPr>
          <w:lang w:val="fr-CH"/>
        </w:rPr>
        <w:t xml:space="preserve"> de</w:t>
      </w:r>
      <w:r w:rsidR="007C46A5" w:rsidRPr="00731644">
        <w:rPr>
          <w:lang w:val="fr-CH"/>
        </w:rPr>
        <w:t>s</w:t>
      </w:r>
      <w:r w:rsidRPr="00731644">
        <w:rPr>
          <w:lang w:val="fr-CH"/>
        </w:rPr>
        <w:t xml:space="preserve"> membres des groupes nationaux et ethniques du Monténégro</w:t>
      </w:r>
      <w:r w:rsidR="005072A0">
        <w:rPr>
          <w:lang w:val="fr-CH"/>
        </w:rPr>
        <w:t>;</w:t>
      </w:r>
      <w:r w:rsidRPr="00731644">
        <w:rPr>
          <w:lang w:val="fr-CH"/>
        </w:rPr>
        <w:t xml:space="preserve"> </w:t>
      </w:r>
    </w:p>
    <w:p w:rsidR="00100D10" w:rsidRPr="00731644" w:rsidRDefault="000E41BA" w:rsidP="00100D10">
      <w:pPr>
        <w:pStyle w:val="Bullet1G"/>
        <w:rPr>
          <w:lang w:val="fr-CH"/>
        </w:rPr>
      </w:pPr>
      <w:r w:rsidRPr="00731644">
        <w:rPr>
          <w:lang w:val="fr-CH"/>
        </w:rPr>
        <w:t xml:space="preserve">De créer des contenus </w:t>
      </w:r>
      <w:r w:rsidR="007C46A5" w:rsidRPr="00731644">
        <w:rPr>
          <w:lang w:val="fr-CH"/>
        </w:rPr>
        <w:t>porteurs d</w:t>
      </w:r>
      <w:r w:rsidR="00425386" w:rsidRPr="00731644">
        <w:rPr>
          <w:lang w:val="fr-CH"/>
        </w:rPr>
        <w:t>’</w:t>
      </w:r>
      <w:r w:rsidR="00100D10" w:rsidRPr="00731644">
        <w:rPr>
          <w:lang w:val="fr-CH"/>
        </w:rPr>
        <w:t>inform</w:t>
      </w:r>
      <w:r w:rsidR="007C46A5" w:rsidRPr="00731644">
        <w:rPr>
          <w:lang w:val="fr-CH"/>
        </w:rPr>
        <w:t>ations</w:t>
      </w:r>
      <w:r w:rsidR="00100D10" w:rsidRPr="00731644">
        <w:rPr>
          <w:lang w:val="fr-CH"/>
        </w:rPr>
        <w:t xml:space="preserve"> sur les</w:t>
      </w:r>
      <w:r w:rsidRPr="00731644">
        <w:rPr>
          <w:lang w:val="fr-CH"/>
        </w:rPr>
        <w:t xml:space="preserve"> cultures des minorités</w:t>
      </w:r>
      <w:r w:rsidR="00382A8E">
        <w:rPr>
          <w:lang w:val="fr-CH"/>
        </w:rPr>
        <w:t>.</w:t>
      </w:r>
      <w:r w:rsidR="001908E2" w:rsidRPr="00731644">
        <w:rPr>
          <w:lang w:val="fr-CH"/>
        </w:rPr>
        <w:t xml:space="preserve"> </w:t>
      </w:r>
    </w:p>
    <w:p w:rsidR="004C7BF6" w:rsidRPr="00731644" w:rsidRDefault="008A5997" w:rsidP="00100D10">
      <w:pPr>
        <w:pStyle w:val="Bullet1G"/>
        <w:numPr>
          <w:ilvl w:val="0"/>
          <w:numId w:val="0"/>
        </w:numPr>
        <w:ind w:left="1134"/>
        <w:rPr>
          <w:lang w:val="fr-CH"/>
        </w:rPr>
      </w:pPr>
      <w:r w:rsidRPr="00731644">
        <w:rPr>
          <w:iCs/>
          <w:lang w:val="fr-CH"/>
        </w:rPr>
        <w:t>308</w:t>
      </w:r>
      <w:r w:rsidR="00861586" w:rsidRPr="00731644">
        <w:rPr>
          <w:iCs/>
          <w:lang w:val="fr-CH"/>
        </w:rPr>
        <w:t>.</w:t>
      </w:r>
      <w:r w:rsidR="00861586" w:rsidRPr="00731644">
        <w:rPr>
          <w:iCs/>
          <w:lang w:val="fr-CH"/>
        </w:rPr>
        <w:tab/>
      </w:r>
      <w:r w:rsidR="000E41BA" w:rsidRPr="00731644">
        <w:rPr>
          <w:iCs/>
          <w:lang w:val="fr-CH"/>
        </w:rPr>
        <w:t xml:space="preserve">Le </w:t>
      </w:r>
      <w:r w:rsidR="000E41BA" w:rsidRPr="00731644">
        <w:rPr>
          <w:lang w:val="fr-CH"/>
        </w:rPr>
        <w:t>Centre</w:t>
      </w:r>
      <w:r w:rsidR="00F31DD5" w:rsidRPr="00731644">
        <w:rPr>
          <w:lang w:val="fr-CH"/>
        </w:rPr>
        <w:t xml:space="preserve"> </w:t>
      </w:r>
      <w:r w:rsidR="000E41BA" w:rsidRPr="00731644">
        <w:rPr>
          <w:lang w:val="fr-CH"/>
        </w:rPr>
        <w:t xml:space="preserve">de </w:t>
      </w:r>
      <w:r w:rsidR="00100D10" w:rsidRPr="00731644">
        <w:rPr>
          <w:lang w:val="fr-CH"/>
        </w:rPr>
        <w:t>sauvegarde</w:t>
      </w:r>
      <w:r w:rsidR="000E41BA" w:rsidRPr="00731644">
        <w:rPr>
          <w:lang w:val="fr-CH"/>
        </w:rPr>
        <w:t xml:space="preserve"> et de mise en valeur des cultures des minorités</w:t>
      </w:r>
      <w:r w:rsidR="000E41BA" w:rsidRPr="00731644">
        <w:rPr>
          <w:iCs/>
          <w:lang w:val="fr-CH"/>
        </w:rPr>
        <w:t xml:space="preserve"> est géré par un conseil d</w:t>
      </w:r>
      <w:r w:rsidR="00425386" w:rsidRPr="00731644">
        <w:rPr>
          <w:iCs/>
          <w:lang w:val="fr-CH"/>
        </w:rPr>
        <w:t>’</w:t>
      </w:r>
      <w:r w:rsidR="000E41BA" w:rsidRPr="00731644">
        <w:rPr>
          <w:iCs/>
          <w:lang w:val="fr-CH"/>
        </w:rPr>
        <w:t xml:space="preserve">administration </w:t>
      </w:r>
      <w:r w:rsidR="00100D10" w:rsidRPr="00731644">
        <w:rPr>
          <w:iCs/>
          <w:lang w:val="fr-CH"/>
        </w:rPr>
        <w:t>comprenant</w:t>
      </w:r>
      <w:r w:rsidR="000E41BA" w:rsidRPr="00731644">
        <w:rPr>
          <w:iCs/>
          <w:lang w:val="fr-CH"/>
        </w:rPr>
        <w:t xml:space="preserve"> quatre</w:t>
      </w:r>
      <w:r w:rsidR="00CB7658" w:rsidRPr="00731644">
        <w:rPr>
          <w:iCs/>
          <w:lang w:val="fr-CH"/>
        </w:rPr>
        <w:t> personnes</w:t>
      </w:r>
      <w:r w:rsidR="000E41BA" w:rsidRPr="00731644">
        <w:rPr>
          <w:iCs/>
          <w:lang w:val="fr-CH"/>
        </w:rPr>
        <w:t xml:space="preserve">, </w:t>
      </w:r>
      <w:r w:rsidR="00431364" w:rsidRPr="00731644">
        <w:rPr>
          <w:iCs/>
          <w:lang w:val="fr-CH"/>
        </w:rPr>
        <w:t>et dispo</w:t>
      </w:r>
      <w:r w:rsidR="00100D10" w:rsidRPr="00731644">
        <w:rPr>
          <w:iCs/>
          <w:lang w:val="fr-CH"/>
        </w:rPr>
        <w:t>s</w:t>
      </w:r>
      <w:r w:rsidR="00431364" w:rsidRPr="00731644">
        <w:rPr>
          <w:iCs/>
          <w:lang w:val="fr-CH"/>
        </w:rPr>
        <w:t>e</w:t>
      </w:r>
      <w:r w:rsidR="000E41BA" w:rsidRPr="00731644">
        <w:rPr>
          <w:iCs/>
          <w:lang w:val="fr-CH"/>
        </w:rPr>
        <w:t xml:space="preserve"> </w:t>
      </w:r>
      <w:r w:rsidR="00100D10" w:rsidRPr="00731644">
        <w:rPr>
          <w:iCs/>
          <w:lang w:val="fr-CH"/>
        </w:rPr>
        <w:t xml:space="preserve">des </w:t>
      </w:r>
      <w:r w:rsidR="000E41BA" w:rsidRPr="00731644">
        <w:rPr>
          <w:iCs/>
          <w:lang w:val="fr-CH"/>
        </w:rPr>
        <w:t xml:space="preserve">espaces </w:t>
      </w:r>
      <w:r w:rsidR="00100D10" w:rsidRPr="00731644">
        <w:rPr>
          <w:iCs/>
          <w:lang w:val="fr-CH"/>
        </w:rPr>
        <w:t>ainsi que des moyens matériels et techniques nécessaires</w:t>
      </w:r>
      <w:r w:rsidR="00F31DD5" w:rsidRPr="00731644">
        <w:rPr>
          <w:iCs/>
          <w:lang w:val="fr-CH"/>
        </w:rPr>
        <w:t xml:space="preserve"> </w:t>
      </w:r>
      <w:r w:rsidR="000E41BA" w:rsidRPr="00731644">
        <w:rPr>
          <w:iCs/>
          <w:lang w:val="fr-CH"/>
        </w:rPr>
        <w:t>pour mener ses activités</w:t>
      </w:r>
      <w:r w:rsidR="00F31DD5" w:rsidRPr="00731644">
        <w:rPr>
          <w:iCs/>
          <w:lang w:val="fr-CH"/>
        </w:rPr>
        <w:t>;</w:t>
      </w:r>
      <w:r w:rsidR="000E41BA" w:rsidRPr="00731644">
        <w:rPr>
          <w:iCs/>
          <w:lang w:val="fr-CH"/>
        </w:rPr>
        <w:t xml:space="preserve"> un directeur a été nommé, et cette institution </w:t>
      </w:r>
      <w:r w:rsidR="00100D10" w:rsidRPr="00731644">
        <w:rPr>
          <w:iCs/>
          <w:lang w:val="fr-CH"/>
        </w:rPr>
        <w:t xml:space="preserve">majeure </w:t>
      </w:r>
      <w:r w:rsidR="000E41BA" w:rsidRPr="00731644">
        <w:rPr>
          <w:iCs/>
          <w:lang w:val="fr-CH"/>
        </w:rPr>
        <w:t>pour la préservation et la mise en valeur des cultures des minorités</w:t>
      </w:r>
      <w:r w:rsidR="00F31DD5" w:rsidRPr="00731644">
        <w:rPr>
          <w:iCs/>
          <w:lang w:val="fr-CH"/>
        </w:rPr>
        <w:t xml:space="preserve"> </w:t>
      </w:r>
      <w:r w:rsidR="00431364" w:rsidRPr="00731644">
        <w:rPr>
          <w:iCs/>
          <w:lang w:val="fr-CH"/>
        </w:rPr>
        <w:t xml:space="preserve">est entrée en activité au début de </w:t>
      </w:r>
      <w:r w:rsidR="004C7BF6" w:rsidRPr="00731644">
        <w:rPr>
          <w:lang w:val="fr-CH"/>
        </w:rPr>
        <w:t xml:space="preserve">2009. </w:t>
      </w:r>
      <w:r w:rsidR="00431364" w:rsidRPr="00731644">
        <w:rPr>
          <w:lang w:val="fr-CH"/>
        </w:rPr>
        <w:t>Elle a organisé jusqu</w:t>
      </w:r>
      <w:r w:rsidR="00425386" w:rsidRPr="00731644">
        <w:rPr>
          <w:lang w:val="fr-CH"/>
        </w:rPr>
        <w:t>’</w:t>
      </w:r>
      <w:r w:rsidR="00431364" w:rsidRPr="00731644">
        <w:rPr>
          <w:lang w:val="fr-CH"/>
        </w:rPr>
        <w:t>à</w:t>
      </w:r>
      <w:r w:rsidR="00F31DD5" w:rsidRPr="00731644">
        <w:rPr>
          <w:lang w:val="fr-CH"/>
        </w:rPr>
        <w:t xml:space="preserve"> </w:t>
      </w:r>
      <w:r w:rsidR="00431364" w:rsidRPr="00731644">
        <w:rPr>
          <w:lang w:val="fr-CH"/>
        </w:rPr>
        <w:t>présent un certain nombre de manifestations et de programmes importants pour l</w:t>
      </w:r>
      <w:r w:rsidR="00425386" w:rsidRPr="00731644">
        <w:rPr>
          <w:lang w:val="fr-CH"/>
        </w:rPr>
        <w:t>’</w:t>
      </w:r>
      <w:r w:rsidR="004C7BF6" w:rsidRPr="00731644">
        <w:rPr>
          <w:lang w:val="fr-CH"/>
        </w:rPr>
        <w:t xml:space="preserve">affirmation </w:t>
      </w:r>
      <w:r w:rsidR="00431364" w:rsidRPr="00731644">
        <w:rPr>
          <w:lang w:val="fr-CH"/>
        </w:rPr>
        <w:t>de</w:t>
      </w:r>
      <w:r w:rsidR="00442B30" w:rsidRPr="00731644">
        <w:rPr>
          <w:lang w:val="fr-CH"/>
        </w:rPr>
        <w:t xml:space="preserve"> ce</w:t>
      </w:r>
      <w:r w:rsidR="00431364" w:rsidRPr="00731644">
        <w:rPr>
          <w:lang w:val="fr-CH"/>
        </w:rPr>
        <w:t>s</w:t>
      </w:r>
      <w:r w:rsidR="004C7BF6" w:rsidRPr="00731644">
        <w:rPr>
          <w:lang w:val="fr-CH"/>
        </w:rPr>
        <w:t xml:space="preserve"> culture</w:t>
      </w:r>
      <w:r w:rsidR="00431364" w:rsidRPr="00731644">
        <w:rPr>
          <w:lang w:val="fr-CH"/>
        </w:rPr>
        <w:t>s</w:t>
      </w:r>
      <w:r w:rsidR="004C7BF6" w:rsidRPr="00731644">
        <w:rPr>
          <w:lang w:val="fr-CH"/>
        </w:rPr>
        <w:t>.</w:t>
      </w:r>
    </w:p>
    <w:p w:rsidR="004C7BF6" w:rsidRPr="00731644" w:rsidRDefault="008A5997" w:rsidP="008A5997">
      <w:pPr>
        <w:pStyle w:val="SingleTxtG"/>
        <w:rPr>
          <w:lang w:val="fr-CH"/>
        </w:rPr>
      </w:pPr>
      <w:r w:rsidRPr="00731644">
        <w:rPr>
          <w:lang w:val="fr-CH"/>
        </w:rPr>
        <w:t>309</w:t>
      </w:r>
      <w:r w:rsidR="00861586" w:rsidRPr="00731644">
        <w:rPr>
          <w:lang w:val="fr-CH"/>
        </w:rPr>
        <w:t>.</w:t>
      </w:r>
      <w:r w:rsidR="00861586" w:rsidRPr="00731644">
        <w:rPr>
          <w:lang w:val="fr-CH"/>
        </w:rPr>
        <w:tab/>
      </w:r>
      <w:r w:rsidR="00D63F49" w:rsidRPr="00731644">
        <w:rPr>
          <w:lang w:val="fr-CH"/>
        </w:rPr>
        <w:t xml:space="preserve">Sur la proposition du Gouvernement, le Parlement a adopté en février </w:t>
      </w:r>
      <w:r w:rsidR="004C7BF6" w:rsidRPr="00731644">
        <w:rPr>
          <w:lang w:val="fr-CH"/>
        </w:rPr>
        <w:t>2008</w:t>
      </w:r>
      <w:r w:rsidR="00D63F49" w:rsidRPr="00731644">
        <w:rPr>
          <w:lang w:val="fr-CH"/>
        </w:rPr>
        <w:t xml:space="preserve"> la décision portant création du Fonds </w:t>
      </w:r>
      <w:r w:rsidR="00987C2D" w:rsidRPr="00731644">
        <w:rPr>
          <w:lang w:val="fr-CH"/>
        </w:rPr>
        <w:t>de soutien aux</w:t>
      </w:r>
      <w:r w:rsidR="00D63F49" w:rsidRPr="00731644">
        <w:rPr>
          <w:lang w:val="fr-CH"/>
        </w:rPr>
        <w:t xml:space="preserve"> minorités</w:t>
      </w:r>
      <w:r w:rsidR="004C7BF6" w:rsidRPr="00731644">
        <w:rPr>
          <w:lang w:val="fr-CH"/>
        </w:rPr>
        <w:t xml:space="preserve"> (</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F47A90">
        <w:rPr>
          <w:lang w:val="fr-CH"/>
        </w:rPr>
        <w:t xml:space="preserve"> </w:t>
      </w:r>
      <w:r w:rsidR="005072A0">
        <w:rPr>
          <w:lang w:val="fr-CH"/>
        </w:rPr>
        <w:t>n</w:t>
      </w:r>
      <w:r w:rsidR="005072A0" w:rsidRPr="005072A0">
        <w:rPr>
          <w:vertAlign w:val="superscript"/>
          <w:lang w:val="fr-CH"/>
        </w:rPr>
        <w:t>o</w:t>
      </w:r>
      <w:r w:rsidR="005072A0">
        <w:rPr>
          <w:lang w:val="fr-CH"/>
        </w:rPr>
        <w:t> </w:t>
      </w:r>
      <w:r w:rsidR="004C7BF6" w:rsidRPr="00731644">
        <w:rPr>
          <w:lang w:val="fr-CH"/>
        </w:rPr>
        <w:t xml:space="preserve">13/08). </w:t>
      </w:r>
      <w:r w:rsidR="00D63F49" w:rsidRPr="00731644">
        <w:rPr>
          <w:lang w:val="fr-CH"/>
        </w:rPr>
        <w:t xml:space="preserve">Ce fonds a pour vocation </w:t>
      </w:r>
      <w:r w:rsidR="00987C2D" w:rsidRPr="00731644">
        <w:rPr>
          <w:lang w:val="fr-CH"/>
        </w:rPr>
        <w:t>d</w:t>
      </w:r>
      <w:r w:rsidR="00425386" w:rsidRPr="00731644">
        <w:rPr>
          <w:lang w:val="fr-CH"/>
        </w:rPr>
        <w:t>’</w:t>
      </w:r>
      <w:r w:rsidR="00987C2D" w:rsidRPr="00731644">
        <w:rPr>
          <w:lang w:val="fr-CH"/>
        </w:rPr>
        <w:t>appuyer</w:t>
      </w:r>
      <w:r w:rsidR="00D63F49" w:rsidRPr="00731644">
        <w:rPr>
          <w:lang w:val="fr-CH"/>
        </w:rPr>
        <w:t xml:space="preserve"> des activités utiles pour la sauvegarde et la mise en valeur des spécificités nationales, c</w:t>
      </w:r>
      <w:r w:rsidR="00425386" w:rsidRPr="00731644">
        <w:rPr>
          <w:lang w:val="fr-CH"/>
        </w:rPr>
        <w:t>’</w:t>
      </w:r>
      <w:r w:rsidR="00D63F49" w:rsidRPr="00731644">
        <w:rPr>
          <w:lang w:val="fr-CH"/>
        </w:rPr>
        <w:t xml:space="preserve">est-à-dire ethniques, des minorités et autres communautés minoritaires et de leurs membres, ainsi que de leur </w:t>
      </w:r>
      <w:r w:rsidR="00A332AD" w:rsidRPr="00731644">
        <w:rPr>
          <w:lang w:val="fr-CH"/>
        </w:rPr>
        <w:t>identité</w:t>
      </w:r>
      <w:r w:rsidR="00D63F49" w:rsidRPr="00731644">
        <w:rPr>
          <w:lang w:val="fr-CH"/>
        </w:rPr>
        <w:t xml:space="preserve"> nationale, ethnique, culturelle, linguistique et religieuse. En juillet</w:t>
      </w:r>
      <w:r w:rsidR="004C7BF6" w:rsidRPr="00731644">
        <w:rPr>
          <w:lang w:val="fr-CH"/>
        </w:rPr>
        <w:t xml:space="preserve"> 2008</w:t>
      </w:r>
      <w:r w:rsidR="00F41F04" w:rsidRPr="00731644">
        <w:rPr>
          <w:lang w:val="fr-CH"/>
        </w:rPr>
        <w:t>, les</w:t>
      </w:r>
      <w:r w:rsidR="00D63F49" w:rsidRPr="00731644">
        <w:rPr>
          <w:lang w:val="fr-CH"/>
        </w:rPr>
        <w:t xml:space="preserve"> 15</w:t>
      </w:r>
      <w:r w:rsidR="00382A8E">
        <w:rPr>
          <w:lang w:val="fr-CH"/>
        </w:rPr>
        <w:t> </w:t>
      </w:r>
      <w:r w:rsidR="00F41F04" w:rsidRPr="00731644">
        <w:rPr>
          <w:lang w:val="fr-CH"/>
        </w:rPr>
        <w:t>membres du conseil d</w:t>
      </w:r>
      <w:r w:rsidR="00425386" w:rsidRPr="00731644">
        <w:rPr>
          <w:lang w:val="fr-CH"/>
        </w:rPr>
        <w:t>’</w:t>
      </w:r>
      <w:r w:rsidR="00F41F04" w:rsidRPr="00731644">
        <w:rPr>
          <w:lang w:val="fr-CH"/>
        </w:rPr>
        <w:t>administration ont été</w:t>
      </w:r>
      <w:r w:rsidR="00D63F49" w:rsidRPr="00731644">
        <w:rPr>
          <w:lang w:val="fr-CH"/>
        </w:rPr>
        <w:t xml:space="preserve"> élu</w:t>
      </w:r>
      <w:r w:rsidR="00F41F04" w:rsidRPr="00731644">
        <w:rPr>
          <w:lang w:val="fr-CH"/>
        </w:rPr>
        <w:t>s. L</w:t>
      </w:r>
      <w:r w:rsidR="00D63F49" w:rsidRPr="00731644">
        <w:rPr>
          <w:lang w:val="fr-CH"/>
        </w:rPr>
        <w:t xml:space="preserve">e Fonds a reçu </w:t>
      </w:r>
      <w:r w:rsidR="00E730EF" w:rsidRPr="00731644">
        <w:rPr>
          <w:lang w:val="fr-CH"/>
        </w:rPr>
        <w:t xml:space="preserve">une </w:t>
      </w:r>
      <w:r w:rsidR="00F41F04" w:rsidRPr="00731644">
        <w:rPr>
          <w:lang w:val="fr-CH"/>
        </w:rPr>
        <w:t>dota</w:t>
      </w:r>
      <w:r w:rsidR="00E730EF" w:rsidRPr="00731644">
        <w:rPr>
          <w:lang w:val="fr-CH"/>
        </w:rPr>
        <w:t>tion</w:t>
      </w:r>
      <w:r w:rsidR="00D63F49" w:rsidRPr="00731644">
        <w:rPr>
          <w:lang w:val="fr-CH"/>
        </w:rPr>
        <w:t xml:space="preserve"> d</w:t>
      </w:r>
      <w:r w:rsidR="00425386" w:rsidRPr="00731644">
        <w:rPr>
          <w:lang w:val="fr-CH"/>
        </w:rPr>
        <w:t>’</w:t>
      </w:r>
      <w:r w:rsidR="00D63F49" w:rsidRPr="00731644">
        <w:rPr>
          <w:lang w:val="fr-CH"/>
        </w:rPr>
        <w:t xml:space="preserve">un montant de </w:t>
      </w:r>
      <w:r w:rsidR="00425386" w:rsidRPr="00731644">
        <w:rPr>
          <w:lang w:val="fr-CH"/>
        </w:rPr>
        <w:t>€ </w:t>
      </w:r>
      <w:r w:rsidR="004C7BF6" w:rsidRPr="00731644">
        <w:rPr>
          <w:lang w:val="fr-CH"/>
        </w:rPr>
        <w:t>975</w:t>
      </w:r>
      <w:r w:rsidR="00D63F49" w:rsidRPr="00731644">
        <w:rPr>
          <w:lang w:val="fr-CH"/>
        </w:rPr>
        <w:t> </w:t>
      </w:r>
      <w:r w:rsidR="004C7BF6" w:rsidRPr="00731644">
        <w:rPr>
          <w:lang w:val="fr-CH"/>
        </w:rPr>
        <w:t>704</w:t>
      </w:r>
      <w:r w:rsidR="00D63F49" w:rsidRPr="00731644">
        <w:rPr>
          <w:lang w:val="fr-CH"/>
        </w:rPr>
        <w:t>,</w:t>
      </w:r>
      <w:r w:rsidR="004C7BF6" w:rsidRPr="00731644">
        <w:rPr>
          <w:lang w:val="fr-CH"/>
        </w:rPr>
        <w:t>76</w:t>
      </w:r>
      <w:r w:rsidR="00D63F49" w:rsidRPr="00731644">
        <w:rPr>
          <w:lang w:val="fr-CH"/>
        </w:rPr>
        <w:t xml:space="preserve"> en 2009,</w:t>
      </w:r>
      <w:r w:rsidR="00F31DD5" w:rsidRPr="00731644">
        <w:rPr>
          <w:lang w:val="fr-CH"/>
        </w:rPr>
        <w:t xml:space="preserve"> </w:t>
      </w:r>
      <w:r w:rsidR="00D63F49" w:rsidRPr="00731644">
        <w:rPr>
          <w:lang w:val="fr-CH"/>
        </w:rPr>
        <w:t xml:space="preserve">et </w:t>
      </w:r>
      <w:r w:rsidR="00E730EF" w:rsidRPr="00731644">
        <w:rPr>
          <w:lang w:val="fr-CH"/>
        </w:rPr>
        <w:t xml:space="preserve">de </w:t>
      </w:r>
      <w:r w:rsidR="00425386" w:rsidRPr="00731644">
        <w:rPr>
          <w:lang w:val="fr-CH"/>
        </w:rPr>
        <w:t>€ </w:t>
      </w:r>
      <w:r w:rsidR="00D63F49" w:rsidRPr="00731644">
        <w:rPr>
          <w:lang w:val="fr-CH"/>
        </w:rPr>
        <w:t>993</w:t>
      </w:r>
      <w:r w:rsidR="00E730EF" w:rsidRPr="00731644">
        <w:rPr>
          <w:lang w:val="fr-CH"/>
        </w:rPr>
        <w:t xml:space="preserve"> </w:t>
      </w:r>
      <w:r w:rsidR="004C7BF6" w:rsidRPr="00731644">
        <w:rPr>
          <w:lang w:val="fr-CH"/>
        </w:rPr>
        <w:t>169</w:t>
      </w:r>
      <w:r w:rsidR="00D63F49" w:rsidRPr="00731644">
        <w:rPr>
          <w:lang w:val="fr-CH"/>
        </w:rPr>
        <w:t>,</w:t>
      </w:r>
      <w:r w:rsidR="004C7BF6" w:rsidRPr="00731644">
        <w:rPr>
          <w:lang w:val="fr-CH"/>
        </w:rPr>
        <w:t xml:space="preserve">64 </w:t>
      </w:r>
      <w:r w:rsidR="00E730EF" w:rsidRPr="00731644">
        <w:rPr>
          <w:lang w:val="fr-CH"/>
        </w:rPr>
        <w:t>en 2010</w:t>
      </w:r>
      <w:r w:rsidR="004C7BF6" w:rsidRPr="00731644">
        <w:rPr>
          <w:lang w:val="fr-CH"/>
        </w:rPr>
        <w:t xml:space="preserve">. </w:t>
      </w:r>
      <w:r w:rsidR="00F41F04" w:rsidRPr="00731644">
        <w:rPr>
          <w:lang w:val="fr-CH"/>
        </w:rPr>
        <w:t>Il</w:t>
      </w:r>
      <w:r w:rsidR="00E730EF" w:rsidRPr="00731644">
        <w:rPr>
          <w:lang w:val="fr-CH"/>
        </w:rPr>
        <w:t xml:space="preserve"> </w:t>
      </w:r>
      <w:r w:rsidR="00F41F04" w:rsidRPr="00731644">
        <w:rPr>
          <w:lang w:val="fr-CH"/>
        </w:rPr>
        <w:t xml:space="preserve">subventionne des projets, sélectionnés par voie de concours, </w:t>
      </w:r>
      <w:r w:rsidR="00A332AD" w:rsidRPr="00731644">
        <w:rPr>
          <w:lang w:val="fr-CH"/>
        </w:rPr>
        <w:t>d</w:t>
      </w:r>
      <w:r w:rsidR="00425386" w:rsidRPr="00731644">
        <w:rPr>
          <w:lang w:val="fr-CH"/>
        </w:rPr>
        <w:t>’</w:t>
      </w:r>
      <w:r w:rsidR="00A332AD" w:rsidRPr="00731644">
        <w:rPr>
          <w:lang w:val="fr-CH"/>
        </w:rPr>
        <w:t>institutions</w:t>
      </w:r>
      <w:r w:rsidR="00E730EF" w:rsidRPr="00731644">
        <w:rPr>
          <w:lang w:val="fr-CH"/>
        </w:rPr>
        <w:t>, d</w:t>
      </w:r>
      <w:r w:rsidR="00425386" w:rsidRPr="00731644">
        <w:rPr>
          <w:lang w:val="fr-CH"/>
        </w:rPr>
        <w:t>’</w:t>
      </w:r>
      <w:r w:rsidR="00E730EF" w:rsidRPr="00731644">
        <w:rPr>
          <w:lang w:val="fr-CH"/>
        </w:rPr>
        <w:t xml:space="preserve">organisations non gouvernementales et de particuliers. </w:t>
      </w:r>
    </w:p>
    <w:p w:rsidR="004C7BF6" w:rsidRPr="00731644" w:rsidRDefault="00E730EF" w:rsidP="00861586">
      <w:pPr>
        <w:pStyle w:val="HChG"/>
        <w:rPr>
          <w:lang w:val="fr-CH"/>
        </w:rPr>
      </w:pPr>
      <w:r w:rsidRPr="00731644">
        <w:rPr>
          <w:lang w:val="fr-CH"/>
        </w:rPr>
        <w:tab/>
      </w:r>
      <w:r w:rsidR="00CF112E" w:rsidRPr="00731644">
        <w:rPr>
          <w:lang w:val="fr-CH"/>
        </w:rPr>
        <w:t>I</w:t>
      </w:r>
      <w:r w:rsidR="004934E1" w:rsidRPr="00731644">
        <w:rPr>
          <w:lang w:val="fr-CH"/>
        </w:rPr>
        <w:t>V</w:t>
      </w:r>
      <w:r w:rsidR="00CF112E" w:rsidRPr="00731644">
        <w:rPr>
          <w:lang w:val="fr-CH"/>
        </w:rPr>
        <w:t>.</w:t>
      </w:r>
      <w:r w:rsidR="00861586" w:rsidRPr="00731644">
        <w:rPr>
          <w:lang w:val="fr-CH"/>
        </w:rPr>
        <w:tab/>
      </w:r>
      <w:r w:rsidR="00F102C5" w:rsidRPr="00731644">
        <w:rPr>
          <w:lang w:val="fr-CH"/>
        </w:rPr>
        <w:t>Protection de la loi</w:t>
      </w:r>
      <w:r w:rsidRPr="00731644">
        <w:rPr>
          <w:lang w:val="fr-CH"/>
        </w:rPr>
        <w:t xml:space="preserve"> et contrôle de la constitutionnalité et de la légalité </w:t>
      </w:r>
    </w:p>
    <w:p w:rsidR="004C7BF6" w:rsidRPr="00731644" w:rsidRDefault="00E730EF" w:rsidP="00D418BF">
      <w:pPr>
        <w:pStyle w:val="H1G"/>
        <w:rPr>
          <w:lang w:val="fr-CH"/>
        </w:rPr>
      </w:pPr>
      <w:r w:rsidRPr="00731644">
        <w:rPr>
          <w:lang w:val="fr-CH"/>
        </w:rPr>
        <w:tab/>
      </w:r>
      <w:r w:rsidRPr="00731644">
        <w:rPr>
          <w:lang w:val="fr-CH"/>
        </w:rPr>
        <w:tab/>
      </w:r>
      <w:r w:rsidR="004C7BF6" w:rsidRPr="00731644">
        <w:rPr>
          <w:lang w:val="fr-CH"/>
        </w:rPr>
        <w:t>Article 6</w:t>
      </w:r>
    </w:p>
    <w:p w:rsidR="009442A7" w:rsidRPr="00731644" w:rsidRDefault="008A5997" w:rsidP="008A5997">
      <w:pPr>
        <w:pStyle w:val="SingleTxtG"/>
        <w:rPr>
          <w:lang w:val="fr-CH"/>
        </w:rPr>
      </w:pPr>
      <w:r w:rsidRPr="00731644">
        <w:rPr>
          <w:lang w:val="fr-CH"/>
        </w:rPr>
        <w:t>310</w:t>
      </w:r>
      <w:r w:rsidR="00D418BF" w:rsidRPr="00731644">
        <w:rPr>
          <w:lang w:val="fr-CH"/>
        </w:rPr>
        <w:t>.</w:t>
      </w:r>
      <w:r w:rsidR="00D418BF" w:rsidRPr="00731644">
        <w:rPr>
          <w:lang w:val="fr-CH"/>
        </w:rPr>
        <w:tab/>
      </w:r>
      <w:r w:rsidR="00E730EF" w:rsidRPr="00731644">
        <w:rPr>
          <w:lang w:val="fr-CH"/>
        </w:rPr>
        <w:t>La</w:t>
      </w:r>
      <w:r w:rsidR="004C7BF6" w:rsidRPr="00731644">
        <w:rPr>
          <w:lang w:val="fr-CH"/>
        </w:rPr>
        <w:t xml:space="preserve"> Constitution </w:t>
      </w:r>
      <w:r w:rsidR="00E730EF" w:rsidRPr="00731644">
        <w:rPr>
          <w:lang w:val="fr-CH"/>
        </w:rPr>
        <w:t>du Monténégro dispose, dans ses</w:t>
      </w:r>
      <w:r w:rsidR="004C7BF6" w:rsidRPr="00731644">
        <w:rPr>
          <w:lang w:val="fr-CH"/>
        </w:rPr>
        <w:t xml:space="preserve"> </w:t>
      </w:r>
      <w:r w:rsidR="00CB7658" w:rsidRPr="00731644">
        <w:rPr>
          <w:lang w:val="fr-CH"/>
        </w:rPr>
        <w:t>articles </w:t>
      </w:r>
      <w:r w:rsidR="004C7BF6" w:rsidRPr="00731644">
        <w:rPr>
          <w:lang w:val="fr-CH"/>
        </w:rPr>
        <w:t xml:space="preserve">19 </w:t>
      </w:r>
      <w:r w:rsidR="00E730EF" w:rsidRPr="00731644">
        <w:rPr>
          <w:lang w:val="fr-CH"/>
        </w:rPr>
        <w:t>et</w:t>
      </w:r>
      <w:r w:rsidR="004C7BF6" w:rsidRPr="00731644">
        <w:rPr>
          <w:lang w:val="fr-CH"/>
        </w:rPr>
        <w:t xml:space="preserve"> 20</w:t>
      </w:r>
      <w:r w:rsidR="00E730EF" w:rsidRPr="00731644">
        <w:rPr>
          <w:lang w:val="fr-CH"/>
        </w:rPr>
        <w:t>, que chacun a droit à la même protection de ses droits et de ses intérêts</w:t>
      </w:r>
      <w:r w:rsidR="00F102C5" w:rsidRPr="00731644">
        <w:rPr>
          <w:lang w:val="fr-CH"/>
        </w:rPr>
        <w:t xml:space="preserve"> au sens de la loi</w:t>
      </w:r>
      <w:r w:rsidR="00E730EF" w:rsidRPr="00731644">
        <w:rPr>
          <w:lang w:val="fr-CH"/>
        </w:rPr>
        <w:t xml:space="preserve">, </w:t>
      </w:r>
      <w:r w:rsidR="009442A7" w:rsidRPr="00731644">
        <w:rPr>
          <w:lang w:val="fr-CH"/>
        </w:rPr>
        <w:t xml:space="preserve">et à une voie de recours contre toute décision </w:t>
      </w:r>
      <w:r w:rsidR="00F102C5" w:rsidRPr="00731644">
        <w:rPr>
          <w:lang w:val="fr-CH"/>
        </w:rPr>
        <w:t xml:space="preserve">qui leur serait </w:t>
      </w:r>
      <w:r w:rsidR="009442A7" w:rsidRPr="00731644">
        <w:rPr>
          <w:lang w:val="fr-CH"/>
        </w:rPr>
        <w:t>contraire.</w:t>
      </w:r>
      <w:r w:rsidR="00F31DD5" w:rsidRPr="00731644">
        <w:rPr>
          <w:lang w:val="fr-CH"/>
        </w:rPr>
        <w:t xml:space="preserve"> </w:t>
      </w:r>
    </w:p>
    <w:p w:rsidR="004C7BF6" w:rsidRPr="00731644" w:rsidRDefault="008A5997" w:rsidP="008A5997">
      <w:pPr>
        <w:pStyle w:val="SingleTxtG"/>
        <w:rPr>
          <w:lang w:val="fr-CH"/>
        </w:rPr>
      </w:pPr>
      <w:r w:rsidRPr="00731644">
        <w:rPr>
          <w:lang w:val="fr-CH"/>
        </w:rPr>
        <w:t>311</w:t>
      </w:r>
      <w:r w:rsidR="00D418BF" w:rsidRPr="00731644">
        <w:rPr>
          <w:lang w:val="fr-CH"/>
        </w:rPr>
        <w:t>.</w:t>
      </w:r>
      <w:r w:rsidR="00D418BF" w:rsidRPr="00731644">
        <w:rPr>
          <w:lang w:val="fr-CH"/>
        </w:rPr>
        <w:tab/>
      </w:r>
      <w:r w:rsidR="009442A7" w:rsidRPr="00731644">
        <w:rPr>
          <w:lang w:val="fr-CH"/>
        </w:rPr>
        <w:t xml:space="preserve">Les </w:t>
      </w:r>
      <w:r w:rsidR="00980C08" w:rsidRPr="00731644">
        <w:rPr>
          <w:lang w:val="fr-CH"/>
        </w:rPr>
        <w:t>lois procédurales</w:t>
      </w:r>
      <w:r w:rsidR="009442A7" w:rsidRPr="00731644">
        <w:rPr>
          <w:lang w:val="fr-CH"/>
        </w:rPr>
        <w:t xml:space="preserve"> ont systématiquement donné effet aux garanties constitutionnelles contre la discrimination</w:t>
      </w:r>
      <w:r w:rsidR="007A589E" w:rsidRPr="00731644">
        <w:rPr>
          <w:lang w:val="fr-CH"/>
        </w:rPr>
        <w:t>,</w:t>
      </w:r>
      <w:r w:rsidR="009442A7" w:rsidRPr="00731644">
        <w:rPr>
          <w:lang w:val="fr-CH"/>
        </w:rPr>
        <w:t xml:space="preserve"> aux </w:t>
      </w:r>
      <w:r w:rsidR="00382A8E">
        <w:rPr>
          <w:lang w:val="fr-CH"/>
        </w:rPr>
        <w:t xml:space="preserve">articles </w:t>
      </w:r>
      <w:r w:rsidR="009442A7" w:rsidRPr="00731644">
        <w:rPr>
          <w:lang w:val="fr-CH"/>
        </w:rPr>
        <w:t xml:space="preserve">qui </w:t>
      </w:r>
      <w:r w:rsidR="00980C08" w:rsidRPr="00731644">
        <w:rPr>
          <w:lang w:val="fr-CH"/>
        </w:rPr>
        <w:t>prescrivent</w:t>
      </w:r>
      <w:r w:rsidR="009442A7" w:rsidRPr="00731644">
        <w:rPr>
          <w:lang w:val="fr-CH"/>
        </w:rPr>
        <w:t xml:space="preserve"> qu</w:t>
      </w:r>
      <w:r w:rsidR="00425386" w:rsidRPr="00731644">
        <w:rPr>
          <w:lang w:val="fr-CH"/>
        </w:rPr>
        <w:t>’</w:t>
      </w:r>
      <w:r w:rsidR="009442A7" w:rsidRPr="00731644">
        <w:rPr>
          <w:lang w:val="fr-CH"/>
        </w:rPr>
        <w:t xml:space="preserve">une personne doit </w:t>
      </w:r>
      <w:r w:rsidR="007A589E" w:rsidRPr="00731644">
        <w:rPr>
          <w:lang w:val="fr-CH"/>
        </w:rPr>
        <w:t>être informée immédiatement des motifs de son arrestation dans une langue qu</w:t>
      </w:r>
      <w:r w:rsidR="00425386" w:rsidRPr="00731644">
        <w:rPr>
          <w:lang w:val="fr-CH"/>
        </w:rPr>
        <w:t>’</w:t>
      </w:r>
      <w:r w:rsidR="007A589E" w:rsidRPr="00731644">
        <w:rPr>
          <w:lang w:val="fr-CH"/>
        </w:rPr>
        <w:t>elle comprend</w:t>
      </w:r>
      <w:r w:rsidR="004C7BF6" w:rsidRPr="00731644">
        <w:rPr>
          <w:lang w:val="fr-CH"/>
        </w:rPr>
        <w:t xml:space="preserve">, </w:t>
      </w:r>
      <w:r w:rsidR="007A589E" w:rsidRPr="00731644">
        <w:rPr>
          <w:lang w:val="fr-CH"/>
        </w:rPr>
        <w:t>et qu</w:t>
      </w:r>
      <w:r w:rsidR="00425386" w:rsidRPr="00731644">
        <w:rPr>
          <w:lang w:val="fr-CH"/>
        </w:rPr>
        <w:t>’</w:t>
      </w:r>
      <w:r w:rsidR="007A589E" w:rsidRPr="00731644">
        <w:rPr>
          <w:lang w:val="fr-CH"/>
        </w:rPr>
        <w:t xml:space="preserve">il doit lui être signifié </w:t>
      </w:r>
      <w:r w:rsidR="00F102C5" w:rsidRPr="00731644">
        <w:rPr>
          <w:lang w:val="fr-CH"/>
        </w:rPr>
        <w:t>en</w:t>
      </w:r>
      <w:r w:rsidR="007A589E" w:rsidRPr="00731644">
        <w:rPr>
          <w:lang w:val="fr-CH"/>
        </w:rPr>
        <w:t xml:space="preserve"> même temps qu</w:t>
      </w:r>
      <w:r w:rsidR="00425386" w:rsidRPr="00731644">
        <w:rPr>
          <w:lang w:val="fr-CH"/>
        </w:rPr>
        <w:t>’</w:t>
      </w:r>
      <w:r w:rsidR="007A589E" w:rsidRPr="00731644">
        <w:rPr>
          <w:lang w:val="fr-CH"/>
        </w:rPr>
        <w:t xml:space="preserve">elle est autorisée à garder le silence, à choisir son défenseur et à demander que ses proches soient informés de son </w:t>
      </w:r>
      <w:r w:rsidR="00A332AD" w:rsidRPr="00731644">
        <w:rPr>
          <w:lang w:val="fr-CH"/>
        </w:rPr>
        <w:t>arrestation</w:t>
      </w:r>
      <w:r w:rsidR="004C7BF6" w:rsidRPr="00731644">
        <w:rPr>
          <w:lang w:val="fr-CH"/>
        </w:rPr>
        <w:t xml:space="preserve">, </w:t>
      </w:r>
      <w:r w:rsidR="007A589E" w:rsidRPr="00731644">
        <w:rPr>
          <w:lang w:val="fr-CH"/>
        </w:rPr>
        <w:t>au droit d</w:t>
      </w:r>
      <w:r w:rsidR="00425386" w:rsidRPr="00731644">
        <w:rPr>
          <w:lang w:val="fr-CH"/>
        </w:rPr>
        <w:t>’</w:t>
      </w:r>
      <w:r w:rsidR="007A589E" w:rsidRPr="00731644">
        <w:rPr>
          <w:lang w:val="fr-CH"/>
        </w:rPr>
        <w:t xml:space="preserve">utiliser </w:t>
      </w:r>
      <w:r w:rsidR="00130D9F" w:rsidRPr="00731644">
        <w:rPr>
          <w:lang w:val="fr-CH"/>
        </w:rPr>
        <w:t xml:space="preserve">sa propre langue au cours de la procédure, au droit de se défendre, au droit à une voie de recours, à la disposition selon laquelle une décision judiciaire ne peut </w:t>
      </w:r>
      <w:r w:rsidR="00442B30" w:rsidRPr="00731644">
        <w:rPr>
          <w:lang w:val="fr-CH"/>
        </w:rPr>
        <w:t xml:space="preserve">pas </w:t>
      </w:r>
      <w:r w:rsidR="00130D9F" w:rsidRPr="00731644">
        <w:rPr>
          <w:lang w:val="fr-CH"/>
        </w:rPr>
        <w:t>reposer sur des éléments obtenus par la violation des droits de l</w:t>
      </w:r>
      <w:r w:rsidR="00425386" w:rsidRPr="00731644">
        <w:rPr>
          <w:lang w:val="fr-CH"/>
        </w:rPr>
        <w:t>’</w:t>
      </w:r>
      <w:r w:rsidR="00130D9F" w:rsidRPr="00731644">
        <w:rPr>
          <w:lang w:val="fr-CH"/>
        </w:rPr>
        <w:t xml:space="preserve">homme et des libertés fondamentales consacrés par la </w:t>
      </w:r>
      <w:r w:rsidR="004C7BF6" w:rsidRPr="00731644">
        <w:rPr>
          <w:lang w:val="fr-CH"/>
        </w:rPr>
        <w:t xml:space="preserve">Constitution </w:t>
      </w:r>
      <w:r w:rsidR="00130D9F" w:rsidRPr="00731644">
        <w:rPr>
          <w:lang w:val="fr-CH"/>
        </w:rPr>
        <w:t xml:space="preserve">et les accords internationaux ratifiés, </w:t>
      </w:r>
      <w:r w:rsidR="004C7BF6" w:rsidRPr="00731644">
        <w:rPr>
          <w:lang w:val="fr-CH"/>
        </w:rPr>
        <w:t>etc.</w:t>
      </w:r>
    </w:p>
    <w:p w:rsidR="004C7BF6" w:rsidRPr="00731644" w:rsidRDefault="008A5997" w:rsidP="008A5997">
      <w:pPr>
        <w:pStyle w:val="SingleTxtG"/>
        <w:rPr>
          <w:lang w:val="fr-CH"/>
        </w:rPr>
      </w:pPr>
      <w:r w:rsidRPr="00731644">
        <w:rPr>
          <w:lang w:val="fr-CH"/>
        </w:rPr>
        <w:t>312</w:t>
      </w:r>
      <w:r w:rsidR="00D418BF" w:rsidRPr="00731644">
        <w:rPr>
          <w:lang w:val="fr-CH"/>
        </w:rPr>
        <w:t>.</w:t>
      </w:r>
      <w:r w:rsidR="00D418BF" w:rsidRPr="00731644">
        <w:rPr>
          <w:lang w:val="fr-CH"/>
        </w:rPr>
        <w:tab/>
      </w:r>
      <w:r w:rsidR="00980C08" w:rsidRPr="00731644">
        <w:rPr>
          <w:lang w:val="fr-CH"/>
        </w:rPr>
        <w:t>Le rôle des tribunaux dans la défense des droits de l</w:t>
      </w:r>
      <w:r w:rsidR="00425386" w:rsidRPr="00731644">
        <w:rPr>
          <w:lang w:val="fr-CH"/>
        </w:rPr>
        <w:t>’</w:t>
      </w:r>
      <w:r w:rsidR="00980C08" w:rsidRPr="00731644">
        <w:rPr>
          <w:lang w:val="fr-CH"/>
        </w:rPr>
        <w:t>homme et des libertés découle du fait que toutes les lois procédurales du Monténégro donnent effet au droit à un recours utile par des voies ordinaires ou extraordinaires</w:t>
      </w:r>
      <w:r w:rsidR="004C7BF6" w:rsidRPr="00731644">
        <w:rPr>
          <w:lang w:val="fr-CH"/>
        </w:rPr>
        <w:t>.</w:t>
      </w:r>
    </w:p>
    <w:p w:rsidR="003D541C" w:rsidRPr="00731644" w:rsidRDefault="008A5997" w:rsidP="00382A8E">
      <w:pPr>
        <w:pStyle w:val="SingleTxtG"/>
        <w:rPr>
          <w:lang w:val="fr-CH"/>
        </w:rPr>
      </w:pPr>
      <w:r w:rsidRPr="00731644">
        <w:rPr>
          <w:lang w:val="fr-CH"/>
        </w:rPr>
        <w:t>313</w:t>
      </w:r>
      <w:r w:rsidR="00D418BF" w:rsidRPr="00731644">
        <w:rPr>
          <w:lang w:val="fr-CH"/>
        </w:rPr>
        <w:t>.</w:t>
      </w:r>
      <w:r w:rsidR="00D418BF" w:rsidRPr="00731644">
        <w:rPr>
          <w:lang w:val="fr-CH"/>
        </w:rPr>
        <w:tab/>
      </w:r>
      <w:r w:rsidR="00980C08" w:rsidRPr="00731644">
        <w:rPr>
          <w:lang w:val="fr-CH"/>
        </w:rPr>
        <w:t>Le</w:t>
      </w:r>
      <w:r w:rsidR="004C7BF6" w:rsidRPr="00731644">
        <w:rPr>
          <w:lang w:val="fr-CH"/>
        </w:rPr>
        <w:t xml:space="preserve"> Code </w:t>
      </w:r>
      <w:r w:rsidR="00980C08" w:rsidRPr="00731644">
        <w:rPr>
          <w:lang w:val="fr-CH"/>
        </w:rPr>
        <w:t>de procédure pénale</w:t>
      </w:r>
      <w:r w:rsidR="004C7BF6" w:rsidRPr="00731644">
        <w:rPr>
          <w:lang w:val="fr-CH"/>
        </w:rPr>
        <w:t xml:space="preserve"> (</w:t>
      </w:r>
      <w:r w:rsidR="007370E0" w:rsidRPr="001115F6">
        <w:rPr>
          <w:i/>
          <w:lang w:val="fr-CH"/>
        </w:rPr>
        <w:t>Journal</w:t>
      </w:r>
      <w:r w:rsidR="001115F6" w:rsidRPr="001115F6">
        <w:rPr>
          <w:i/>
          <w:lang w:val="fr-CH"/>
        </w:rPr>
        <w:t xml:space="preserve"> officiel</w:t>
      </w:r>
      <w:r w:rsidR="00E66A6C" w:rsidRPr="00E66A6C">
        <w:rPr>
          <w:lang w:val="fr-CH"/>
        </w:rPr>
        <w:t xml:space="preserve"> du </w:t>
      </w:r>
      <w:r w:rsidR="001115F6">
        <w:rPr>
          <w:lang w:val="fr-CH"/>
        </w:rPr>
        <w:t>Monténégro</w:t>
      </w:r>
      <w:r w:rsidR="00E66A6C" w:rsidRPr="00E66A6C">
        <w:rPr>
          <w:lang w:val="fr-CH"/>
        </w:rPr>
        <w:t>,</w:t>
      </w:r>
      <w:r w:rsidR="00F47A90">
        <w:rPr>
          <w:lang w:val="fr-CH"/>
        </w:rPr>
        <w:t xml:space="preserve"> </w:t>
      </w:r>
      <w:r w:rsidR="005072A0">
        <w:rPr>
          <w:lang w:val="fr-CH"/>
        </w:rPr>
        <w:t>n</w:t>
      </w:r>
      <w:r w:rsidR="005072A0" w:rsidRPr="005072A0">
        <w:rPr>
          <w:vertAlign w:val="superscript"/>
          <w:lang w:val="fr-CH"/>
        </w:rPr>
        <w:t>o</w:t>
      </w:r>
      <w:r w:rsidR="00F47A90">
        <w:rPr>
          <w:vertAlign w:val="superscript"/>
          <w:lang w:val="fr-CH"/>
        </w:rPr>
        <w:t>s</w:t>
      </w:r>
      <w:r w:rsidR="005072A0">
        <w:rPr>
          <w:lang w:val="fr-CH"/>
        </w:rPr>
        <w:t> </w:t>
      </w:r>
      <w:r w:rsidR="004C7BF6" w:rsidRPr="00731644">
        <w:rPr>
          <w:lang w:val="fr-CH"/>
        </w:rPr>
        <w:t xml:space="preserve">57/2009 </w:t>
      </w:r>
      <w:r w:rsidR="00980C08" w:rsidRPr="00731644">
        <w:rPr>
          <w:lang w:val="fr-CH"/>
        </w:rPr>
        <w:t>et</w:t>
      </w:r>
      <w:r w:rsidR="00F47A90">
        <w:rPr>
          <w:lang w:val="fr-CH"/>
        </w:rPr>
        <w:t xml:space="preserve"> </w:t>
      </w:r>
      <w:r w:rsidR="004C7BF6" w:rsidRPr="00731644">
        <w:rPr>
          <w:lang w:val="fr-CH"/>
        </w:rPr>
        <w:t>49/2010)</w:t>
      </w:r>
      <w:r w:rsidR="00980C08" w:rsidRPr="00731644">
        <w:rPr>
          <w:lang w:val="fr-CH"/>
        </w:rPr>
        <w:t xml:space="preserve"> prescrit la procédure applicable aux recours par voie ordinaire ou </w:t>
      </w:r>
      <w:r w:rsidR="00A332AD" w:rsidRPr="00731644">
        <w:rPr>
          <w:lang w:val="fr-CH"/>
        </w:rPr>
        <w:t>extraordinaire</w:t>
      </w:r>
      <w:r w:rsidR="004C7BF6" w:rsidRPr="00731644">
        <w:rPr>
          <w:lang w:val="fr-CH"/>
        </w:rPr>
        <w:t xml:space="preserve">. </w:t>
      </w:r>
      <w:r w:rsidR="00980C08" w:rsidRPr="00731644">
        <w:rPr>
          <w:lang w:val="fr-CH"/>
        </w:rPr>
        <w:t>Les voies ordinaires sont l</w:t>
      </w:r>
      <w:r w:rsidR="00425386" w:rsidRPr="00731644">
        <w:rPr>
          <w:lang w:val="fr-CH"/>
        </w:rPr>
        <w:t>’</w:t>
      </w:r>
      <w:r w:rsidR="00980C08" w:rsidRPr="00731644">
        <w:rPr>
          <w:lang w:val="fr-CH"/>
        </w:rPr>
        <w:t xml:space="preserve">appel </w:t>
      </w:r>
      <w:r w:rsidR="001B051F" w:rsidRPr="00731644">
        <w:rPr>
          <w:lang w:val="fr-CH"/>
        </w:rPr>
        <w:t>du jugement</w:t>
      </w:r>
      <w:r w:rsidR="00980C08" w:rsidRPr="00731644">
        <w:rPr>
          <w:lang w:val="fr-CH"/>
        </w:rPr>
        <w:t xml:space="preserve"> d</w:t>
      </w:r>
      <w:r w:rsidR="00425386" w:rsidRPr="00731644">
        <w:rPr>
          <w:lang w:val="fr-CH"/>
        </w:rPr>
        <w:t>’</w:t>
      </w:r>
      <w:r w:rsidR="00980C08" w:rsidRPr="00731644">
        <w:rPr>
          <w:lang w:val="fr-CH"/>
        </w:rPr>
        <w:t xml:space="preserve">une juridiction </w:t>
      </w:r>
      <w:r w:rsidR="001B051F" w:rsidRPr="00731644">
        <w:rPr>
          <w:lang w:val="fr-CH"/>
        </w:rPr>
        <w:t>du premier degré</w:t>
      </w:r>
      <w:r w:rsidR="00980C08" w:rsidRPr="00731644">
        <w:rPr>
          <w:lang w:val="fr-CH"/>
        </w:rPr>
        <w:t xml:space="preserve">, </w:t>
      </w:r>
      <w:r w:rsidR="001B051F" w:rsidRPr="00731644">
        <w:rPr>
          <w:lang w:val="fr-CH"/>
        </w:rPr>
        <w:t>le recours contre le jugement</w:t>
      </w:r>
      <w:r w:rsidR="00980C08" w:rsidRPr="00731644">
        <w:rPr>
          <w:lang w:val="fr-CH"/>
        </w:rPr>
        <w:t xml:space="preserve"> d</w:t>
      </w:r>
      <w:r w:rsidR="00425386" w:rsidRPr="00731644">
        <w:rPr>
          <w:lang w:val="fr-CH"/>
        </w:rPr>
        <w:t>’</w:t>
      </w:r>
      <w:r w:rsidR="00980C08" w:rsidRPr="00731644">
        <w:rPr>
          <w:lang w:val="fr-CH"/>
        </w:rPr>
        <w:t>une juridiction d</w:t>
      </w:r>
      <w:r w:rsidR="001B051F" w:rsidRPr="00731644">
        <w:rPr>
          <w:lang w:val="fr-CH"/>
        </w:rPr>
        <w:t>u</w:t>
      </w:r>
      <w:r w:rsidR="00980C08" w:rsidRPr="00731644">
        <w:rPr>
          <w:lang w:val="fr-CH"/>
        </w:rPr>
        <w:t xml:space="preserve"> </w:t>
      </w:r>
      <w:r w:rsidR="003D541C" w:rsidRPr="00731644">
        <w:rPr>
          <w:lang w:val="fr-CH"/>
        </w:rPr>
        <w:t>deuxième</w:t>
      </w:r>
      <w:r w:rsidR="001B051F" w:rsidRPr="00731644">
        <w:rPr>
          <w:lang w:val="fr-CH"/>
        </w:rPr>
        <w:t xml:space="preserve"> degré</w:t>
      </w:r>
      <w:r w:rsidR="00980C08" w:rsidRPr="00731644">
        <w:rPr>
          <w:lang w:val="fr-CH"/>
        </w:rPr>
        <w:t xml:space="preserve"> et </w:t>
      </w:r>
      <w:r w:rsidR="001B051F" w:rsidRPr="00731644">
        <w:rPr>
          <w:lang w:val="fr-CH"/>
        </w:rPr>
        <w:t>le recours contre un</w:t>
      </w:r>
      <w:r w:rsidR="003D541C" w:rsidRPr="00731644">
        <w:rPr>
          <w:lang w:val="fr-CH"/>
        </w:rPr>
        <w:t xml:space="preserve">e décision </w:t>
      </w:r>
      <w:r w:rsidR="004421B2" w:rsidRPr="00731644">
        <w:rPr>
          <w:lang w:val="fr-CH"/>
        </w:rPr>
        <w:t xml:space="preserve">de </w:t>
      </w:r>
      <w:r w:rsidR="003D541C" w:rsidRPr="00731644">
        <w:rPr>
          <w:lang w:val="fr-CH"/>
        </w:rPr>
        <w:t>ju</w:t>
      </w:r>
      <w:r w:rsidR="004421B2" w:rsidRPr="00731644">
        <w:rPr>
          <w:lang w:val="fr-CH"/>
        </w:rPr>
        <w:t>stice</w:t>
      </w:r>
      <w:r w:rsidR="004C7BF6" w:rsidRPr="00731644">
        <w:rPr>
          <w:lang w:val="fr-CH"/>
        </w:rPr>
        <w:t xml:space="preserve">. </w:t>
      </w:r>
      <w:r w:rsidR="003D541C" w:rsidRPr="00731644">
        <w:rPr>
          <w:lang w:val="fr-CH"/>
        </w:rPr>
        <w:t>Selon le Code, les voies de recours extraordinaires s</w:t>
      </w:r>
      <w:r w:rsidR="00425386" w:rsidRPr="00731644">
        <w:rPr>
          <w:lang w:val="fr-CH"/>
        </w:rPr>
        <w:t>’</w:t>
      </w:r>
      <w:r w:rsidR="003D541C" w:rsidRPr="00731644">
        <w:rPr>
          <w:lang w:val="fr-CH"/>
        </w:rPr>
        <w:t xml:space="preserve">entendent des requêtes en réouverture de la procédure pénale, en </w:t>
      </w:r>
      <w:r w:rsidR="003D541C" w:rsidRPr="00382A8E">
        <w:rPr>
          <w:lang w:val="fr-CH"/>
        </w:rPr>
        <w:t>atténuation extraordinaire de la peine et en</w:t>
      </w:r>
      <w:r w:rsidR="004421B2" w:rsidRPr="00382A8E">
        <w:rPr>
          <w:lang w:val="fr-CH"/>
        </w:rPr>
        <w:t xml:space="preserve"> </w:t>
      </w:r>
      <w:r w:rsidR="00632481" w:rsidRPr="00382A8E">
        <w:rPr>
          <w:lang w:val="fr-CH"/>
        </w:rPr>
        <w:t xml:space="preserve">réexamen </w:t>
      </w:r>
      <w:r w:rsidR="00F00945" w:rsidRPr="00382A8E">
        <w:rPr>
          <w:lang w:val="fr-CH"/>
        </w:rPr>
        <w:t>pour</w:t>
      </w:r>
      <w:r w:rsidR="00632481" w:rsidRPr="00382A8E">
        <w:rPr>
          <w:lang w:val="fr-CH"/>
        </w:rPr>
        <w:t xml:space="preserve"> </w:t>
      </w:r>
      <w:r w:rsidR="003D541C" w:rsidRPr="00382A8E">
        <w:rPr>
          <w:lang w:val="fr-CH"/>
        </w:rPr>
        <w:t>protection de la légalité.</w:t>
      </w:r>
    </w:p>
    <w:p w:rsidR="00632481" w:rsidRPr="00731644" w:rsidRDefault="008A5997" w:rsidP="00382A8E">
      <w:pPr>
        <w:pStyle w:val="SingleTxtG"/>
        <w:rPr>
          <w:lang w:val="fr-CH"/>
        </w:rPr>
      </w:pPr>
      <w:r w:rsidRPr="00731644">
        <w:rPr>
          <w:lang w:val="fr-CH"/>
        </w:rPr>
        <w:t>314</w:t>
      </w:r>
      <w:r w:rsidR="00D418BF" w:rsidRPr="00731644">
        <w:rPr>
          <w:lang w:val="fr-CH"/>
        </w:rPr>
        <w:t>.</w:t>
      </w:r>
      <w:r w:rsidR="00D418BF" w:rsidRPr="00731644">
        <w:rPr>
          <w:lang w:val="fr-CH"/>
        </w:rPr>
        <w:tab/>
      </w:r>
      <w:r w:rsidR="00632481" w:rsidRPr="00731644">
        <w:rPr>
          <w:lang w:val="fr-CH"/>
        </w:rPr>
        <w:t>La loi relative à la procédure civile a institué une nouvelle procédure de révision au cas où la Cour de justice de l</w:t>
      </w:r>
      <w:r w:rsidR="00425386" w:rsidRPr="00731644">
        <w:rPr>
          <w:lang w:val="fr-CH"/>
        </w:rPr>
        <w:t>’</w:t>
      </w:r>
      <w:r w:rsidR="00632481" w:rsidRPr="00731644">
        <w:rPr>
          <w:lang w:val="fr-CH"/>
        </w:rPr>
        <w:t>Union européenne constaterait</w:t>
      </w:r>
      <w:r w:rsidR="00F31DD5" w:rsidRPr="00731644">
        <w:rPr>
          <w:lang w:val="fr-CH"/>
        </w:rPr>
        <w:t xml:space="preserve"> </w:t>
      </w:r>
      <w:r w:rsidR="00632481" w:rsidRPr="00731644">
        <w:rPr>
          <w:lang w:val="fr-CH"/>
        </w:rPr>
        <w:t xml:space="preserve">une </w:t>
      </w:r>
      <w:r w:rsidR="004C7BF6" w:rsidRPr="00731644">
        <w:rPr>
          <w:lang w:val="fr-CH"/>
        </w:rPr>
        <w:t xml:space="preserve">violation </w:t>
      </w:r>
      <w:r w:rsidR="00632481" w:rsidRPr="00731644">
        <w:rPr>
          <w:lang w:val="fr-CH"/>
        </w:rPr>
        <w:t>des droits de l</w:t>
      </w:r>
      <w:r w:rsidR="00425386" w:rsidRPr="00731644">
        <w:rPr>
          <w:lang w:val="fr-CH"/>
        </w:rPr>
        <w:t>’</w:t>
      </w:r>
      <w:r w:rsidR="00632481" w:rsidRPr="00731644">
        <w:rPr>
          <w:lang w:val="fr-CH"/>
        </w:rPr>
        <w:t>homme ou des libertés fondamentales garanties par la Convention de sauvegarde des droits de l</w:t>
      </w:r>
      <w:r w:rsidR="00425386" w:rsidRPr="00731644">
        <w:rPr>
          <w:lang w:val="fr-CH"/>
        </w:rPr>
        <w:t>’</w:t>
      </w:r>
      <w:r w:rsidR="00632481" w:rsidRPr="00731644">
        <w:rPr>
          <w:lang w:val="fr-CH"/>
        </w:rPr>
        <w:t>homme et des libertés fondamentales.</w:t>
      </w:r>
      <w:r w:rsidR="00F31DD5" w:rsidRPr="00731644">
        <w:rPr>
          <w:lang w:val="fr-CH"/>
        </w:rPr>
        <w:t xml:space="preserve"> </w:t>
      </w:r>
    </w:p>
    <w:p w:rsidR="00CF112E" w:rsidRDefault="008A5997" w:rsidP="00CE4D57">
      <w:pPr>
        <w:pStyle w:val="SingleTxtG"/>
        <w:rPr>
          <w:iCs/>
          <w:lang w:val="fr-CH"/>
        </w:rPr>
      </w:pPr>
      <w:r w:rsidRPr="00731644">
        <w:rPr>
          <w:iCs/>
          <w:lang w:val="fr-CH"/>
        </w:rPr>
        <w:t>315</w:t>
      </w:r>
      <w:r w:rsidR="00D418BF" w:rsidRPr="00731644">
        <w:rPr>
          <w:iCs/>
          <w:lang w:val="fr-CH"/>
        </w:rPr>
        <w:t>.</w:t>
      </w:r>
      <w:r w:rsidR="00D418BF" w:rsidRPr="00731644">
        <w:rPr>
          <w:iCs/>
          <w:lang w:val="fr-CH"/>
        </w:rPr>
        <w:tab/>
      </w:r>
      <w:r w:rsidR="00632481" w:rsidRPr="00731644">
        <w:rPr>
          <w:iCs/>
          <w:lang w:val="fr-CH"/>
        </w:rPr>
        <w:t xml:space="preserve">La Cour constitutionnelle </w:t>
      </w:r>
      <w:r w:rsidR="00E3618A" w:rsidRPr="00731644">
        <w:rPr>
          <w:iCs/>
          <w:lang w:val="fr-CH"/>
        </w:rPr>
        <w:t xml:space="preserve">statue sur les </w:t>
      </w:r>
      <w:r w:rsidR="00E3618A" w:rsidRPr="00731644">
        <w:rPr>
          <w:lang w:val="fr-CH"/>
        </w:rPr>
        <w:t xml:space="preserve">requêtes </w:t>
      </w:r>
      <w:r w:rsidR="00442B30" w:rsidRPr="00731644">
        <w:rPr>
          <w:lang w:val="fr-CH"/>
        </w:rPr>
        <w:t>en in</w:t>
      </w:r>
      <w:r w:rsidR="00E3618A" w:rsidRPr="00731644">
        <w:rPr>
          <w:lang w:val="fr-CH"/>
        </w:rPr>
        <w:t>constitutionn</w:t>
      </w:r>
      <w:r w:rsidR="00442B30" w:rsidRPr="00731644">
        <w:rPr>
          <w:lang w:val="fr-CH"/>
        </w:rPr>
        <w:t>alité</w:t>
      </w:r>
      <w:r w:rsidR="00E3618A" w:rsidRPr="00731644">
        <w:rPr>
          <w:lang w:val="fr-CH"/>
        </w:rPr>
        <w:t xml:space="preserve"> formées pour atteinte aux droits de l</w:t>
      </w:r>
      <w:r w:rsidR="00425386" w:rsidRPr="00731644">
        <w:rPr>
          <w:lang w:val="fr-CH"/>
        </w:rPr>
        <w:t>’</w:t>
      </w:r>
      <w:r w:rsidR="00E3618A" w:rsidRPr="00731644">
        <w:rPr>
          <w:lang w:val="fr-CH"/>
        </w:rPr>
        <w:t>homme et aux libertés garantis par la Constitution, une fois tous les recours utiles épuisés</w:t>
      </w:r>
      <w:r w:rsidR="004C7BF6" w:rsidRPr="00731644">
        <w:rPr>
          <w:iCs/>
          <w:lang w:val="fr-CH"/>
        </w:rPr>
        <w:t xml:space="preserve">. </w:t>
      </w:r>
      <w:r w:rsidR="00E3618A" w:rsidRPr="00731644">
        <w:rPr>
          <w:iCs/>
          <w:lang w:val="fr-CH"/>
        </w:rPr>
        <w:t xml:space="preserve">De même, la Cour </w:t>
      </w:r>
      <w:r w:rsidR="00512336" w:rsidRPr="00731644">
        <w:rPr>
          <w:iCs/>
          <w:lang w:val="fr-CH"/>
        </w:rPr>
        <w:t>apprécie</w:t>
      </w:r>
      <w:r w:rsidR="00E3618A" w:rsidRPr="00731644">
        <w:rPr>
          <w:iCs/>
          <w:lang w:val="fr-CH"/>
        </w:rPr>
        <w:t xml:space="preserve"> la constitutionnalité et la légalité de</w:t>
      </w:r>
      <w:r w:rsidR="00512336" w:rsidRPr="00731644">
        <w:rPr>
          <w:iCs/>
          <w:lang w:val="fr-CH"/>
        </w:rPr>
        <w:t>s</w:t>
      </w:r>
      <w:r w:rsidR="00E3618A" w:rsidRPr="00731644">
        <w:rPr>
          <w:iCs/>
          <w:lang w:val="fr-CH"/>
        </w:rPr>
        <w:t xml:space="preserve"> textes </w:t>
      </w:r>
      <w:r w:rsidR="00512336" w:rsidRPr="00731644">
        <w:rPr>
          <w:iCs/>
          <w:lang w:val="fr-CH"/>
        </w:rPr>
        <w:t>et</w:t>
      </w:r>
      <w:r w:rsidR="00E3618A" w:rsidRPr="00731644">
        <w:rPr>
          <w:iCs/>
          <w:lang w:val="fr-CH"/>
        </w:rPr>
        <w:t xml:space="preserve"> </w:t>
      </w:r>
      <w:r w:rsidR="00F00945" w:rsidRPr="00731644">
        <w:rPr>
          <w:iCs/>
          <w:lang w:val="fr-CH"/>
        </w:rPr>
        <w:t>décision</w:t>
      </w:r>
      <w:r w:rsidR="00442B30" w:rsidRPr="00731644">
        <w:rPr>
          <w:iCs/>
          <w:lang w:val="fr-CH"/>
        </w:rPr>
        <w:t>s</w:t>
      </w:r>
      <w:r w:rsidR="00F00945" w:rsidRPr="00731644">
        <w:rPr>
          <w:iCs/>
          <w:lang w:val="fr-CH"/>
        </w:rPr>
        <w:t>,</w:t>
      </w:r>
      <w:r w:rsidR="00E3618A" w:rsidRPr="00731644">
        <w:rPr>
          <w:iCs/>
          <w:lang w:val="fr-CH"/>
        </w:rPr>
        <w:t xml:space="preserve"> </w:t>
      </w:r>
      <w:r w:rsidR="00512336" w:rsidRPr="00731644">
        <w:rPr>
          <w:iCs/>
          <w:lang w:val="fr-CH"/>
        </w:rPr>
        <w:t>c</w:t>
      </w:r>
      <w:r w:rsidR="00425386" w:rsidRPr="00731644">
        <w:rPr>
          <w:iCs/>
          <w:lang w:val="fr-CH"/>
        </w:rPr>
        <w:t>’</w:t>
      </w:r>
      <w:r w:rsidR="00512336" w:rsidRPr="00731644">
        <w:rPr>
          <w:iCs/>
          <w:lang w:val="fr-CH"/>
        </w:rPr>
        <w:t>est-à-dire leur</w:t>
      </w:r>
      <w:r w:rsidR="00E3618A" w:rsidRPr="00731644">
        <w:rPr>
          <w:iCs/>
          <w:lang w:val="fr-CH"/>
        </w:rPr>
        <w:t xml:space="preserve"> conformité à la Constitution </w:t>
      </w:r>
      <w:r w:rsidR="00F00945" w:rsidRPr="00731644">
        <w:rPr>
          <w:iCs/>
          <w:lang w:val="fr-CH"/>
        </w:rPr>
        <w:t>et</w:t>
      </w:r>
      <w:r w:rsidR="00E3618A" w:rsidRPr="00731644">
        <w:rPr>
          <w:iCs/>
          <w:lang w:val="fr-CH"/>
        </w:rPr>
        <w:t xml:space="preserve"> aux traités ratifiés et publiés</w:t>
      </w:r>
      <w:r w:rsidR="00512336" w:rsidRPr="00731644">
        <w:rPr>
          <w:iCs/>
          <w:lang w:val="fr-CH"/>
        </w:rPr>
        <w:t xml:space="preserve">, sur la proposition des institutions </w:t>
      </w:r>
      <w:r w:rsidR="00F00945" w:rsidRPr="00731644">
        <w:rPr>
          <w:iCs/>
          <w:lang w:val="fr-CH"/>
        </w:rPr>
        <w:t>compétentes</w:t>
      </w:r>
      <w:r w:rsidR="00512336" w:rsidRPr="00731644">
        <w:rPr>
          <w:iCs/>
          <w:lang w:val="fr-CH"/>
        </w:rPr>
        <w:t>, à la requête d</w:t>
      </w:r>
      <w:r w:rsidR="00425386" w:rsidRPr="00731644">
        <w:rPr>
          <w:iCs/>
          <w:lang w:val="fr-CH"/>
        </w:rPr>
        <w:t>’</w:t>
      </w:r>
      <w:r w:rsidR="00442B30" w:rsidRPr="00731644">
        <w:rPr>
          <w:iCs/>
          <w:lang w:val="fr-CH"/>
        </w:rPr>
        <w:t>un</w:t>
      </w:r>
      <w:r w:rsidR="00F00945" w:rsidRPr="00731644">
        <w:rPr>
          <w:iCs/>
          <w:lang w:val="fr-CH"/>
        </w:rPr>
        <w:t xml:space="preserve"> particulier,</w:t>
      </w:r>
      <w:r w:rsidR="00512336" w:rsidRPr="00731644">
        <w:rPr>
          <w:iCs/>
          <w:lang w:val="fr-CH"/>
        </w:rPr>
        <w:t xml:space="preserve"> ou de sa propre initiative.</w:t>
      </w:r>
      <w:r w:rsidR="00F31DD5" w:rsidRPr="00731644">
        <w:rPr>
          <w:iCs/>
          <w:lang w:val="fr-CH"/>
        </w:rPr>
        <w:t xml:space="preserve"> </w:t>
      </w:r>
    </w:p>
    <w:p w:rsidR="00CE4D57" w:rsidRPr="00CE4D57" w:rsidRDefault="00CE4D57" w:rsidP="00CE4D57">
      <w:pPr>
        <w:pStyle w:val="SingleTxtG"/>
        <w:spacing w:before="240" w:after="0"/>
        <w:jc w:val="center"/>
        <w:rPr>
          <w:u w:val="single"/>
          <w:lang w:val="fr-CH"/>
        </w:rPr>
      </w:pPr>
      <w:r>
        <w:rPr>
          <w:iCs/>
          <w:u w:val="single"/>
          <w:lang w:val="fr-CH"/>
        </w:rPr>
        <w:tab/>
      </w:r>
      <w:r>
        <w:rPr>
          <w:iCs/>
          <w:u w:val="single"/>
          <w:lang w:val="fr-CH"/>
        </w:rPr>
        <w:tab/>
      </w:r>
      <w:r>
        <w:rPr>
          <w:iCs/>
          <w:u w:val="single"/>
          <w:lang w:val="fr-CH"/>
        </w:rPr>
        <w:tab/>
      </w:r>
    </w:p>
    <w:sectPr w:rsidR="00CE4D57" w:rsidRPr="00CE4D57" w:rsidSect="00C01E2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C2" w:rsidRDefault="006B7AC2"/>
  </w:endnote>
  <w:endnote w:type="continuationSeparator" w:id="0">
    <w:p w:rsidR="006B7AC2" w:rsidRDefault="006B7AC2"/>
  </w:endnote>
  <w:endnote w:type="continuationNotice" w:id="1">
    <w:p w:rsidR="006B7AC2" w:rsidRDefault="006B7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AC" w:rsidRPr="00020FFD" w:rsidRDefault="002409AC" w:rsidP="00C01E22">
    <w:pPr>
      <w:pStyle w:val="Footer"/>
      <w:tabs>
        <w:tab w:val="right" w:pos="9638"/>
      </w:tabs>
      <w:rPr>
        <w:szCs w:val="16"/>
        <w:lang w:val="fr-CH"/>
      </w:rPr>
    </w:pPr>
    <w:r w:rsidRPr="00C01E22">
      <w:rPr>
        <w:b/>
        <w:sz w:val="18"/>
      </w:rPr>
      <w:fldChar w:fldCharType="begin"/>
    </w:r>
    <w:r w:rsidRPr="00C01E22">
      <w:rPr>
        <w:b/>
        <w:sz w:val="18"/>
      </w:rPr>
      <w:instrText xml:space="preserve"> PAGE  \* MERGEFORMAT </w:instrText>
    </w:r>
    <w:r w:rsidRPr="00C01E22">
      <w:rPr>
        <w:b/>
        <w:sz w:val="18"/>
      </w:rPr>
      <w:fldChar w:fldCharType="separate"/>
    </w:r>
    <w:r>
      <w:rPr>
        <w:b/>
        <w:noProof/>
        <w:sz w:val="18"/>
      </w:rPr>
      <w:t>28</w:t>
    </w:r>
    <w:r w:rsidRPr="00C01E22">
      <w:rPr>
        <w:b/>
        <w:sz w:val="18"/>
      </w:rPr>
      <w:fldChar w:fldCharType="end"/>
    </w:r>
    <w:r>
      <w:rPr>
        <w:sz w:val="18"/>
      </w:rPr>
      <w:tab/>
    </w:r>
    <w:r w:rsidRPr="00020FFD">
      <w:rPr>
        <w:szCs w:val="16"/>
        <w:lang w:val="fr-CH"/>
      </w:rPr>
      <w:t>GE.13-45424</w:t>
    </w:r>
    <w:r>
      <w:rPr>
        <w:szCs w:val="16"/>
        <w:lang w:val="fr-CH"/>
      </w:rPr>
      <w:t xml:space="preserve">  </w:t>
    </w:r>
    <w:r w:rsidRPr="00020FFD">
      <w:rPr>
        <w:szCs w:val="16"/>
        <w:lang w:val="fr-CH"/>
      </w:rPr>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AC" w:rsidRPr="00C01E22" w:rsidRDefault="002409AC" w:rsidP="00C01E22">
    <w:pPr>
      <w:pStyle w:val="Footer"/>
      <w:tabs>
        <w:tab w:val="right" w:pos="9638"/>
      </w:tabs>
      <w:rPr>
        <w:b/>
        <w:sz w:val="18"/>
      </w:rPr>
    </w:pPr>
    <w:r>
      <w:rPr>
        <w:lang w:val="fr-CH"/>
      </w:rPr>
      <w:t>GE.13-45424  (EXT)</w:t>
    </w:r>
    <w:r>
      <w:tab/>
    </w:r>
    <w:r w:rsidRPr="00C01E22">
      <w:rPr>
        <w:b/>
        <w:sz w:val="18"/>
      </w:rPr>
      <w:fldChar w:fldCharType="begin"/>
    </w:r>
    <w:r w:rsidRPr="00C01E22">
      <w:rPr>
        <w:b/>
        <w:sz w:val="18"/>
      </w:rPr>
      <w:instrText xml:space="preserve"> PAGE  \* MERGEFORMAT </w:instrText>
    </w:r>
    <w:r w:rsidRPr="00C01E22">
      <w:rPr>
        <w:b/>
        <w:sz w:val="18"/>
      </w:rPr>
      <w:fldChar w:fldCharType="separate"/>
    </w:r>
    <w:r>
      <w:rPr>
        <w:b/>
        <w:noProof/>
        <w:sz w:val="18"/>
      </w:rPr>
      <w:t>27</w:t>
    </w:r>
    <w:r w:rsidRPr="00C01E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AC" w:rsidRPr="00F35AF1" w:rsidRDefault="002409AC" w:rsidP="00F35AF1">
    <w:pPr>
      <w:pStyle w:val="Footer"/>
      <w:rPr>
        <w:lang w:val="fr-CH"/>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6.9pt;margin-top:-8.5pt;width:86.95pt;height:18.35pt;z-index:1">
          <v:imagedata r:id="rId1" o:title="recycle_French"/>
        </v:shape>
      </w:pict>
    </w:r>
    <w:r>
      <w:rPr>
        <w:sz w:val="20"/>
        <w:lang w:val="fr-CH"/>
      </w:rPr>
      <w:t>GE.13-45424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C2" w:rsidRPr="000B175B" w:rsidRDefault="006B7AC2" w:rsidP="000B175B">
      <w:pPr>
        <w:tabs>
          <w:tab w:val="right" w:pos="2155"/>
        </w:tabs>
        <w:spacing w:after="80"/>
        <w:ind w:left="680"/>
        <w:rPr>
          <w:u w:val="single"/>
        </w:rPr>
      </w:pPr>
      <w:r>
        <w:rPr>
          <w:u w:val="single"/>
        </w:rPr>
        <w:tab/>
      </w:r>
    </w:p>
  </w:footnote>
  <w:footnote w:type="continuationSeparator" w:id="0">
    <w:p w:rsidR="006B7AC2" w:rsidRPr="00FC68B7" w:rsidRDefault="006B7AC2" w:rsidP="00FC68B7">
      <w:pPr>
        <w:tabs>
          <w:tab w:val="left" w:pos="2155"/>
        </w:tabs>
        <w:spacing w:after="80"/>
        <w:ind w:left="680"/>
        <w:rPr>
          <w:u w:val="single"/>
        </w:rPr>
      </w:pPr>
      <w:r>
        <w:rPr>
          <w:u w:val="single"/>
        </w:rPr>
        <w:tab/>
      </w:r>
    </w:p>
  </w:footnote>
  <w:footnote w:type="continuationNotice" w:id="1">
    <w:p w:rsidR="006B7AC2" w:rsidRDefault="006B7AC2"/>
  </w:footnote>
  <w:footnote w:id="2">
    <w:p w:rsidR="002409AC" w:rsidRPr="009272F6" w:rsidRDefault="002409AC" w:rsidP="009272F6">
      <w:pPr>
        <w:pStyle w:val="FootnoteText"/>
      </w:pPr>
      <w:r>
        <w:tab/>
      </w:r>
      <w:r w:rsidRPr="00F35AF1">
        <w:rPr>
          <w:rStyle w:val="FootnoteReference"/>
          <w:sz w:val="20"/>
          <w:szCs w:val="20"/>
          <w:vertAlign w:val="baseline"/>
        </w:rPr>
        <w:t>*</w:t>
      </w:r>
      <w:r w:rsidRPr="00212126">
        <w:rPr>
          <w:sz w:val="20"/>
        </w:rPr>
        <w:tab/>
      </w:r>
      <w:r w:rsidRPr="009272F6">
        <w:t>Le présent document réunit, en un seul document, les deuxième et troisième rapports périodiques du Monténégro, qui devaient être présentés le 3 juin 2011. Pour le rapport périodique initial ainsi que les comptes rendus analytiques des réunions auxquelles le Comité a examiné le présent rapport, se reporter aux documents CERD/C/MNE/1 et CERD/C/SR.1924, 1925, 1930 et 1931.</w:t>
      </w:r>
    </w:p>
  </w:footnote>
  <w:footnote w:id="3">
    <w:p w:rsidR="002409AC" w:rsidRPr="00AB3CE3" w:rsidRDefault="002409AC" w:rsidP="009272F6">
      <w:pPr>
        <w:autoSpaceDE w:val="0"/>
        <w:autoSpaceDN w:val="0"/>
        <w:adjustRightInd w:val="0"/>
        <w:spacing w:line="220" w:lineRule="atLeast"/>
        <w:ind w:left="1135" w:right="1134" w:hanging="284"/>
        <w:jc w:val="both"/>
      </w:pPr>
      <w:r w:rsidRPr="00F35AF1">
        <w:rPr>
          <w:rStyle w:val="FootnoteReference"/>
          <w:sz w:val="20"/>
          <w:vertAlign w:val="baseline"/>
        </w:rPr>
        <w:t>**</w:t>
      </w:r>
      <w:r w:rsidRPr="00212126">
        <w:tab/>
      </w:r>
      <w:r w:rsidRPr="009272F6">
        <w:rPr>
          <w:rStyle w:val="FootnoteTextChar"/>
        </w:rPr>
        <w:t>Conformément aux informations communiquées aux États parties concernant le traitement de leurs rapports, le présent document n’a pas été revu par les services d’édition avant d’être envoyé aux services de traduction de l’Organisation des Nations Unies.</w:t>
      </w:r>
      <w:r w:rsidRPr="00AB3CE3">
        <w:t xml:space="preserve"> </w:t>
      </w:r>
    </w:p>
  </w:footnote>
  <w:footnote w:id="4">
    <w:p w:rsidR="002409AC" w:rsidRPr="00F31DD5" w:rsidRDefault="002409AC" w:rsidP="00F31DD5">
      <w:pPr>
        <w:pStyle w:val="FootnoteText"/>
      </w:pPr>
      <w:r w:rsidRPr="00F31DD5">
        <w:tab/>
      </w:r>
      <w:r w:rsidRPr="00F31DD5">
        <w:rPr>
          <w:rStyle w:val="FootnoteReference"/>
          <w:szCs w:val="20"/>
          <w:lang w:val="fr-FR"/>
        </w:rPr>
        <w:footnoteRef/>
      </w:r>
      <w:r>
        <w:tab/>
      </w:r>
      <w:r w:rsidRPr="00F31DD5">
        <w:t>Les données contenues dans le présent rapport ont trait à la période éc</w:t>
      </w:r>
      <w:r>
        <w:t>oulée depuis le mois de janvier</w:t>
      </w:r>
      <w:r>
        <w:rPr>
          <w:lang w:val="fr-CH"/>
        </w:rPr>
        <w:t> </w:t>
      </w:r>
      <w:r w:rsidRPr="00F31DD5">
        <w:t>2009, date à laquelle le Gouvernement, à la demande du Rapporteur, a présenté des éclaircissements supplémentaires à propos du rapport initial d</w:t>
      </w:r>
      <w:r>
        <w:t>’</w:t>
      </w:r>
      <w:r w:rsidRPr="00F31DD5">
        <w:t>octobre 2007.</w:t>
      </w:r>
    </w:p>
  </w:footnote>
  <w:footnote w:id="5">
    <w:p w:rsidR="002409AC" w:rsidRPr="003506F2" w:rsidRDefault="002409AC" w:rsidP="00F6513F">
      <w:pPr>
        <w:pStyle w:val="FootnoteText"/>
      </w:pPr>
      <w:r w:rsidRPr="009E2F5D">
        <w:tab/>
      </w:r>
      <w:r>
        <w:rPr>
          <w:rStyle w:val="FootnoteReference"/>
        </w:rPr>
        <w:footnoteRef/>
      </w:r>
      <w:r>
        <w:tab/>
      </w:r>
      <w:r w:rsidRPr="003506F2">
        <w:t>Le Comité</w:t>
      </w:r>
      <w:r>
        <w:t xml:space="preserve"> </w:t>
      </w:r>
      <w:r w:rsidRPr="003506F2">
        <w:t>pour l</w:t>
      </w:r>
      <w:r>
        <w:t>’</w:t>
      </w:r>
      <w:r w:rsidRPr="003506F2">
        <w:t>élimination de la discrimination raciale a examiné le rapport initial du Monténégro</w:t>
      </w:r>
      <w:r>
        <w:t xml:space="preserve"> </w:t>
      </w:r>
      <w:r w:rsidRPr="003506F2">
        <w:t>(CERD/C/MNE/1) à ses 1924</w:t>
      </w:r>
      <w:r w:rsidRPr="00F31DD5">
        <w:rPr>
          <w:vertAlign w:val="superscript"/>
        </w:rPr>
        <w:t>e</w:t>
      </w:r>
      <w:r w:rsidRPr="003506F2">
        <w:t xml:space="preserve"> et 1925</w:t>
      </w:r>
      <w:r w:rsidRPr="00F31DD5">
        <w:rPr>
          <w:vertAlign w:val="superscript"/>
        </w:rPr>
        <w:t>e</w:t>
      </w:r>
      <w:r w:rsidRPr="003506F2">
        <w:t xml:space="preserve"> séances (CERD/C/SR.1924 et 1925), tenues les 2 et 3 mar</w:t>
      </w:r>
      <w:r>
        <w:t xml:space="preserve">s </w:t>
      </w:r>
      <w:r w:rsidRPr="003506F2">
        <w:t>2009</w:t>
      </w:r>
      <w:r>
        <w:t>,</w:t>
      </w:r>
      <w:r w:rsidRPr="003506F2">
        <w:t xml:space="preserve"> et à ses 1930</w:t>
      </w:r>
      <w:r w:rsidRPr="00F31DD5">
        <w:rPr>
          <w:vertAlign w:val="superscript"/>
        </w:rPr>
        <w:t>e</w:t>
      </w:r>
      <w:r>
        <w:t xml:space="preserve"> et </w:t>
      </w:r>
      <w:r w:rsidRPr="003506F2">
        <w:t>1931</w:t>
      </w:r>
      <w:r w:rsidRPr="00F31DD5">
        <w:rPr>
          <w:vertAlign w:val="superscript"/>
        </w:rPr>
        <w:t>e</w:t>
      </w:r>
      <w:r>
        <w:t xml:space="preserve"> séances</w:t>
      </w:r>
      <w:r w:rsidRPr="003506F2">
        <w:t xml:space="preserve"> (CERD/C/SR.1930 </w:t>
      </w:r>
      <w:r>
        <w:t>et</w:t>
      </w:r>
      <w:r w:rsidRPr="003506F2">
        <w:t xml:space="preserve">1931), </w:t>
      </w:r>
      <w:r>
        <w:t>tenues les 5 et</w:t>
      </w:r>
      <w:r w:rsidRPr="003506F2">
        <w:t xml:space="preserve"> 6 </w:t>
      </w:r>
      <w:r>
        <w:t>mars</w:t>
      </w:r>
      <w:r w:rsidRPr="003506F2">
        <w:t xml:space="preserve"> 2009</w:t>
      </w:r>
      <w:r>
        <w:t xml:space="preserve">; il a ensuite adopté ses observations finales concernant ce rapport. </w:t>
      </w:r>
    </w:p>
  </w:footnote>
  <w:footnote w:id="6">
    <w:p w:rsidR="002409AC" w:rsidRPr="003506F2" w:rsidRDefault="002409AC" w:rsidP="00F6513F">
      <w:pPr>
        <w:pStyle w:val="FootnoteText"/>
        <w:tabs>
          <w:tab w:val="right" w:pos="1020"/>
        </w:tabs>
      </w:pPr>
      <w:r w:rsidRPr="003506F2">
        <w:tab/>
      </w:r>
      <w:r>
        <w:rPr>
          <w:rStyle w:val="FootnoteReference"/>
        </w:rPr>
        <w:footnoteRef/>
      </w:r>
      <w:r>
        <w:tab/>
        <w:t xml:space="preserve">La population du Monténégro est passée de </w:t>
      </w:r>
      <w:r w:rsidRPr="003506F2">
        <w:t>620</w:t>
      </w:r>
      <w:r>
        <w:t> </w:t>
      </w:r>
      <w:r w:rsidRPr="003506F2">
        <w:t>145</w:t>
      </w:r>
      <w:r>
        <w:t xml:space="preserve"> habitants d’après l</w:t>
      </w:r>
      <w:r w:rsidRPr="003506F2">
        <w:t>e recensement de 2003</w:t>
      </w:r>
      <w:r>
        <w:t xml:space="preserve"> à </w:t>
      </w:r>
      <w:r w:rsidRPr="003506F2">
        <w:t>625</w:t>
      </w:r>
      <w:r>
        <w:t> </w:t>
      </w:r>
      <w:r w:rsidRPr="003506F2">
        <w:t>266</w:t>
      </w:r>
      <w:r>
        <w:t xml:space="preserve"> habitants selon les premières données du recensement de </w:t>
      </w:r>
      <w:r w:rsidRPr="003506F2">
        <w:t>2011.</w:t>
      </w:r>
    </w:p>
  </w:footnote>
  <w:footnote w:id="7">
    <w:p w:rsidR="002409AC" w:rsidRPr="00DD02E1" w:rsidRDefault="002409AC" w:rsidP="00E707D7">
      <w:pPr>
        <w:pStyle w:val="FootnoteText"/>
        <w:tabs>
          <w:tab w:val="right" w:pos="1020"/>
        </w:tabs>
      </w:pPr>
      <w:r w:rsidRPr="003506F2">
        <w:tab/>
      </w:r>
      <w:r>
        <w:rPr>
          <w:rStyle w:val="FootnoteReference"/>
        </w:rPr>
        <w:footnoteRef/>
      </w:r>
      <w:r>
        <w:tab/>
      </w:r>
      <w:r w:rsidRPr="00D73685">
        <w:t>D</w:t>
      </w:r>
      <w:r>
        <w:t>’</w:t>
      </w:r>
      <w:r w:rsidRPr="00D73685">
        <w:t xml:space="preserve">après cette enquête, </w:t>
      </w:r>
      <w:r>
        <w:t xml:space="preserve">les </w:t>
      </w:r>
      <w:r w:rsidRPr="00393FE6">
        <w:t>communautés rom, as</w:t>
      </w:r>
      <w:r>
        <w:t>h</w:t>
      </w:r>
      <w:r w:rsidRPr="00393FE6">
        <w:t xml:space="preserve">kali et </w:t>
      </w:r>
      <w:r>
        <w:t>tziga</w:t>
      </w:r>
      <w:r w:rsidRPr="00393FE6">
        <w:t>ne</w:t>
      </w:r>
      <w:r>
        <w:t xml:space="preserve"> du Monténégro comptent </w:t>
      </w:r>
      <w:r w:rsidRPr="00D73685">
        <w:t>9</w:t>
      </w:r>
      <w:r>
        <w:rPr>
          <w:lang w:val="fr-CH"/>
        </w:rPr>
        <w:t> </w:t>
      </w:r>
      <w:r w:rsidRPr="00D73685">
        <w:t>934</w:t>
      </w:r>
      <w:r>
        <w:rPr>
          <w:lang w:val="fr-CH"/>
        </w:rPr>
        <w:t> </w:t>
      </w:r>
      <w:r>
        <w:t xml:space="preserve">personnes </w:t>
      </w:r>
      <w:r w:rsidRPr="00D73685">
        <w:t>(7</w:t>
      </w:r>
      <w:r>
        <w:t xml:space="preserve"> </w:t>
      </w:r>
      <w:r w:rsidRPr="00D73685">
        <w:t>110 Rom</w:t>
      </w:r>
      <w:r>
        <w:t>s</w:t>
      </w:r>
      <w:r w:rsidRPr="00D73685">
        <w:t>, 2</w:t>
      </w:r>
      <w:r>
        <w:t xml:space="preserve"> </w:t>
      </w:r>
      <w:r w:rsidRPr="00D73685">
        <w:t xml:space="preserve">498 </w:t>
      </w:r>
      <w:r>
        <w:t>tziganes</w:t>
      </w:r>
      <w:r w:rsidRPr="00D73685">
        <w:t xml:space="preserve">, 109 Ashkali </w:t>
      </w:r>
      <w:r>
        <w:t>et</w:t>
      </w:r>
      <w:r w:rsidRPr="00D73685">
        <w:t xml:space="preserve"> 48 </w:t>
      </w:r>
      <w:r>
        <w:t>musulmans</w:t>
      </w:r>
      <w:r w:rsidRPr="00D73685">
        <w:t xml:space="preserve">). </w:t>
      </w:r>
      <w:r w:rsidRPr="00DD02E1">
        <w:t>Sur ce total, 3</w:t>
      </w:r>
      <w:r>
        <w:rPr>
          <w:lang w:val="fr-CH"/>
        </w:rPr>
        <w:t> </w:t>
      </w:r>
      <w:r w:rsidRPr="00DD02E1">
        <w:t>979</w:t>
      </w:r>
      <w:r>
        <w:rPr>
          <w:lang w:val="fr-CH"/>
        </w:rPr>
        <w:t> </w:t>
      </w:r>
      <w:r w:rsidRPr="00DD02E1">
        <w:t>personnes ont la nationalité monténégrine,</w:t>
      </w:r>
      <w:r>
        <w:t xml:space="preserve"> </w:t>
      </w:r>
      <w:r w:rsidRPr="00DD02E1">
        <w:t>115</w:t>
      </w:r>
      <w:r>
        <w:t xml:space="preserve"> ont</w:t>
      </w:r>
      <w:r w:rsidRPr="00DD02E1">
        <w:t xml:space="preserve"> </w:t>
      </w:r>
      <w:r>
        <w:t>la</w:t>
      </w:r>
      <w:r w:rsidRPr="00DD02E1">
        <w:t xml:space="preserve"> nationalité </w:t>
      </w:r>
      <w:r>
        <w:t xml:space="preserve">monténégrine </w:t>
      </w:r>
      <w:r w:rsidRPr="00DD02E1">
        <w:t>et celle d</w:t>
      </w:r>
      <w:r>
        <w:t>’</w:t>
      </w:r>
      <w:r w:rsidRPr="00DD02E1">
        <w:t xml:space="preserve">un autre </w:t>
      </w:r>
      <w:r>
        <w:t xml:space="preserve">pays, </w:t>
      </w:r>
      <w:r w:rsidRPr="00DD02E1">
        <w:t>2</w:t>
      </w:r>
      <w:r>
        <w:rPr>
          <w:lang w:val="fr-CH"/>
        </w:rPr>
        <w:t> </w:t>
      </w:r>
      <w:r w:rsidRPr="00DD02E1">
        <w:t>817</w:t>
      </w:r>
      <w:r>
        <w:t xml:space="preserve"> sont étrangères et </w:t>
      </w:r>
      <w:r w:rsidRPr="00DD02E1">
        <w:t>2</w:t>
      </w:r>
      <w:r>
        <w:t xml:space="preserve"> </w:t>
      </w:r>
      <w:r w:rsidRPr="00DD02E1">
        <w:t xml:space="preserve">553 </w:t>
      </w:r>
      <w:r>
        <w:t xml:space="preserve">sont apatrides. Cent quatre-vingt-douze personnes ont engagé une procédure de naturalisation, et les données relatives à </w:t>
      </w:r>
      <w:r w:rsidRPr="00DD02E1">
        <w:t xml:space="preserve">298 </w:t>
      </w:r>
      <w:r>
        <w:t>autr</w:t>
      </w:r>
      <w:r w:rsidRPr="00DD02E1">
        <w:t>es</w:t>
      </w:r>
      <w:r>
        <w:t xml:space="preserve"> font défaut</w:t>
      </w:r>
      <w:r w:rsidRPr="00DD02E1">
        <w:t>.</w:t>
      </w:r>
    </w:p>
  </w:footnote>
  <w:footnote w:id="8">
    <w:p w:rsidR="002409AC" w:rsidRPr="000D32F3" w:rsidRDefault="002409AC" w:rsidP="000D32F3">
      <w:pPr>
        <w:pStyle w:val="FootnoteText"/>
        <w:spacing w:after="60"/>
      </w:pPr>
      <w:r w:rsidRPr="00DD02E1">
        <w:tab/>
      </w:r>
      <w:r>
        <w:rPr>
          <w:rStyle w:val="FootnoteReference"/>
        </w:rPr>
        <w:footnoteRef/>
      </w:r>
      <w:r>
        <w:tab/>
      </w:r>
      <w:r w:rsidRPr="00EF7DC5">
        <w:t>La Charte sociale</w:t>
      </w:r>
      <w:r w:rsidRPr="000D32F3">
        <w:t xml:space="preserve"> européenne (révisée), entrée en vigueur le 1</w:t>
      </w:r>
      <w:r w:rsidRPr="000D32F3">
        <w:rPr>
          <w:vertAlign w:val="superscript"/>
        </w:rPr>
        <w:t>er</w:t>
      </w:r>
      <w:r w:rsidRPr="000D32F3">
        <w:t xml:space="preserve"> mai 2010 (art. E):</w:t>
      </w:r>
    </w:p>
    <w:p w:rsidR="002409AC" w:rsidRPr="000D32F3" w:rsidRDefault="002409AC" w:rsidP="000D32F3">
      <w:pPr>
        <w:pStyle w:val="Bullet1G"/>
        <w:spacing w:after="60" w:line="220" w:lineRule="atLeast"/>
        <w:rPr>
          <w:sz w:val="18"/>
          <w:szCs w:val="18"/>
        </w:rPr>
      </w:pPr>
      <w:r w:rsidRPr="000D32F3">
        <w:rPr>
          <w:sz w:val="18"/>
          <w:szCs w:val="18"/>
        </w:rPr>
        <w:t>La Convention européenne sur la nationalité (1</w:t>
      </w:r>
      <w:r w:rsidRPr="000D32F3">
        <w:rPr>
          <w:sz w:val="18"/>
          <w:szCs w:val="18"/>
          <w:vertAlign w:val="superscript"/>
        </w:rPr>
        <w:t>er</w:t>
      </w:r>
      <w:r w:rsidRPr="000D32F3">
        <w:rPr>
          <w:sz w:val="18"/>
          <w:szCs w:val="18"/>
        </w:rPr>
        <w:t xml:space="preserve"> octobre 2010), art. 5;</w:t>
      </w:r>
    </w:p>
    <w:p w:rsidR="002409AC" w:rsidRPr="000D32F3" w:rsidRDefault="002409AC" w:rsidP="000D32F3">
      <w:pPr>
        <w:pStyle w:val="Bullet1G"/>
        <w:spacing w:after="60" w:line="220" w:lineRule="atLeast"/>
        <w:rPr>
          <w:sz w:val="18"/>
          <w:szCs w:val="18"/>
        </w:rPr>
      </w:pPr>
      <w:r w:rsidRPr="000D32F3">
        <w:rPr>
          <w:sz w:val="18"/>
          <w:szCs w:val="18"/>
        </w:rPr>
        <w:t>La Convention sur la cybercriminalité et son Protocole additionnel, relatif à l’incrimination d’actes racistes et xénophobes commis par le biais de systèmes informatiques (1</w:t>
      </w:r>
      <w:r w:rsidRPr="000D32F3">
        <w:rPr>
          <w:sz w:val="18"/>
          <w:szCs w:val="18"/>
          <w:vertAlign w:val="superscript"/>
        </w:rPr>
        <w:t>er</w:t>
      </w:r>
      <w:r w:rsidRPr="000D32F3">
        <w:rPr>
          <w:sz w:val="18"/>
          <w:szCs w:val="18"/>
        </w:rPr>
        <w:t xml:space="preserve"> juillet 2010);</w:t>
      </w:r>
    </w:p>
    <w:p w:rsidR="002409AC" w:rsidRPr="000D32F3" w:rsidRDefault="002409AC" w:rsidP="000D32F3">
      <w:pPr>
        <w:pStyle w:val="Bullet1G"/>
        <w:spacing w:after="60" w:line="220" w:lineRule="atLeast"/>
        <w:rPr>
          <w:sz w:val="18"/>
          <w:szCs w:val="18"/>
        </w:rPr>
      </w:pPr>
      <w:r w:rsidRPr="000D32F3">
        <w:rPr>
          <w:sz w:val="18"/>
          <w:szCs w:val="18"/>
        </w:rPr>
        <w:t>La Convention du Conseil de l’Europe sur la prévention des cas d’apatridie en relation avec la succession d’États (1</w:t>
      </w:r>
      <w:r w:rsidRPr="000D32F3">
        <w:rPr>
          <w:sz w:val="18"/>
          <w:szCs w:val="18"/>
          <w:vertAlign w:val="superscript"/>
        </w:rPr>
        <w:t>er</w:t>
      </w:r>
      <w:r w:rsidRPr="000D32F3">
        <w:rPr>
          <w:sz w:val="18"/>
          <w:szCs w:val="18"/>
        </w:rPr>
        <w:t xml:space="preserve"> août 2010), art. 4;</w:t>
      </w:r>
    </w:p>
    <w:p w:rsidR="002409AC" w:rsidRPr="000D32F3" w:rsidRDefault="002409AC" w:rsidP="000D32F3">
      <w:pPr>
        <w:pStyle w:val="Bullet1G"/>
        <w:spacing w:after="60" w:line="220" w:lineRule="atLeast"/>
        <w:rPr>
          <w:sz w:val="18"/>
          <w:szCs w:val="18"/>
        </w:rPr>
      </w:pPr>
      <w:r w:rsidRPr="000D32F3">
        <w:rPr>
          <w:sz w:val="18"/>
          <w:szCs w:val="18"/>
        </w:rPr>
        <w:t>La Convention européenne sur l’imprescriptibilité des crimes contre l’humanité et des crimes de guerre (7 mars 2011);</w:t>
      </w:r>
    </w:p>
    <w:p w:rsidR="002409AC" w:rsidRPr="000D32F3" w:rsidRDefault="002409AC" w:rsidP="000D32F3">
      <w:pPr>
        <w:pStyle w:val="Bullet1G"/>
        <w:spacing w:after="60" w:line="220" w:lineRule="atLeast"/>
        <w:rPr>
          <w:sz w:val="18"/>
          <w:szCs w:val="18"/>
        </w:rPr>
      </w:pPr>
      <w:r w:rsidRPr="000D32F3">
        <w:rPr>
          <w:sz w:val="18"/>
          <w:szCs w:val="18"/>
        </w:rPr>
        <w:t>La Convention européenne relative au dédommagement des victimes d’infractions violentes (1</w:t>
      </w:r>
      <w:r w:rsidRPr="000D32F3">
        <w:rPr>
          <w:sz w:val="18"/>
          <w:szCs w:val="18"/>
          <w:vertAlign w:val="superscript"/>
        </w:rPr>
        <w:t>er</w:t>
      </w:r>
      <w:r w:rsidRPr="000D32F3">
        <w:rPr>
          <w:sz w:val="18"/>
          <w:szCs w:val="18"/>
        </w:rPr>
        <w:t xml:space="preserve"> juillet 2010). </w:t>
      </w:r>
    </w:p>
  </w:footnote>
  <w:footnote w:id="9">
    <w:p w:rsidR="002409AC" w:rsidRPr="000A7ED3" w:rsidRDefault="002409AC" w:rsidP="000228C3">
      <w:pPr>
        <w:pStyle w:val="FootnoteText"/>
        <w:tabs>
          <w:tab w:val="right" w:pos="1020"/>
        </w:tabs>
      </w:pPr>
      <w:r w:rsidRPr="00D010CC">
        <w:tab/>
      </w:r>
      <w:r>
        <w:rPr>
          <w:rStyle w:val="FootnoteReference"/>
        </w:rPr>
        <w:footnoteRef/>
      </w:r>
      <w:r>
        <w:tab/>
      </w:r>
      <w:r w:rsidRPr="000A7ED3">
        <w:t>Outre le monténégrin, langue officielle du pays, la Constitution garantit l</w:t>
      </w:r>
      <w:r>
        <w:t>’</w:t>
      </w:r>
      <w:r w:rsidRPr="000A7ED3">
        <w:t>usage officiel</w:t>
      </w:r>
      <w:r>
        <w:t xml:space="preserve"> du serbe, du bosniaque, de l’albanais et du croate</w:t>
      </w:r>
      <w:r w:rsidRPr="000A7ED3">
        <w:t>.</w:t>
      </w:r>
      <w:r>
        <w:t xml:space="preserve"> </w:t>
      </w:r>
    </w:p>
  </w:footnote>
  <w:footnote w:id="10">
    <w:p w:rsidR="002409AC" w:rsidRPr="003F2B7C" w:rsidRDefault="002409AC" w:rsidP="00262955">
      <w:pPr>
        <w:pStyle w:val="FootnoteText"/>
        <w:tabs>
          <w:tab w:val="right" w:pos="1020"/>
        </w:tabs>
      </w:pPr>
      <w:r w:rsidRPr="000A7ED3">
        <w:tab/>
      </w:r>
      <w:r>
        <w:rPr>
          <w:rStyle w:val="FootnoteReference"/>
        </w:rPr>
        <w:footnoteRef/>
      </w:r>
      <w:r>
        <w:tab/>
        <w:t>La proposition de loi est actuellement au Parlement.</w:t>
      </w:r>
    </w:p>
  </w:footnote>
  <w:footnote w:id="11">
    <w:p w:rsidR="002409AC" w:rsidRPr="003F2B7C" w:rsidRDefault="002409AC" w:rsidP="00E139B1">
      <w:pPr>
        <w:pStyle w:val="FootnoteText"/>
        <w:tabs>
          <w:tab w:val="right" w:pos="1020"/>
        </w:tabs>
      </w:pPr>
      <w:r>
        <w:tab/>
      </w:r>
      <w:r>
        <w:rPr>
          <w:rStyle w:val="FootnoteReference"/>
        </w:rPr>
        <w:footnoteRef/>
      </w:r>
      <w:r>
        <w:tab/>
        <w:t xml:space="preserve">Le Monténégro a ratifié le Protocole en mars </w:t>
      </w:r>
      <w:r w:rsidRPr="00262955">
        <w:t>2009</w:t>
      </w:r>
      <w:r>
        <w:t>.</w:t>
      </w:r>
    </w:p>
  </w:footnote>
  <w:footnote w:id="12">
    <w:p w:rsidR="002409AC" w:rsidRPr="003F2B7C" w:rsidRDefault="002409AC" w:rsidP="00BA71E4">
      <w:pPr>
        <w:pStyle w:val="FootnoteText"/>
        <w:tabs>
          <w:tab w:val="right" w:pos="1020"/>
        </w:tabs>
      </w:pPr>
      <w:r>
        <w:tab/>
      </w:r>
      <w:r>
        <w:rPr>
          <w:rStyle w:val="FootnoteReference"/>
        </w:rPr>
        <w:footnoteRef/>
      </w:r>
      <w:r>
        <w:tab/>
      </w:r>
      <w:r w:rsidRPr="00BC231A">
        <w:t>S.</w:t>
      </w:r>
      <w:r>
        <w:rPr>
          <w:lang w:val="fr-CH"/>
        </w:rPr>
        <w:t xml:space="preserve"> </w:t>
      </w:r>
      <w:r w:rsidRPr="00BC231A">
        <w:t xml:space="preserve">Bjeković, B. Lakočević: Le </w:t>
      </w:r>
      <w:r>
        <w:t>P</w:t>
      </w:r>
      <w:r w:rsidRPr="00BC231A">
        <w:t>rotecteur des droits de l</w:t>
      </w:r>
      <w:r>
        <w:t>’</w:t>
      </w:r>
      <w:r w:rsidRPr="00BC231A">
        <w:t>hom</w:t>
      </w:r>
      <w:r>
        <w:t>me et des libertés (Médiateur</w:t>
      </w:r>
      <w:r w:rsidRPr="00BC231A">
        <w:t>), Podg</w:t>
      </w:r>
      <w:r>
        <w:t xml:space="preserve">orica, </w:t>
      </w:r>
      <w:r w:rsidRPr="00BC231A">
        <w:t>2007.</w:t>
      </w:r>
      <w:r>
        <w:t xml:space="preserve"> </w:t>
      </w:r>
    </w:p>
  </w:footnote>
  <w:footnote w:id="13">
    <w:p w:rsidR="002409AC" w:rsidRPr="003F2B7C" w:rsidRDefault="002409AC" w:rsidP="007634E2">
      <w:pPr>
        <w:pStyle w:val="FootnoteText"/>
        <w:tabs>
          <w:tab w:val="right" w:pos="1020"/>
        </w:tabs>
      </w:pPr>
      <w:r>
        <w:tab/>
      </w:r>
      <w:r>
        <w:rPr>
          <w:rStyle w:val="FootnoteReference"/>
        </w:rPr>
        <w:footnoteRef/>
      </w:r>
      <w:r>
        <w:tab/>
        <w:t xml:space="preserve">La </w:t>
      </w:r>
      <w:r w:rsidRPr="007634E2">
        <w:t>Strat</w:t>
      </w:r>
      <w:r>
        <w:t>égie est décennale.</w:t>
      </w:r>
    </w:p>
  </w:footnote>
  <w:footnote w:id="14">
    <w:p w:rsidR="002409AC" w:rsidRPr="003F2B7C" w:rsidRDefault="002409AC" w:rsidP="00703618">
      <w:pPr>
        <w:pStyle w:val="FootnoteText"/>
        <w:tabs>
          <w:tab w:val="right" w:pos="1020"/>
        </w:tabs>
      </w:pPr>
      <w:r>
        <w:tab/>
      </w:r>
      <w:r>
        <w:rPr>
          <w:rStyle w:val="FootnoteReference"/>
        </w:rPr>
        <w:footnoteRef/>
      </w:r>
      <w:r>
        <w:tab/>
        <w:t xml:space="preserve">Les organisations et les personnes qui militent en faveur de la protection des droits de l’homme peuvent elles aussi adresser une plainte au Protecteur, à condition d’avoir l’assentiment de la personne ou du groupe de personnes victimes de la discrimination. </w:t>
      </w:r>
    </w:p>
  </w:footnote>
  <w:footnote w:id="15">
    <w:p w:rsidR="002409AC" w:rsidRPr="003F2B7C" w:rsidRDefault="002409AC" w:rsidP="003F6CEA">
      <w:pPr>
        <w:pStyle w:val="FootnoteText"/>
        <w:tabs>
          <w:tab w:val="right" w:pos="1020"/>
        </w:tabs>
      </w:pPr>
      <w:r>
        <w:tab/>
      </w:r>
      <w:r>
        <w:rPr>
          <w:rStyle w:val="FootnoteReference"/>
        </w:rPr>
        <w:footnoteRef/>
      </w:r>
      <w:r>
        <w:tab/>
        <w:t>Le paragraphe 1, alinéa 5, de l’a</w:t>
      </w:r>
      <w:r w:rsidRPr="003F6CEA">
        <w:t>rticle 31</w:t>
      </w:r>
      <w:r>
        <w:t xml:space="preserve"> de la loi relative aux réunions publiques dispose que l’organisateur d’une réunion qui n’assure pas le calme pendant cette réunion et qui ne fait pas respecter l’interdiction contenue à l’article 17 de la loi relative à la paix civile et à l’ordre public est puni d’une amende. </w:t>
      </w:r>
    </w:p>
  </w:footnote>
  <w:footnote w:id="16">
    <w:p w:rsidR="002409AC" w:rsidRPr="00CB7736" w:rsidRDefault="002409AC" w:rsidP="003B33B0">
      <w:pPr>
        <w:pStyle w:val="FootnoteText"/>
        <w:tabs>
          <w:tab w:val="right" w:pos="1020"/>
        </w:tabs>
      </w:pPr>
      <w:r>
        <w:tab/>
      </w:r>
      <w:r>
        <w:rPr>
          <w:rStyle w:val="FootnoteReference"/>
        </w:rPr>
        <w:footnoteRef/>
      </w:r>
      <w:r>
        <w:tab/>
      </w:r>
      <w:r w:rsidRPr="00CB7736">
        <w:t>L</w:t>
      </w:r>
      <w:r>
        <w:t>’</w:t>
      </w:r>
      <w:r w:rsidRPr="00CB7736">
        <w:t>adoption de la loi relative aux médias électroniques, qui a remplacé la loi relative à la radiotélévision de 2002, s</w:t>
      </w:r>
      <w:r>
        <w:t>’</w:t>
      </w:r>
      <w:r w:rsidRPr="00CB7736">
        <w:t>inscrit dans le cadre de l</w:t>
      </w:r>
      <w:r>
        <w:t>’</w:t>
      </w:r>
      <w:r w:rsidRPr="00CB7736">
        <w:t xml:space="preserve">harmonisation de la législation </w:t>
      </w:r>
      <w:r>
        <w:t xml:space="preserve">sur les médias </w:t>
      </w:r>
      <w:r w:rsidRPr="00CB7736">
        <w:t>avec les normes européennes.</w:t>
      </w:r>
      <w:r>
        <w:t xml:space="preserve"> </w:t>
      </w:r>
    </w:p>
  </w:footnote>
  <w:footnote w:id="17">
    <w:p w:rsidR="002409AC" w:rsidRPr="003306B9" w:rsidRDefault="002409AC" w:rsidP="00986C9D">
      <w:pPr>
        <w:pStyle w:val="FootnoteText"/>
      </w:pPr>
      <w:r w:rsidRPr="00CB7736">
        <w:tab/>
      </w:r>
      <w:r>
        <w:rPr>
          <w:rStyle w:val="FootnoteReference"/>
        </w:rPr>
        <w:footnoteRef/>
      </w:r>
      <w:r>
        <w:tab/>
      </w:r>
      <w:r w:rsidRPr="007A49B7">
        <w:t xml:space="preserve">En </w:t>
      </w:r>
      <w:r>
        <w:t>élabor</w:t>
      </w:r>
      <w:r w:rsidRPr="007A49B7">
        <w:t xml:space="preserve">ant la loi relative aux services publics de radiotélévision du Monténégro, qui a abrogé la loi relative aux services </w:t>
      </w:r>
      <w:r>
        <w:t>«</w:t>
      </w:r>
      <w:r w:rsidRPr="007A49B7">
        <w:t>Radio du Monténégro</w:t>
      </w:r>
      <w:r>
        <w:t>»</w:t>
      </w:r>
      <w:r w:rsidRPr="007A49B7">
        <w:t xml:space="preserve"> et </w:t>
      </w:r>
      <w:r>
        <w:t>«</w:t>
      </w:r>
      <w:r w:rsidRPr="007A49B7">
        <w:t>Télévision du Monténégro</w:t>
      </w:r>
      <w:r>
        <w:t>»</w:t>
      </w:r>
      <w:r w:rsidRPr="007A49B7">
        <w:t>, de 2002,</w:t>
      </w:r>
      <w:r>
        <w:t xml:space="preserve"> </w:t>
      </w:r>
      <w:r w:rsidRPr="007A49B7">
        <w:t>le Monténégro a continué d</w:t>
      </w:r>
      <w:r>
        <w:t>’</w:t>
      </w:r>
      <w:r w:rsidRPr="007A49B7">
        <w:t xml:space="preserve">aligner sa législation sur les </w:t>
      </w:r>
      <w:r>
        <w:t xml:space="preserve">normes européennes. </w:t>
      </w:r>
    </w:p>
  </w:footnote>
  <w:footnote w:id="18">
    <w:p w:rsidR="002409AC" w:rsidRPr="003F450E" w:rsidRDefault="002409AC" w:rsidP="006243E3">
      <w:pPr>
        <w:pStyle w:val="FootnoteText"/>
      </w:pPr>
      <w:r w:rsidRPr="003306B9">
        <w:tab/>
      </w:r>
      <w:r>
        <w:rPr>
          <w:rStyle w:val="FootnoteReference"/>
        </w:rPr>
        <w:footnoteRef/>
      </w:r>
      <w:r w:rsidRPr="003F450E">
        <w:tab/>
        <w:t>Infractions</w:t>
      </w:r>
      <w:r>
        <w:t>:</w:t>
      </w:r>
      <w:r w:rsidRPr="003F450E">
        <w:t xml:space="preserve"> insulte, diffamation, propagation d</w:t>
      </w:r>
      <w:r>
        <w:t>’</w:t>
      </w:r>
      <w:r w:rsidRPr="003F450E">
        <w:t xml:space="preserve">informations relatives à la vie privée et familiale, </w:t>
      </w:r>
      <w:r>
        <w:t>dénigrement</w:t>
      </w:r>
      <w:r w:rsidRPr="003F450E">
        <w:t xml:space="preserve"> de</w:t>
      </w:r>
      <w:r>
        <w:t xml:space="preserve"> </w:t>
      </w:r>
      <w:r w:rsidRPr="003F450E">
        <w:t>nations, de minorités nationales et d</w:t>
      </w:r>
      <w:r>
        <w:t>’</w:t>
      </w:r>
      <w:r w:rsidRPr="003F450E">
        <w:t>autres groupes ethniques.</w:t>
      </w:r>
      <w:r>
        <w:t xml:space="preserve"> </w:t>
      </w:r>
    </w:p>
  </w:footnote>
  <w:footnote w:id="19">
    <w:p w:rsidR="002409AC" w:rsidRPr="00227546" w:rsidRDefault="002409AC" w:rsidP="003A2C5B">
      <w:pPr>
        <w:pStyle w:val="FootnoteText"/>
        <w:tabs>
          <w:tab w:val="right" w:pos="1020"/>
        </w:tabs>
      </w:pPr>
      <w:r w:rsidRPr="003F450E">
        <w:tab/>
      </w:r>
      <w:r>
        <w:rPr>
          <w:rStyle w:val="FootnoteReference"/>
        </w:rPr>
        <w:footnoteRef/>
      </w:r>
      <w:r>
        <w:tab/>
        <w:t>Les appartements sont des espaces servant de résidence habituelle à une ou plusieurs personnes, Ils sont indépendants s’ils sont clos de murs et couverts d’un toit, si bien que celui ou ceux qui y vivent sont séparés de leurs voisins lorsqu’ils dorment, préparent leurs repas et les consomment, à l’abri des intempéries et protégés du milieu ambiant</w:t>
      </w:r>
      <w:r w:rsidRPr="003A2C5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AC" w:rsidRPr="00C01E22" w:rsidRDefault="002409AC">
    <w:pPr>
      <w:pStyle w:val="Header"/>
    </w:pPr>
    <w:r>
      <w:t>CERD/C/MNE/2-3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AC" w:rsidRPr="00C01E22" w:rsidRDefault="002409AC" w:rsidP="00C01E22">
    <w:pPr>
      <w:pStyle w:val="Header"/>
      <w:jc w:val="right"/>
    </w:pPr>
    <w:r>
      <w:t>CERD/C/MNE/2-3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EE2307"/>
    <w:multiLevelType w:val="hybridMultilevel"/>
    <w:tmpl w:val="005623F4"/>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0100FF0"/>
    <w:lvl w:ilvl="0" w:tplc="BFD8529E">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94F3477"/>
    <w:multiLevelType w:val="hybridMultilevel"/>
    <w:tmpl w:val="28E67BB4"/>
    <w:lvl w:ilvl="0" w:tplc="286AD474">
      <w:start w:val="1"/>
      <w:numFmt w:val="decimal"/>
      <w:suff w:val="space"/>
      <w:lvlText w:val="%1)"/>
      <w:lvlJc w:val="left"/>
      <w:pPr>
        <w:ind w:left="0" w:firstLine="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431C26"/>
    <w:multiLevelType w:val="hybridMultilevel"/>
    <w:tmpl w:val="0840EB4C"/>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EC73611"/>
    <w:multiLevelType w:val="hybridMultilevel"/>
    <w:tmpl w:val="BBD46186"/>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1DA3828"/>
    <w:multiLevelType w:val="hybridMultilevel"/>
    <w:tmpl w:val="28C6AC8E"/>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B7771B4"/>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0A65E02"/>
    <w:multiLevelType w:val="hybridMultilevel"/>
    <w:tmpl w:val="61985F5C"/>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3B007CF"/>
    <w:multiLevelType w:val="hybridMultilevel"/>
    <w:tmpl w:val="87A693FE"/>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3F71E37"/>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7AA047D"/>
    <w:multiLevelType w:val="hybridMultilevel"/>
    <w:tmpl w:val="C77ED644"/>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7AE1233"/>
    <w:multiLevelType w:val="hybridMultilevel"/>
    <w:tmpl w:val="C1E8554C"/>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F942699"/>
    <w:multiLevelType w:val="hybridMultilevel"/>
    <w:tmpl w:val="F79498DE"/>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1451103"/>
    <w:multiLevelType w:val="hybridMultilevel"/>
    <w:tmpl w:val="B4440A80"/>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DD578A5"/>
    <w:multiLevelType w:val="hybridMultilevel"/>
    <w:tmpl w:val="296C5B8A"/>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862366"/>
    <w:multiLevelType w:val="hybridMultilevel"/>
    <w:tmpl w:val="523E6D94"/>
    <w:lvl w:ilvl="0" w:tplc="E24C15DA">
      <w:start w:val="1"/>
      <w:numFmt w:val="bullet"/>
      <w:pStyle w:val="EndnoteTex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8C17D2E"/>
    <w:multiLevelType w:val="hybridMultilevel"/>
    <w:tmpl w:val="30EE7D2E"/>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0267B6"/>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F42465"/>
    <w:multiLevelType w:val="hybridMultilevel"/>
    <w:tmpl w:val="C292DB48"/>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D946056"/>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3"/>
  </w:num>
  <w:num w:numId="4">
    <w:abstractNumId w:val="13"/>
  </w:num>
  <w:num w:numId="5">
    <w:abstractNumId w:val="4"/>
  </w:num>
  <w:num w:numId="6">
    <w:abstractNumId w:val="17"/>
  </w:num>
  <w:num w:numId="7">
    <w:abstractNumId w:val="11"/>
  </w:num>
  <w:num w:numId="8">
    <w:abstractNumId w:val="12"/>
  </w:num>
  <w:num w:numId="9">
    <w:abstractNumId w:val="6"/>
  </w:num>
  <w:num w:numId="10">
    <w:abstractNumId w:val="8"/>
  </w:num>
  <w:num w:numId="11">
    <w:abstractNumId w:val="5"/>
  </w:num>
  <w:num w:numId="12">
    <w:abstractNumId w:val="14"/>
  </w:num>
  <w:num w:numId="13">
    <w:abstractNumId w:val="18"/>
  </w:num>
  <w:num w:numId="14">
    <w:abstractNumId w:val="19"/>
  </w:num>
  <w:num w:numId="15">
    <w:abstractNumId w:val="20"/>
  </w:num>
  <w:num w:numId="16">
    <w:abstractNumId w:val="1"/>
  </w:num>
  <w:num w:numId="17">
    <w:abstractNumId w:val="10"/>
  </w:num>
  <w:num w:numId="18">
    <w:abstractNumId w:val="15"/>
  </w:num>
  <w:num w:numId="19">
    <w:abstractNumId w:val="7"/>
  </w:num>
  <w:num w:numId="20">
    <w:abstractNumId w:val="9"/>
  </w:num>
  <w:num w:numId="21">
    <w:abstractNumId w:val="2"/>
  </w:num>
  <w:num w:numId="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E22"/>
    <w:rsid w:val="00000E6D"/>
    <w:rsid w:val="00001B79"/>
    <w:rsid w:val="0000469B"/>
    <w:rsid w:val="00005D4D"/>
    <w:rsid w:val="00011D43"/>
    <w:rsid w:val="00012738"/>
    <w:rsid w:val="00014435"/>
    <w:rsid w:val="000149A2"/>
    <w:rsid w:val="000169BD"/>
    <w:rsid w:val="000169FA"/>
    <w:rsid w:val="00016E90"/>
    <w:rsid w:val="000205FA"/>
    <w:rsid w:val="00020FFD"/>
    <w:rsid w:val="0002115B"/>
    <w:rsid w:val="00021AA3"/>
    <w:rsid w:val="000228C3"/>
    <w:rsid w:val="00026B9D"/>
    <w:rsid w:val="00027363"/>
    <w:rsid w:val="0003159B"/>
    <w:rsid w:val="000318F7"/>
    <w:rsid w:val="00032FF2"/>
    <w:rsid w:val="000335D2"/>
    <w:rsid w:val="00033FC7"/>
    <w:rsid w:val="00036257"/>
    <w:rsid w:val="0003626E"/>
    <w:rsid w:val="000439A0"/>
    <w:rsid w:val="0004404C"/>
    <w:rsid w:val="00045158"/>
    <w:rsid w:val="0004612D"/>
    <w:rsid w:val="0004763E"/>
    <w:rsid w:val="0005003B"/>
    <w:rsid w:val="00050F6B"/>
    <w:rsid w:val="00051082"/>
    <w:rsid w:val="00052A70"/>
    <w:rsid w:val="00052DE6"/>
    <w:rsid w:val="000551DC"/>
    <w:rsid w:val="00055386"/>
    <w:rsid w:val="000566F2"/>
    <w:rsid w:val="00056818"/>
    <w:rsid w:val="0005778B"/>
    <w:rsid w:val="00061D23"/>
    <w:rsid w:val="00063C74"/>
    <w:rsid w:val="00063F55"/>
    <w:rsid w:val="00066581"/>
    <w:rsid w:val="00066A5A"/>
    <w:rsid w:val="00070648"/>
    <w:rsid w:val="00072C8C"/>
    <w:rsid w:val="000733B5"/>
    <w:rsid w:val="000738E8"/>
    <w:rsid w:val="000754BF"/>
    <w:rsid w:val="00076CB9"/>
    <w:rsid w:val="000773FE"/>
    <w:rsid w:val="00077485"/>
    <w:rsid w:val="00082867"/>
    <w:rsid w:val="0008328F"/>
    <w:rsid w:val="000843A7"/>
    <w:rsid w:val="00091064"/>
    <w:rsid w:val="000931C0"/>
    <w:rsid w:val="000941CC"/>
    <w:rsid w:val="00094571"/>
    <w:rsid w:val="00094C19"/>
    <w:rsid w:val="000977E1"/>
    <w:rsid w:val="000A0716"/>
    <w:rsid w:val="000A2948"/>
    <w:rsid w:val="000A5D3B"/>
    <w:rsid w:val="000A684B"/>
    <w:rsid w:val="000A76E8"/>
    <w:rsid w:val="000A7ED3"/>
    <w:rsid w:val="000B175B"/>
    <w:rsid w:val="000B213E"/>
    <w:rsid w:val="000B3062"/>
    <w:rsid w:val="000B3A0F"/>
    <w:rsid w:val="000B3ECF"/>
    <w:rsid w:val="000B4EF7"/>
    <w:rsid w:val="000B6020"/>
    <w:rsid w:val="000B7667"/>
    <w:rsid w:val="000B788B"/>
    <w:rsid w:val="000C06C8"/>
    <w:rsid w:val="000C1462"/>
    <w:rsid w:val="000C2D2E"/>
    <w:rsid w:val="000C30C9"/>
    <w:rsid w:val="000C4DA9"/>
    <w:rsid w:val="000C59C8"/>
    <w:rsid w:val="000C5F96"/>
    <w:rsid w:val="000D03C6"/>
    <w:rsid w:val="000D1767"/>
    <w:rsid w:val="000D1F9B"/>
    <w:rsid w:val="000D2264"/>
    <w:rsid w:val="000D32F3"/>
    <w:rsid w:val="000D41F0"/>
    <w:rsid w:val="000D41F1"/>
    <w:rsid w:val="000E0415"/>
    <w:rsid w:val="000E41BA"/>
    <w:rsid w:val="000F0319"/>
    <w:rsid w:val="000F2A1E"/>
    <w:rsid w:val="000F2FFA"/>
    <w:rsid w:val="000F4503"/>
    <w:rsid w:val="000F4B0D"/>
    <w:rsid w:val="00100D10"/>
    <w:rsid w:val="00103F8A"/>
    <w:rsid w:val="00105277"/>
    <w:rsid w:val="001072B3"/>
    <w:rsid w:val="001103AA"/>
    <w:rsid w:val="00110CD9"/>
    <w:rsid w:val="001115F6"/>
    <w:rsid w:val="001136DF"/>
    <w:rsid w:val="001160F6"/>
    <w:rsid w:val="001162DB"/>
    <w:rsid w:val="00120887"/>
    <w:rsid w:val="0012158D"/>
    <w:rsid w:val="001275E8"/>
    <w:rsid w:val="00130D9F"/>
    <w:rsid w:val="001315AA"/>
    <w:rsid w:val="00131D39"/>
    <w:rsid w:val="00134258"/>
    <w:rsid w:val="001343DD"/>
    <w:rsid w:val="00153333"/>
    <w:rsid w:val="00153E5E"/>
    <w:rsid w:val="00154DB3"/>
    <w:rsid w:val="00154E0B"/>
    <w:rsid w:val="00154F4C"/>
    <w:rsid w:val="00155467"/>
    <w:rsid w:val="001554AC"/>
    <w:rsid w:val="001560B8"/>
    <w:rsid w:val="001563CD"/>
    <w:rsid w:val="00156634"/>
    <w:rsid w:val="001577F6"/>
    <w:rsid w:val="001602B9"/>
    <w:rsid w:val="00160921"/>
    <w:rsid w:val="00161362"/>
    <w:rsid w:val="00162991"/>
    <w:rsid w:val="00165419"/>
    <w:rsid w:val="001677B4"/>
    <w:rsid w:val="001678CF"/>
    <w:rsid w:val="00172C67"/>
    <w:rsid w:val="001739ED"/>
    <w:rsid w:val="001745F0"/>
    <w:rsid w:val="00174B70"/>
    <w:rsid w:val="001753A2"/>
    <w:rsid w:val="001753EC"/>
    <w:rsid w:val="001774A1"/>
    <w:rsid w:val="00180D95"/>
    <w:rsid w:val="00181569"/>
    <w:rsid w:val="00183B3D"/>
    <w:rsid w:val="00184AE2"/>
    <w:rsid w:val="00184D14"/>
    <w:rsid w:val="0018711F"/>
    <w:rsid w:val="00190822"/>
    <w:rsid w:val="001908E2"/>
    <w:rsid w:val="00191D42"/>
    <w:rsid w:val="001944FC"/>
    <w:rsid w:val="00195BC3"/>
    <w:rsid w:val="001A00E5"/>
    <w:rsid w:val="001A329D"/>
    <w:rsid w:val="001A50B7"/>
    <w:rsid w:val="001A76F1"/>
    <w:rsid w:val="001B051F"/>
    <w:rsid w:val="001B2353"/>
    <w:rsid w:val="001B4B04"/>
    <w:rsid w:val="001B4D8B"/>
    <w:rsid w:val="001B5032"/>
    <w:rsid w:val="001B526F"/>
    <w:rsid w:val="001B7B88"/>
    <w:rsid w:val="001C0DAE"/>
    <w:rsid w:val="001C275C"/>
    <w:rsid w:val="001C2811"/>
    <w:rsid w:val="001C6663"/>
    <w:rsid w:val="001C7895"/>
    <w:rsid w:val="001D09A3"/>
    <w:rsid w:val="001D26DF"/>
    <w:rsid w:val="001D3D53"/>
    <w:rsid w:val="001D407E"/>
    <w:rsid w:val="001D4ADD"/>
    <w:rsid w:val="001D4D14"/>
    <w:rsid w:val="001E1CE9"/>
    <w:rsid w:val="001E22AC"/>
    <w:rsid w:val="001E3D7A"/>
    <w:rsid w:val="001E4DB6"/>
    <w:rsid w:val="001E526C"/>
    <w:rsid w:val="001E5999"/>
    <w:rsid w:val="001E5AA0"/>
    <w:rsid w:val="001F2F92"/>
    <w:rsid w:val="001F587D"/>
    <w:rsid w:val="001F61A5"/>
    <w:rsid w:val="001F6FD4"/>
    <w:rsid w:val="00201E5D"/>
    <w:rsid w:val="00202DA8"/>
    <w:rsid w:val="00203614"/>
    <w:rsid w:val="002052C1"/>
    <w:rsid w:val="002061AB"/>
    <w:rsid w:val="00206879"/>
    <w:rsid w:val="002116C9"/>
    <w:rsid w:val="00211E0B"/>
    <w:rsid w:val="00212126"/>
    <w:rsid w:val="00216E96"/>
    <w:rsid w:val="00220CC8"/>
    <w:rsid w:val="00221760"/>
    <w:rsid w:val="002243EE"/>
    <w:rsid w:val="002249C2"/>
    <w:rsid w:val="00227546"/>
    <w:rsid w:val="00230561"/>
    <w:rsid w:val="0023155C"/>
    <w:rsid w:val="002337A9"/>
    <w:rsid w:val="002362B5"/>
    <w:rsid w:val="00237D58"/>
    <w:rsid w:val="00237F32"/>
    <w:rsid w:val="002409AC"/>
    <w:rsid w:val="00240F83"/>
    <w:rsid w:val="002417AF"/>
    <w:rsid w:val="00245483"/>
    <w:rsid w:val="002455A3"/>
    <w:rsid w:val="00250306"/>
    <w:rsid w:val="00251DAF"/>
    <w:rsid w:val="00252491"/>
    <w:rsid w:val="00255BEA"/>
    <w:rsid w:val="00256C5B"/>
    <w:rsid w:val="002571D8"/>
    <w:rsid w:val="00261D5D"/>
    <w:rsid w:val="002621A6"/>
    <w:rsid w:val="00262955"/>
    <w:rsid w:val="00263344"/>
    <w:rsid w:val="00265A3F"/>
    <w:rsid w:val="0026759B"/>
    <w:rsid w:val="002675AE"/>
    <w:rsid w:val="0027004D"/>
    <w:rsid w:val="00270E37"/>
    <w:rsid w:val="002733FC"/>
    <w:rsid w:val="00274A43"/>
    <w:rsid w:val="00275B13"/>
    <w:rsid w:val="002760E7"/>
    <w:rsid w:val="00282480"/>
    <w:rsid w:val="00283142"/>
    <w:rsid w:val="00283B03"/>
    <w:rsid w:val="00285B03"/>
    <w:rsid w:val="00286F92"/>
    <w:rsid w:val="002877AE"/>
    <w:rsid w:val="00290D06"/>
    <w:rsid w:val="00290D36"/>
    <w:rsid w:val="00291ECE"/>
    <w:rsid w:val="00292CA7"/>
    <w:rsid w:val="0029451C"/>
    <w:rsid w:val="00295D6A"/>
    <w:rsid w:val="00296FCB"/>
    <w:rsid w:val="002A0165"/>
    <w:rsid w:val="002A0C9C"/>
    <w:rsid w:val="002A32D1"/>
    <w:rsid w:val="002A5033"/>
    <w:rsid w:val="002A5A1D"/>
    <w:rsid w:val="002A6626"/>
    <w:rsid w:val="002A6725"/>
    <w:rsid w:val="002A6C83"/>
    <w:rsid w:val="002A79C4"/>
    <w:rsid w:val="002B021B"/>
    <w:rsid w:val="002B0464"/>
    <w:rsid w:val="002B43A1"/>
    <w:rsid w:val="002B4897"/>
    <w:rsid w:val="002B5B15"/>
    <w:rsid w:val="002B6A5F"/>
    <w:rsid w:val="002B705C"/>
    <w:rsid w:val="002C100B"/>
    <w:rsid w:val="002C2AAA"/>
    <w:rsid w:val="002C3A2F"/>
    <w:rsid w:val="002C3D26"/>
    <w:rsid w:val="002C5A3C"/>
    <w:rsid w:val="002C6E4A"/>
    <w:rsid w:val="002D30FC"/>
    <w:rsid w:val="002D3450"/>
    <w:rsid w:val="002D62AB"/>
    <w:rsid w:val="002D7CD0"/>
    <w:rsid w:val="002E1639"/>
    <w:rsid w:val="002E337C"/>
    <w:rsid w:val="002E3420"/>
    <w:rsid w:val="002E3FD2"/>
    <w:rsid w:val="002F175C"/>
    <w:rsid w:val="002F1E29"/>
    <w:rsid w:val="002F2A20"/>
    <w:rsid w:val="002F2BA8"/>
    <w:rsid w:val="002F38A2"/>
    <w:rsid w:val="002F66B8"/>
    <w:rsid w:val="00300292"/>
    <w:rsid w:val="00301D97"/>
    <w:rsid w:val="003037C5"/>
    <w:rsid w:val="00303B20"/>
    <w:rsid w:val="00303F39"/>
    <w:rsid w:val="0030499B"/>
    <w:rsid w:val="00304BA7"/>
    <w:rsid w:val="00306FD4"/>
    <w:rsid w:val="003126C2"/>
    <w:rsid w:val="00314915"/>
    <w:rsid w:val="003155CE"/>
    <w:rsid w:val="00315D0D"/>
    <w:rsid w:val="003172B2"/>
    <w:rsid w:val="003204D5"/>
    <w:rsid w:val="003229D8"/>
    <w:rsid w:val="00322EFD"/>
    <w:rsid w:val="00325945"/>
    <w:rsid w:val="003269D3"/>
    <w:rsid w:val="00326FE2"/>
    <w:rsid w:val="003305AB"/>
    <w:rsid w:val="003306B9"/>
    <w:rsid w:val="0033380E"/>
    <w:rsid w:val="00333EB9"/>
    <w:rsid w:val="00336015"/>
    <w:rsid w:val="00336CAC"/>
    <w:rsid w:val="00340B91"/>
    <w:rsid w:val="00344474"/>
    <w:rsid w:val="00344946"/>
    <w:rsid w:val="003472DA"/>
    <w:rsid w:val="003472F0"/>
    <w:rsid w:val="003506F2"/>
    <w:rsid w:val="0035108F"/>
    <w:rsid w:val="00351B12"/>
    <w:rsid w:val="00352709"/>
    <w:rsid w:val="00352887"/>
    <w:rsid w:val="00355785"/>
    <w:rsid w:val="0035730A"/>
    <w:rsid w:val="00357EC8"/>
    <w:rsid w:val="00360603"/>
    <w:rsid w:val="00360A38"/>
    <w:rsid w:val="003618A8"/>
    <w:rsid w:val="00361971"/>
    <w:rsid w:val="00365E1F"/>
    <w:rsid w:val="00371178"/>
    <w:rsid w:val="00372CBD"/>
    <w:rsid w:val="00374D76"/>
    <w:rsid w:val="00375D0E"/>
    <w:rsid w:val="003816E5"/>
    <w:rsid w:val="00382A8E"/>
    <w:rsid w:val="00386960"/>
    <w:rsid w:val="003876AC"/>
    <w:rsid w:val="003900E3"/>
    <w:rsid w:val="00390288"/>
    <w:rsid w:val="0039047F"/>
    <w:rsid w:val="00390995"/>
    <w:rsid w:val="00391C04"/>
    <w:rsid w:val="00392A35"/>
    <w:rsid w:val="00393FE6"/>
    <w:rsid w:val="00394E0B"/>
    <w:rsid w:val="003956FC"/>
    <w:rsid w:val="003A05FF"/>
    <w:rsid w:val="003A2C5B"/>
    <w:rsid w:val="003A34A8"/>
    <w:rsid w:val="003A4810"/>
    <w:rsid w:val="003A6810"/>
    <w:rsid w:val="003B1113"/>
    <w:rsid w:val="003B27E7"/>
    <w:rsid w:val="003B2D38"/>
    <w:rsid w:val="003B33B0"/>
    <w:rsid w:val="003B3EA9"/>
    <w:rsid w:val="003B45C2"/>
    <w:rsid w:val="003B4A8D"/>
    <w:rsid w:val="003B4E47"/>
    <w:rsid w:val="003B5B3F"/>
    <w:rsid w:val="003C013E"/>
    <w:rsid w:val="003C1CD0"/>
    <w:rsid w:val="003C2CC4"/>
    <w:rsid w:val="003C4006"/>
    <w:rsid w:val="003C413F"/>
    <w:rsid w:val="003C78C9"/>
    <w:rsid w:val="003D0627"/>
    <w:rsid w:val="003D1B49"/>
    <w:rsid w:val="003D4B23"/>
    <w:rsid w:val="003D541C"/>
    <w:rsid w:val="003D63D0"/>
    <w:rsid w:val="003E4485"/>
    <w:rsid w:val="003E61B5"/>
    <w:rsid w:val="003E75CB"/>
    <w:rsid w:val="003F29DE"/>
    <w:rsid w:val="003F2B7C"/>
    <w:rsid w:val="003F2F0D"/>
    <w:rsid w:val="003F3A43"/>
    <w:rsid w:val="003F450E"/>
    <w:rsid w:val="003F56F6"/>
    <w:rsid w:val="003F6CEA"/>
    <w:rsid w:val="004011E4"/>
    <w:rsid w:val="00404A42"/>
    <w:rsid w:val="0040520E"/>
    <w:rsid w:val="00405DDC"/>
    <w:rsid w:val="0040783A"/>
    <w:rsid w:val="004103DC"/>
    <w:rsid w:val="00410B15"/>
    <w:rsid w:val="00410C89"/>
    <w:rsid w:val="00410F58"/>
    <w:rsid w:val="00412248"/>
    <w:rsid w:val="00413FC8"/>
    <w:rsid w:val="00415E62"/>
    <w:rsid w:val="004178B1"/>
    <w:rsid w:val="00417CB4"/>
    <w:rsid w:val="00423EFF"/>
    <w:rsid w:val="00425386"/>
    <w:rsid w:val="00427E35"/>
    <w:rsid w:val="004310D7"/>
    <w:rsid w:val="00431364"/>
    <w:rsid w:val="00431904"/>
    <w:rsid w:val="004325CB"/>
    <w:rsid w:val="00432D40"/>
    <w:rsid w:val="00432F47"/>
    <w:rsid w:val="004350B2"/>
    <w:rsid w:val="00435FB5"/>
    <w:rsid w:val="00437E63"/>
    <w:rsid w:val="00440BCF"/>
    <w:rsid w:val="004421B2"/>
    <w:rsid w:val="00442B30"/>
    <w:rsid w:val="004448A2"/>
    <w:rsid w:val="00445088"/>
    <w:rsid w:val="004465AB"/>
    <w:rsid w:val="0044660D"/>
    <w:rsid w:val="004473B7"/>
    <w:rsid w:val="0045495B"/>
    <w:rsid w:val="00454987"/>
    <w:rsid w:val="004603F1"/>
    <w:rsid w:val="0046174B"/>
    <w:rsid w:val="00465C51"/>
    <w:rsid w:val="0046740C"/>
    <w:rsid w:val="004674ED"/>
    <w:rsid w:val="004701CE"/>
    <w:rsid w:val="00474ABA"/>
    <w:rsid w:val="00474B49"/>
    <w:rsid w:val="00476C94"/>
    <w:rsid w:val="0048135D"/>
    <w:rsid w:val="004825C8"/>
    <w:rsid w:val="00486740"/>
    <w:rsid w:val="00490A6B"/>
    <w:rsid w:val="00490AF1"/>
    <w:rsid w:val="00491FBF"/>
    <w:rsid w:val="004920AC"/>
    <w:rsid w:val="004934E1"/>
    <w:rsid w:val="004935F7"/>
    <w:rsid w:val="004977C4"/>
    <w:rsid w:val="004A0AFA"/>
    <w:rsid w:val="004A0BD1"/>
    <w:rsid w:val="004A32AB"/>
    <w:rsid w:val="004A3FBB"/>
    <w:rsid w:val="004A445E"/>
    <w:rsid w:val="004A4B4D"/>
    <w:rsid w:val="004A6EFF"/>
    <w:rsid w:val="004A7858"/>
    <w:rsid w:val="004B075D"/>
    <w:rsid w:val="004B1520"/>
    <w:rsid w:val="004B1E01"/>
    <w:rsid w:val="004B3312"/>
    <w:rsid w:val="004B3722"/>
    <w:rsid w:val="004B4335"/>
    <w:rsid w:val="004B7DF4"/>
    <w:rsid w:val="004C030A"/>
    <w:rsid w:val="004C0671"/>
    <w:rsid w:val="004C5B55"/>
    <w:rsid w:val="004C7BF6"/>
    <w:rsid w:val="004D01F3"/>
    <w:rsid w:val="004D25E4"/>
    <w:rsid w:val="004D2A9E"/>
    <w:rsid w:val="004D2B40"/>
    <w:rsid w:val="004D324E"/>
    <w:rsid w:val="004D4CE6"/>
    <w:rsid w:val="004D5820"/>
    <w:rsid w:val="004E0CD9"/>
    <w:rsid w:val="004E12C4"/>
    <w:rsid w:val="004E31F6"/>
    <w:rsid w:val="004E3737"/>
    <w:rsid w:val="004E3951"/>
    <w:rsid w:val="004E4BB9"/>
    <w:rsid w:val="004E523C"/>
    <w:rsid w:val="004F0181"/>
    <w:rsid w:val="004F1932"/>
    <w:rsid w:val="004F2819"/>
    <w:rsid w:val="004F7355"/>
    <w:rsid w:val="00500C62"/>
    <w:rsid w:val="00502A32"/>
    <w:rsid w:val="0050323B"/>
    <w:rsid w:val="00505701"/>
    <w:rsid w:val="00505F85"/>
    <w:rsid w:val="005072A0"/>
    <w:rsid w:val="005122FF"/>
    <w:rsid w:val="00512336"/>
    <w:rsid w:val="005130BB"/>
    <w:rsid w:val="00513B13"/>
    <w:rsid w:val="00514BCE"/>
    <w:rsid w:val="00514E49"/>
    <w:rsid w:val="005157AF"/>
    <w:rsid w:val="00516407"/>
    <w:rsid w:val="00517B36"/>
    <w:rsid w:val="00520555"/>
    <w:rsid w:val="0052099F"/>
    <w:rsid w:val="00520D24"/>
    <w:rsid w:val="00523650"/>
    <w:rsid w:val="00523EA6"/>
    <w:rsid w:val="00525AA6"/>
    <w:rsid w:val="00525E73"/>
    <w:rsid w:val="00526E16"/>
    <w:rsid w:val="00527E42"/>
    <w:rsid w:val="00530C4F"/>
    <w:rsid w:val="005313B8"/>
    <w:rsid w:val="00531580"/>
    <w:rsid w:val="0053179C"/>
    <w:rsid w:val="00532E18"/>
    <w:rsid w:val="00535EA9"/>
    <w:rsid w:val="0053662D"/>
    <w:rsid w:val="00536B47"/>
    <w:rsid w:val="00540DAA"/>
    <w:rsid w:val="005420F2"/>
    <w:rsid w:val="00543D67"/>
    <w:rsid w:val="00544DD3"/>
    <w:rsid w:val="0054597A"/>
    <w:rsid w:val="0054656A"/>
    <w:rsid w:val="00550776"/>
    <w:rsid w:val="00550C87"/>
    <w:rsid w:val="00554AF3"/>
    <w:rsid w:val="005559D9"/>
    <w:rsid w:val="005559E6"/>
    <w:rsid w:val="00561AAC"/>
    <w:rsid w:val="00562786"/>
    <w:rsid w:val="0056322B"/>
    <w:rsid w:val="00566EBF"/>
    <w:rsid w:val="00567EC5"/>
    <w:rsid w:val="00573C5A"/>
    <w:rsid w:val="00574A43"/>
    <w:rsid w:val="005751DD"/>
    <w:rsid w:val="00581092"/>
    <w:rsid w:val="00581543"/>
    <w:rsid w:val="00581B97"/>
    <w:rsid w:val="005822FF"/>
    <w:rsid w:val="005841F8"/>
    <w:rsid w:val="00584522"/>
    <w:rsid w:val="00585058"/>
    <w:rsid w:val="00587316"/>
    <w:rsid w:val="00593350"/>
    <w:rsid w:val="005945A0"/>
    <w:rsid w:val="00596A23"/>
    <w:rsid w:val="00596CE6"/>
    <w:rsid w:val="005A09F5"/>
    <w:rsid w:val="005A2582"/>
    <w:rsid w:val="005A3C64"/>
    <w:rsid w:val="005A458F"/>
    <w:rsid w:val="005A4CC0"/>
    <w:rsid w:val="005A6A67"/>
    <w:rsid w:val="005A7AA5"/>
    <w:rsid w:val="005A7E15"/>
    <w:rsid w:val="005B0DD4"/>
    <w:rsid w:val="005B14B4"/>
    <w:rsid w:val="005B3DB3"/>
    <w:rsid w:val="005B603D"/>
    <w:rsid w:val="005B67D0"/>
    <w:rsid w:val="005C5A77"/>
    <w:rsid w:val="005C6A79"/>
    <w:rsid w:val="005C744A"/>
    <w:rsid w:val="005C7FFA"/>
    <w:rsid w:val="005D28CF"/>
    <w:rsid w:val="005D32C5"/>
    <w:rsid w:val="005D3C62"/>
    <w:rsid w:val="005D3FDA"/>
    <w:rsid w:val="005D653F"/>
    <w:rsid w:val="005E1220"/>
    <w:rsid w:val="005E123A"/>
    <w:rsid w:val="005E39BA"/>
    <w:rsid w:val="005E3AE0"/>
    <w:rsid w:val="005E6930"/>
    <w:rsid w:val="005E6D70"/>
    <w:rsid w:val="005E6E0B"/>
    <w:rsid w:val="005E6FDA"/>
    <w:rsid w:val="005E7B4F"/>
    <w:rsid w:val="005F0F7A"/>
    <w:rsid w:val="005F11A4"/>
    <w:rsid w:val="005F2B0F"/>
    <w:rsid w:val="005F5113"/>
    <w:rsid w:val="005F5465"/>
    <w:rsid w:val="006001EE"/>
    <w:rsid w:val="00602D81"/>
    <w:rsid w:val="00602E0F"/>
    <w:rsid w:val="006038EC"/>
    <w:rsid w:val="00605006"/>
    <w:rsid w:val="006075D8"/>
    <w:rsid w:val="00610DAE"/>
    <w:rsid w:val="00611FC4"/>
    <w:rsid w:val="006120E3"/>
    <w:rsid w:val="006137CD"/>
    <w:rsid w:val="006176FB"/>
    <w:rsid w:val="00617A47"/>
    <w:rsid w:val="00620103"/>
    <w:rsid w:val="006217AC"/>
    <w:rsid w:val="006243E3"/>
    <w:rsid w:val="0062468B"/>
    <w:rsid w:val="00624B2D"/>
    <w:rsid w:val="00624C0D"/>
    <w:rsid w:val="006263AF"/>
    <w:rsid w:val="00630D78"/>
    <w:rsid w:val="006311D5"/>
    <w:rsid w:val="006320E5"/>
    <w:rsid w:val="00632481"/>
    <w:rsid w:val="006329AF"/>
    <w:rsid w:val="0063366B"/>
    <w:rsid w:val="006366AD"/>
    <w:rsid w:val="00640B26"/>
    <w:rsid w:val="006421FE"/>
    <w:rsid w:val="0064224D"/>
    <w:rsid w:val="006434CB"/>
    <w:rsid w:val="006443F6"/>
    <w:rsid w:val="00644B3A"/>
    <w:rsid w:val="0064526E"/>
    <w:rsid w:val="00646928"/>
    <w:rsid w:val="0065310E"/>
    <w:rsid w:val="006558EF"/>
    <w:rsid w:val="00655E43"/>
    <w:rsid w:val="00655F5D"/>
    <w:rsid w:val="00657185"/>
    <w:rsid w:val="00657893"/>
    <w:rsid w:val="00657A77"/>
    <w:rsid w:val="00657C4D"/>
    <w:rsid w:val="00660067"/>
    <w:rsid w:val="00660131"/>
    <w:rsid w:val="00661147"/>
    <w:rsid w:val="0066264F"/>
    <w:rsid w:val="00662B23"/>
    <w:rsid w:val="00665D76"/>
    <w:rsid w:val="00667E81"/>
    <w:rsid w:val="00667E8D"/>
    <w:rsid w:val="00671B35"/>
    <w:rsid w:val="00672C2F"/>
    <w:rsid w:val="006755A0"/>
    <w:rsid w:val="006816FD"/>
    <w:rsid w:val="00681D65"/>
    <w:rsid w:val="00683558"/>
    <w:rsid w:val="00683604"/>
    <w:rsid w:val="00683739"/>
    <w:rsid w:val="006845EE"/>
    <w:rsid w:val="00684AF0"/>
    <w:rsid w:val="00686A30"/>
    <w:rsid w:val="00686E39"/>
    <w:rsid w:val="0069035D"/>
    <w:rsid w:val="00691D22"/>
    <w:rsid w:val="00692294"/>
    <w:rsid w:val="006933CC"/>
    <w:rsid w:val="006943C8"/>
    <w:rsid w:val="006955D7"/>
    <w:rsid w:val="00696007"/>
    <w:rsid w:val="0069614E"/>
    <w:rsid w:val="006968F9"/>
    <w:rsid w:val="006978DE"/>
    <w:rsid w:val="006A61DB"/>
    <w:rsid w:val="006A78FC"/>
    <w:rsid w:val="006B0E53"/>
    <w:rsid w:val="006B3A11"/>
    <w:rsid w:val="006B5B26"/>
    <w:rsid w:val="006B7AC2"/>
    <w:rsid w:val="006C1CFB"/>
    <w:rsid w:val="006C2743"/>
    <w:rsid w:val="006C2CAC"/>
    <w:rsid w:val="006C3DFB"/>
    <w:rsid w:val="006C42E9"/>
    <w:rsid w:val="006D05E6"/>
    <w:rsid w:val="006D33AE"/>
    <w:rsid w:val="006D6545"/>
    <w:rsid w:val="006D6B56"/>
    <w:rsid w:val="006D7EA3"/>
    <w:rsid w:val="006E344C"/>
    <w:rsid w:val="006E5138"/>
    <w:rsid w:val="006E564B"/>
    <w:rsid w:val="006E58E7"/>
    <w:rsid w:val="006E7DDA"/>
    <w:rsid w:val="006F0060"/>
    <w:rsid w:val="006F1C91"/>
    <w:rsid w:val="006F7DB0"/>
    <w:rsid w:val="00700D2B"/>
    <w:rsid w:val="00702F36"/>
    <w:rsid w:val="00703322"/>
    <w:rsid w:val="00703618"/>
    <w:rsid w:val="00706C56"/>
    <w:rsid w:val="00714665"/>
    <w:rsid w:val="00714E4B"/>
    <w:rsid w:val="007171B4"/>
    <w:rsid w:val="007174D9"/>
    <w:rsid w:val="0071789B"/>
    <w:rsid w:val="00722EA2"/>
    <w:rsid w:val="00723E92"/>
    <w:rsid w:val="007248C4"/>
    <w:rsid w:val="0072632A"/>
    <w:rsid w:val="00731463"/>
    <w:rsid w:val="00731644"/>
    <w:rsid w:val="007328F5"/>
    <w:rsid w:val="00734697"/>
    <w:rsid w:val="007370E0"/>
    <w:rsid w:val="00741A72"/>
    <w:rsid w:val="007436F2"/>
    <w:rsid w:val="00744ADC"/>
    <w:rsid w:val="00746767"/>
    <w:rsid w:val="0074696A"/>
    <w:rsid w:val="00746C84"/>
    <w:rsid w:val="007515E8"/>
    <w:rsid w:val="0075348B"/>
    <w:rsid w:val="0075436C"/>
    <w:rsid w:val="00754F41"/>
    <w:rsid w:val="0075637B"/>
    <w:rsid w:val="00757B02"/>
    <w:rsid w:val="007609CB"/>
    <w:rsid w:val="007634E2"/>
    <w:rsid w:val="00765C6E"/>
    <w:rsid w:val="00766C92"/>
    <w:rsid w:val="00767D58"/>
    <w:rsid w:val="0077022D"/>
    <w:rsid w:val="007704DA"/>
    <w:rsid w:val="00774506"/>
    <w:rsid w:val="00774887"/>
    <w:rsid w:val="00774A4C"/>
    <w:rsid w:val="0077719B"/>
    <w:rsid w:val="00781121"/>
    <w:rsid w:val="00781BED"/>
    <w:rsid w:val="00783DCB"/>
    <w:rsid w:val="0078416D"/>
    <w:rsid w:val="00784F95"/>
    <w:rsid w:val="00785086"/>
    <w:rsid w:val="007910DA"/>
    <w:rsid w:val="0079251A"/>
    <w:rsid w:val="00794392"/>
    <w:rsid w:val="00794C12"/>
    <w:rsid w:val="007A0FE5"/>
    <w:rsid w:val="007A176F"/>
    <w:rsid w:val="007A17E1"/>
    <w:rsid w:val="007A18EC"/>
    <w:rsid w:val="007A263C"/>
    <w:rsid w:val="007A429C"/>
    <w:rsid w:val="007A49B7"/>
    <w:rsid w:val="007A4F26"/>
    <w:rsid w:val="007A589E"/>
    <w:rsid w:val="007A774E"/>
    <w:rsid w:val="007B44D8"/>
    <w:rsid w:val="007B641B"/>
    <w:rsid w:val="007B6BA5"/>
    <w:rsid w:val="007B7C05"/>
    <w:rsid w:val="007C172A"/>
    <w:rsid w:val="007C213E"/>
    <w:rsid w:val="007C3390"/>
    <w:rsid w:val="007C394C"/>
    <w:rsid w:val="007C43C9"/>
    <w:rsid w:val="007C46A5"/>
    <w:rsid w:val="007C4F4B"/>
    <w:rsid w:val="007C5728"/>
    <w:rsid w:val="007C7FD6"/>
    <w:rsid w:val="007D00FC"/>
    <w:rsid w:val="007D1364"/>
    <w:rsid w:val="007D1E89"/>
    <w:rsid w:val="007D26E5"/>
    <w:rsid w:val="007D60F6"/>
    <w:rsid w:val="007D631F"/>
    <w:rsid w:val="007D76A5"/>
    <w:rsid w:val="007E0AFD"/>
    <w:rsid w:val="007E13B4"/>
    <w:rsid w:val="007E4444"/>
    <w:rsid w:val="007E44D5"/>
    <w:rsid w:val="007E464A"/>
    <w:rsid w:val="007E58DD"/>
    <w:rsid w:val="007E5FBA"/>
    <w:rsid w:val="007E6C7F"/>
    <w:rsid w:val="007F023C"/>
    <w:rsid w:val="007F22B3"/>
    <w:rsid w:val="007F4E38"/>
    <w:rsid w:val="007F6611"/>
    <w:rsid w:val="007F6627"/>
    <w:rsid w:val="007F69A6"/>
    <w:rsid w:val="008043BD"/>
    <w:rsid w:val="00804F01"/>
    <w:rsid w:val="008067FF"/>
    <w:rsid w:val="0081072B"/>
    <w:rsid w:val="00813CBC"/>
    <w:rsid w:val="00813F30"/>
    <w:rsid w:val="008153ED"/>
    <w:rsid w:val="008164EF"/>
    <w:rsid w:val="008174E1"/>
    <w:rsid w:val="0082048D"/>
    <w:rsid w:val="0082361D"/>
    <w:rsid w:val="008242D7"/>
    <w:rsid w:val="00825B7E"/>
    <w:rsid w:val="00825FD7"/>
    <w:rsid w:val="00827FB3"/>
    <w:rsid w:val="0083174F"/>
    <w:rsid w:val="00831B62"/>
    <w:rsid w:val="00831F11"/>
    <w:rsid w:val="00832D01"/>
    <w:rsid w:val="008348EF"/>
    <w:rsid w:val="00834BEC"/>
    <w:rsid w:val="00834D24"/>
    <w:rsid w:val="00834E44"/>
    <w:rsid w:val="0084124D"/>
    <w:rsid w:val="008412BF"/>
    <w:rsid w:val="00841EC0"/>
    <w:rsid w:val="00841F19"/>
    <w:rsid w:val="008477F5"/>
    <w:rsid w:val="008521BE"/>
    <w:rsid w:val="00852F93"/>
    <w:rsid w:val="00854118"/>
    <w:rsid w:val="00856973"/>
    <w:rsid w:val="00856ACE"/>
    <w:rsid w:val="00857DE5"/>
    <w:rsid w:val="00861586"/>
    <w:rsid w:val="008627B0"/>
    <w:rsid w:val="00862BF2"/>
    <w:rsid w:val="00862C66"/>
    <w:rsid w:val="008635FA"/>
    <w:rsid w:val="00863ED2"/>
    <w:rsid w:val="00864124"/>
    <w:rsid w:val="008662F8"/>
    <w:rsid w:val="00866910"/>
    <w:rsid w:val="00866E19"/>
    <w:rsid w:val="008739F2"/>
    <w:rsid w:val="0087711E"/>
    <w:rsid w:val="00880A9A"/>
    <w:rsid w:val="00881FE4"/>
    <w:rsid w:val="00882D64"/>
    <w:rsid w:val="00885421"/>
    <w:rsid w:val="0088623D"/>
    <w:rsid w:val="00887A3D"/>
    <w:rsid w:val="0089017C"/>
    <w:rsid w:val="00894A9B"/>
    <w:rsid w:val="008979B1"/>
    <w:rsid w:val="008A30C2"/>
    <w:rsid w:val="008A4932"/>
    <w:rsid w:val="008A5997"/>
    <w:rsid w:val="008A5B1F"/>
    <w:rsid w:val="008A638B"/>
    <w:rsid w:val="008A6553"/>
    <w:rsid w:val="008A6593"/>
    <w:rsid w:val="008A6B25"/>
    <w:rsid w:val="008A6C4F"/>
    <w:rsid w:val="008B2335"/>
    <w:rsid w:val="008B312E"/>
    <w:rsid w:val="008B5F71"/>
    <w:rsid w:val="008B6294"/>
    <w:rsid w:val="008B6D17"/>
    <w:rsid w:val="008C04E2"/>
    <w:rsid w:val="008C4348"/>
    <w:rsid w:val="008C46F0"/>
    <w:rsid w:val="008C6CBF"/>
    <w:rsid w:val="008C75D4"/>
    <w:rsid w:val="008D138E"/>
    <w:rsid w:val="008D5EA7"/>
    <w:rsid w:val="008D60A8"/>
    <w:rsid w:val="008D610A"/>
    <w:rsid w:val="008E3320"/>
    <w:rsid w:val="008E6D73"/>
    <w:rsid w:val="008E7680"/>
    <w:rsid w:val="008E7E40"/>
    <w:rsid w:val="008F1F15"/>
    <w:rsid w:val="008F2D7B"/>
    <w:rsid w:val="008F4DB3"/>
    <w:rsid w:val="008F5B4C"/>
    <w:rsid w:val="008F5C6C"/>
    <w:rsid w:val="008F72F3"/>
    <w:rsid w:val="008F7876"/>
    <w:rsid w:val="00900575"/>
    <w:rsid w:val="00902142"/>
    <w:rsid w:val="009030AE"/>
    <w:rsid w:val="009049C2"/>
    <w:rsid w:val="00905ADA"/>
    <w:rsid w:val="00912EB6"/>
    <w:rsid w:val="00913C84"/>
    <w:rsid w:val="00915D51"/>
    <w:rsid w:val="00916A02"/>
    <w:rsid w:val="009177CC"/>
    <w:rsid w:val="00920395"/>
    <w:rsid w:val="009223CA"/>
    <w:rsid w:val="00924B84"/>
    <w:rsid w:val="00925E7F"/>
    <w:rsid w:val="009272F6"/>
    <w:rsid w:val="00930E18"/>
    <w:rsid w:val="00930EDD"/>
    <w:rsid w:val="00931C14"/>
    <w:rsid w:val="009356D5"/>
    <w:rsid w:val="009369F6"/>
    <w:rsid w:val="0093719A"/>
    <w:rsid w:val="00937509"/>
    <w:rsid w:val="00940F93"/>
    <w:rsid w:val="009412FD"/>
    <w:rsid w:val="00943F5A"/>
    <w:rsid w:val="00944143"/>
    <w:rsid w:val="009442A7"/>
    <w:rsid w:val="00945395"/>
    <w:rsid w:val="00945F6C"/>
    <w:rsid w:val="00946EC8"/>
    <w:rsid w:val="009472D4"/>
    <w:rsid w:val="009519D4"/>
    <w:rsid w:val="00955254"/>
    <w:rsid w:val="0095537A"/>
    <w:rsid w:val="009554B0"/>
    <w:rsid w:val="009559BF"/>
    <w:rsid w:val="00956ECE"/>
    <w:rsid w:val="009576A8"/>
    <w:rsid w:val="00957744"/>
    <w:rsid w:val="009603EF"/>
    <w:rsid w:val="00961987"/>
    <w:rsid w:val="00961B56"/>
    <w:rsid w:val="00963169"/>
    <w:rsid w:val="0096364C"/>
    <w:rsid w:val="00963C89"/>
    <w:rsid w:val="00963ED4"/>
    <w:rsid w:val="009654DE"/>
    <w:rsid w:val="00965A35"/>
    <w:rsid w:val="00967FE8"/>
    <w:rsid w:val="009707E7"/>
    <w:rsid w:val="009719E4"/>
    <w:rsid w:val="00973508"/>
    <w:rsid w:val="009745B2"/>
    <w:rsid w:val="00976D48"/>
    <w:rsid w:val="00977AF6"/>
    <w:rsid w:val="00980C08"/>
    <w:rsid w:val="009824FA"/>
    <w:rsid w:val="00986C9D"/>
    <w:rsid w:val="00987C2D"/>
    <w:rsid w:val="0099013C"/>
    <w:rsid w:val="009907C3"/>
    <w:rsid w:val="009909C6"/>
    <w:rsid w:val="00997714"/>
    <w:rsid w:val="009A28E7"/>
    <w:rsid w:val="009A6360"/>
    <w:rsid w:val="009A7C49"/>
    <w:rsid w:val="009B2A38"/>
    <w:rsid w:val="009B43FF"/>
    <w:rsid w:val="009B49D9"/>
    <w:rsid w:val="009B4A1B"/>
    <w:rsid w:val="009B5940"/>
    <w:rsid w:val="009B5F7C"/>
    <w:rsid w:val="009B74D3"/>
    <w:rsid w:val="009B7CE0"/>
    <w:rsid w:val="009C0EE8"/>
    <w:rsid w:val="009C14AA"/>
    <w:rsid w:val="009C5C85"/>
    <w:rsid w:val="009C668B"/>
    <w:rsid w:val="009C7AD8"/>
    <w:rsid w:val="009D0F99"/>
    <w:rsid w:val="009D5445"/>
    <w:rsid w:val="009D638F"/>
    <w:rsid w:val="009E1684"/>
    <w:rsid w:val="009E2F5D"/>
    <w:rsid w:val="009E7B76"/>
    <w:rsid w:val="009F3E96"/>
    <w:rsid w:val="009F5800"/>
    <w:rsid w:val="009F7888"/>
    <w:rsid w:val="00A01489"/>
    <w:rsid w:val="00A03A36"/>
    <w:rsid w:val="00A03AC0"/>
    <w:rsid w:val="00A03DEB"/>
    <w:rsid w:val="00A04FE2"/>
    <w:rsid w:val="00A07548"/>
    <w:rsid w:val="00A07812"/>
    <w:rsid w:val="00A11C89"/>
    <w:rsid w:val="00A14749"/>
    <w:rsid w:val="00A14F87"/>
    <w:rsid w:val="00A164D4"/>
    <w:rsid w:val="00A17E81"/>
    <w:rsid w:val="00A22811"/>
    <w:rsid w:val="00A22D71"/>
    <w:rsid w:val="00A245C4"/>
    <w:rsid w:val="00A30479"/>
    <w:rsid w:val="00A30A2D"/>
    <w:rsid w:val="00A332AD"/>
    <w:rsid w:val="00A35A21"/>
    <w:rsid w:val="00A375FF"/>
    <w:rsid w:val="00A40C2E"/>
    <w:rsid w:val="00A420AC"/>
    <w:rsid w:val="00A4346A"/>
    <w:rsid w:val="00A46BCB"/>
    <w:rsid w:val="00A46E64"/>
    <w:rsid w:val="00A471B1"/>
    <w:rsid w:val="00A47FF5"/>
    <w:rsid w:val="00A568E3"/>
    <w:rsid w:val="00A60A4B"/>
    <w:rsid w:val="00A610E1"/>
    <w:rsid w:val="00A61CCD"/>
    <w:rsid w:val="00A62C93"/>
    <w:rsid w:val="00A64C9F"/>
    <w:rsid w:val="00A66512"/>
    <w:rsid w:val="00A725BF"/>
    <w:rsid w:val="00A72A0B"/>
    <w:rsid w:val="00A72F22"/>
    <w:rsid w:val="00A739ED"/>
    <w:rsid w:val="00A748A6"/>
    <w:rsid w:val="00A751BD"/>
    <w:rsid w:val="00A752A6"/>
    <w:rsid w:val="00A77461"/>
    <w:rsid w:val="00A776B4"/>
    <w:rsid w:val="00A80B16"/>
    <w:rsid w:val="00A81865"/>
    <w:rsid w:val="00A828E9"/>
    <w:rsid w:val="00A83E0B"/>
    <w:rsid w:val="00A849B4"/>
    <w:rsid w:val="00A85321"/>
    <w:rsid w:val="00A853CA"/>
    <w:rsid w:val="00A868C0"/>
    <w:rsid w:val="00A92A8A"/>
    <w:rsid w:val="00A94361"/>
    <w:rsid w:val="00A94438"/>
    <w:rsid w:val="00A95C36"/>
    <w:rsid w:val="00A95D03"/>
    <w:rsid w:val="00AA0FDA"/>
    <w:rsid w:val="00AA189D"/>
    <w:rsid w:val="00AA4514"/>
    <w:rsid w:val="00AB0730"/>
    <w:rsid w:val="00AB0BCC"/>
    <w:rsid w:val="00AB1D2A"/>
    <w:rsid w:val="00AB278A"/>
    <w:rsid w:val="00AB343B"/>
    <w:rsid w:val="00AB44F0"/>
    <w:rsid w:val="00AB49A7"/>
    <w:rsid w:val="00AB4B08"/>
    <w:rsid w:val="00AB6D84"/>
    <w:rsid w:val="00AB7403"/>
    <w:rsid w:val="00AC02E8"/>
    <w:rsid w:val="00AC1226"/>
    <w:rsid w:val="00AC1552"/>
    <w:rsid w:val="00AC3225"/>
    <w:rsid w:val="00AC3871"/>
    <w:rsid w:val="00AC779D"/>
    <w:rsid w:val="00AC7B74"/>
    <w:rsid w:val="00AC7BC9"/>
    <w:rsid w:val="00AC7FF3"/>
    <w:rsid w:val="00AD3762"/>
    <w:rsid w:val="00AD5537"/>
    <w:rsid w:val="00AE0FF8"/>
    <w:rsid w:val="00AE1155"/>
    <w:rsid w:val="00AE30A4"/>
    <w:rsid w:val="00AE31C1"/>
    <w:rsid w:val="00AE417C"/>
    <w:rsid w:val="00AE4DBD"/>
    <w:rsid w:val="00AE51EA"/>
    <w:rsid w:val="00AE5603"/>
    <w:rsid w:val="00AE700A"/>
    <w:rsid w:val="00AE7A54"/>
    <w:rsid w:val="00AF1EF2"/>
    <w:rsid w:val="00AF20AC"/>
    <w:rsid w:val="00AF30CF"/>
    <w:rsid w:val="00AF5CA2"/>
    <w:rsid w:val="00B02372"/>
    <w:rsid w:val="00B04E4A"/>
    <w:rsid w:val="00B05C24"/>
    <w:rsid w:val="00B06775"/>
    <w:rsid w:val="00B072E5"/>
    <w:rsid w:val="00B0774F"/>
    <w:rsid w:val="00B07E7C"/>
    <w:rsid w:val="00B1180A"/>
    <w:rsid w:val="00B11D2E"/>
    <w:rsid w:val="00B123B9"/>
    <w:rsid w:val="00B14719"/>
    <w:rsid w:val="00B14D2B"/>
    <w:rsid w:val="00B14EC3"/>
    <w:rsid w:val="00B21E0D"/>
    <w:rsid w:val="00B22A33"/>
    <w:rsid w:val="00B23CB9"/>
    <w:rsid w:val="00B23ED5"/>
    <w:rsid w:val="00B27242"/>
    <w:rsid w:val="00B27D92"/>
    <w:rsid w:val="00B30179"/>
    <w:rsid w:val="00B314DD"/>
    <w:rsid w:val="00B35773"/>
    <w:rsid w:val="00B420D3"/>
    <w:rsid w:val="00B446D9"/>
    <w:rsid w:val="00B4487F"/>
    <w:rsid w:val="00B50E02"/>
    <w:rsid w:val="00B53198"/>
    <w:rsid w:val="00B53E4E"/>
    <w:rsid w:val="00B5514E"/>
    <w:rsid w:val="00B55B12"/>
    <w:rsid w:val="00B55C36"/>
    <w:rsid w:val="00B56401"/>
    <w:rsid w:val="00B569C5"/>
    <w:rsid w:val="00B56E9C"/>
    <w:rsid w:val="00B57D86"/>
    <w:rsid w:val="00B57FA6"/>
    <w:rsid w:val="00B60D85"/>
    <w:rsid w:val="00B64B1F"/>
    <w:rsid w:val="00B6553F"/>
    <w:rsid w:val="00B679F1"/>
    <w:rsid w:val="00B714B0"/>
    <w:rsid w:val="00B72693"/>
    <w:rsid w:val="00B726A4"/>
    <w:rsid w:val="00B7440A"/>
    <w:rsid w:val="00B75483"/>
    <w:rsid w:val="00B81E12"/>
    <w:rsid w:val="00B82C2E"/>
    <w:rsid w:val="00B850F7"/>
    <w:rsid w:val="00B854C7"/>
    <w:rsid w:val="00B87B9A"/>
    <w:rsid w:val="00B90BBD"/>
    <w:rsid w:val="00B91730"/>
    <w:rsid w:val="00B926A5"/>
    <w:rsid w:val="00B9281C"/>
    <w:rsid w:val="00B94045"/>
    <w:rsid w:val="00B94E62"/>
    <w:rsid w:val="00B94F8C"/>
    <w:rsid w:val="00B96AFA"/>
    <w:rsid w:val="00B96C0C"/>
    <w:rsid w:val="00B97B0D"/>
    <w:rsid w:val="00BA3EB5"/>
    <w:rsid w:val="00BA487D"/>
    <w:rsid w:val="00BA54A8"/>
    <w:rsid w:val="00BA68D2"/>
    <w:rsid w:val="00BA6D91"/>
    <w:rsid w:val="00BA71E4"/>
    <w:rsid w:val="00BA7D24"/>
    <w:rsid w:val="00BB2EA9"/>
    <w:rsid w:val="00BB471D"/>
    <w:rsid w:val="00BC0041"/>
    <w:rsid w:val="00BC0422"/>
    <w:rsid w:val="00BC231A"/>
    <w:rsid w:val="00BC26C2"/>
    <w:rsid w:val="00BC3C5E"/>
    <w:rsid w:val="00BC3DA3"/>
    <w:rsid w:val="00BC4FF5"/>
    <w:rsid w:val="00BC6166"/>
    <w:rsid w:val="00BC74E9"/>
    <w:rsid w:val="00BD2325"/>
    <w:rsid w:val="00BD242C"/>
    <w:rsid w:val="00BD3D47"/>
    <w:rsid w:val="00BD42C9"/>
    <w:rsid w:val="00BD4754"/>
    <w:rsid w:val="00BD6FF2"/>
    <w:rsid w:val="00BD723C"/>
    <w:rsid w:val="00BE0910"/>
    <w:rsid w:val="00BE0E9D"/>
    <w:rsid w:val="00BE2F8A"/>
    <w:rsid w:val="00BE74EF"/>
    <w:rsid w:val="00BE7BA5"/>
    <w:rsid w:val="00BF1535"/>
    <w:rsid w:val="00BF200D"/>
    <w:rsid w:val="00BF29B8"/>
    <w:rsid w:val="00BF3240"/>
    <w:rsid w:val="00BF34BB"/>
    <w:rsid w:val="00BF42E6"/>
    <w:rsid w:val="00BF4A34"/>
    <w:rsid w:val="00BF4F82"/>
    <w:rsid w:val="00BF569A"/>
    <w:rsid w:val="00BF6339"/>
    <w:rsid w:val="00BF68A8"/>
    <w:rsid w:val="00BF7C22"/>
    <w:rsid w:val="00C01E22"/>
    <w:rsid w:val="00C02C65"/>
    <w:rsid w:val="00C03E6B"/>
    <w:rsid w:val="00C048D4"/>
    <w:rsid w:val="00C05F5B"/>
    <w:rsid w:val="00C11DE6"/>
    <w:rsid w:val="00C11F90"/>
    <w:rsid w:val="00C15A9A"/>
    <w:rsid w:val="00C162DC"/>
    <w:rsid w:val="00C25EB3"/>
    <w:rsid w:val="00C263EE"/>
    <w:rsid w:val="00C30D4F"/>
    <w:rsid w:val="00C318CA"/>
    <w:rsid w:val="00C3206E"/>
    <w:rsid w:val="00C345DF"/>
    <w:rsid w:val="00C36846"/>
    <w:rsid w:val="00C40691"/>
    <w:rsid w:val="00C41749"/>
    <w:rsid w:val="00C42ACD"/>
    <w:rsid w:val="00C42CCA"/>
    <w:rsid w:val="00C434AC"/>
    <w:rsid w:val="00C451B6"/>
    <w:rsid w:val="00C463DD"/>
    <w:rsid w:val="00C4724C"/>
    <w:rsid w:val="00C475AB"/>
    <w:rsid w:val="00C52D64"/>
    <w:rsid w:val="00C53045"/>
    <w:rsid w:val="00C53471"/>
    <w:rsid w:val="00C53A77"/>
    <w:rsid w:val="00C543A4"/>
    <w:rsid w:val="00C54BC6"/>
    <w:rsid w:val="00C617DA"/>
    <w:rsid w:val="00C629A0"/>
    <w:rsid w:val="00C62B7E"/>
    <w:rsid w:val="00C658C6"/>
    <w:rsid w:val="00C666DC"/>
    <w:rsid w:val="00C70596"/>
    <w:rsid w:val="00C745C3"/>
    <w:rsid w:val="00C74B0B"/>
    <w:rsid w:val="00C75FB9"/>
    <w:rsid w:val="00C776A4"/>
    <w:rsid w:val="00C80BC6"/>
    <w:rsid w:val="00C81E49"/>
    <w:rsid w:val="00C84E86"/>
    <w:rsid w:val="00C85EB5"/>
    <w:rsid w:val="00C867DF"/>
    <w:rsid w:val="00C877BA"/>
    <w:rsid w:val="00C87EB3"/>
    <w:rsid w:val="00C929E5"/>
    <w:rsid w:val="00C949B5"/>
    <w:rsid w:val="00C94D0A"/>
    <w:rsid w:val="00C977C0"/>
    <w:rsid w:val="00CA251D"/>
    <w:rsid w:val="00CA3CAF"/>
    <w:rsid w:val="00CA4737"/>
    <w:rsid w:val="00CA54C5"/>
    <w:rsid w:val="00CA590D"/>
    <w:rsid w:val="00CA5CCF"/>
    <w:rsid w:val="00CB080D"/>
    <w:rsid w:val="00CB4F00"/>
    <w:rsid w:val="00CB6E28"/>
    <w:rsid w:val="00CB74C1"/>
    <w:rsid w:val="00CB7658"/>
    <w:rsid w:val="00CB7736"/>
    <w:rsid w:val="00CC00AC"/>
    <w:rsid w:val="00CC0450"/>
    <w:rsid w:val="00CC13F5"/>
    <w:rsid w:val="00CC1C94"/>
    <w:rsid w:val="00CC1D70"/>
    <w:rsid w:val="00CC1D96"/>
    <w:rsid w:val="00CC24D2"/>
    <w:rsid w:val="00CC35AA"/>
    <w:rsid w:val="00CC4812"/>
    <w:rsid w:val="00CC488D"/>
    <w:rsid w:val="00CC4923"/>
    <w:rsid w:val="00CD0777"/>
    <w:rsid w:val="00CD32F8"/>
    <w:rsid w:val="00CD3D3D"/>
    <w:rsid w:val="00CD6E8F"/>
    <w:rsid w:val="00CD71A8"/>
    <w:rsid w:val="00CD7AFB"/>
    <w:rsid w:val="00CE120D"/>
    <w:rsid w:val="00CE3BCA"/>
    <w:rsid w:val="00CE4A8F"/>
    <w:rsid w:val="00CE4C15"/>
    <w:rsid w:val="00CE4D57"/>
    <w:rsid w:val="00CE4E9D"/>
    <w:rsid w:val="00CE5815"/>
    <w:rsid w:val="00CE694E"/>
    <w:rsid w:val="00CE7E68"/>
    <w:rsid w:val="00CF0012"/>
    <w:rsid w:val="00CF0E78"/>
    <w:rsid w:val="00CF112E"/>
    <w:rsid w:val="00CF2070"/>
    <w:rsid w:val="00CF57B1"/>
    <w:rsid w:val="00D010CC"/>
    <w:rsid w:val="00D0178A"/>
    <w:rsid w:val="00D020D3"/>
    <w:rsid w:val="00D0296B"/>
    <w:rsid w:val="00D02C79"/>
    <w:rsid w:val="00D03EA3"/>
    <w:rsid w:val="00D04539"/>
    <w:rsid w:val="00D0488E"/>
    <w:rsid w:val="00D07CD2"/>
    <w:rsid w:val="00D107F1"/>
    <w:rsid w:val="00D1210D"/>
    <w:rsid w:val="00D123BB"/>
    <w:rsid w:val="00D1660B"/>
    <w:rsid w:val="00D1691A"/>
    <w:rsid w:val="00D17517"/>
    <w:rsid w:val="00D20096"/>
    <w:rsid w:val="00D2031B"/>
    <w:rsid w:val="00D218CB"/>
    <w:rsid w:val="00D22450"/>
    <w:rsid w:val="00D232DA"/>
    <w:rsid w:val="00D237BB"/>
    <w:rsid w:val="00D25FE2"/>
    <w:rsid w:val="00D26056"/>
    <w:rsid w:val="00D2749B"/>
    <w:rsid w:val="00D27EF5"/>
    <w:rsid w:val="00D3106C"/>
    <w:rsid w:val="00D332F1"/>
    <w:rsid w:val="00D34C51"/>
    <w:rsid w:val="00D36450"/>
    <w:rsid w:val="00D36622"/>
    <w:rsid w:val="00D378B2"/>
    <w:rsid w:val="00D37E16"/>
    <w:rsid w:val="00D40D22"/>
    <w:rsid w:val="00D418BF"/>
    <w:rsid w:val="00D43252"/>
    <w:rsid w:val="00D4349A"/>
    <w:rsid w:val="00D458A9"/>
    <w:rsid w:val="00D45FC6"/>
    <w:rsid w:val="00D51E7F"/>
    <w:rsid w:val="00D521BE"/>
    <w:rsid w:val="00D53B48"/>
    <w:rsid w:val="00D54CB2"/>
    <w:rsid w:val="00D55C47"/>
    <w:rsid w:val="00D57047"/>
    <w:rsid w:val="00D61F12"/>
    <w:rsid w:val="00D62595"/>
    <w:rsid w:val="00D63F49"/>
    <w:rsid w:val="00D65BC2"/>
    <w:rsid w:val="00D669DA"/>
    <w:rsid w:val="00D66D7F"/>
    <w:rsid w:val="00D6770D"/>
    <w:rsid w:val="00D67C65"/>
    <w:rsid w:val="00D67FDA"/>
    <w:rsid w:val="00D7266E"/>
    <w:rsid w:val="00D73685"/>
    <w:rsid w:val="00D7628A"/>
    <w:rsid w:val="00D7767E"/>
    <w:rsid w:val="00D83368"/>
    <w:rsid w:val="00D853F8"/>
    <w:rsid w:val="00D8592D"/>
    <w:rsid w:val="00D86B69"/>
    <w:rsid w:val="00D873AB"/>
    <w:rsid w:val="00D877F6"/>
    <w:rsid w:val="00D87808"/>
    <w:rsid w:val="00D87B16"/>
    <w:rsid w:val="00D908C6"/>
    <w:rsid w:val="00D91096"/>
    <w:rsid w:val="00D95250"/>
    <w:rsid w:val="00D978C6"/>
    <w:rsid w:val="00DA0274"/>
    <w:rsid w:val="00DA0C9C"/>
    <w:rsid w:val="00DA3C1C"/>
    <w:rsid w:val="00DB0C1B"/>
    <w:rsid w:val="00DB3046"/>
    <w:rsid w:val="00DB41D9"/>
    <w:rsid w:val="00DB58BD"/>
    <w:rsid w:val="00DB63D2"/>
    <w:rsid w:val="00DB6CC6"/>
    <w:rsid w:val="00DB7155"/>
    <w:rsid w:val="00DC0C86"/>
    <w:rsid w:val="00DC2B33"/>
    <w:rsid w:val="00DC45C9"/>
    <w:rsid w:val="00DC465D"/>
    <w:rsid w:val="00DC6640"/>
    <w:rsid w:val="00DC6FD1"/>
    <w:rsid w:val="00DC703A"/>
    <w:rsid w:val="00DD02E1"/>
    <w:rsid w:val="00DD163C"/>
    <w:rsid w:val="00DD1FC8"/>
    <w:rsid w:val="00DD20D7"/>
    <w:rsid w:val="00DD308A"/>
    <w:rsid w:val="00DD36F1"/>
    <w:rsid w:val="00DD3B4D"/>
    <w:rsid w:val="00DD4CF0"/>
    <w:rsid w:val="00DD501B"/>
    <w:rsid w:val="00DD5699"/>
    <w:rsid w:val="00DE021F"/>
    <w:rsid w:val="00DE0E88"/>
    <w:rsid w:val="00DE3C4E"/>
    <w:rsid w:val="00DE3F29"/>
    <w:rsid w:val="00DE428D"/>
    <w:rsid w:val="00DE67F2"/>
    <w:rsid w:val="00DF07DF"/>
    <w:rsid w:val="00DF2375"/>
    <w:rsid w:val="00DF5288"/>
    <w:rsid w:val="00E00807"/>
    <w:rsid w:val="00E045F1"/>
    <w:rsid w:val="00E073B1"/>
    <w:rsid w:val="00E1072F"/>
    <w:rsid w:val="00E109FB"/>
    <w:rsid w:val="00E10D56"/>
    <w:rsid w:val="00E132DC"/>
    <w:rsid w:val="00E139B1"/>
    <w:rsid w:val="00E1422D"/>
    <w:rsid w:val="00E14B17"/>
    <w:rsid w:val="00E15BBB"/>
    <w:rsid w:val="00E16C15"/>
    <w:rsid w:val="00E21FD5"/>
    <w:rsid w:val="00E2255B"/>
    <w:rsid w:val="00E23BF3"/>
    <w:rsid w:val="00E30177"/>
    <w:rsid w:val="00E339CF"/>
    <w:rsid w:val="00E34416"/>
    <w:rsid w:val="00E3618A"/>
    <w:rsid w:val="00E37729"/>
    <w:rsid w:val="00E402F5"/>
    <w:rsid w:val="00E40ADE"/>
    <w:rsid w:val="00E42688"/>
    <w:rsid w:val="00E451CF"/>
    <w:rsid w:val="00E460D9"/>
    <w:rsid w:val="00E47C8D"/>
    <w:rsid w:val="00E508DE"/>
    <w:rsid w:val="00E544A7"/>
    <w:rsid w:val="00E5506E"/>
    <w:rsid w:val="00E55F89"/>
    <w:rsid w:val="00E61777"/>
    <w:rsid w:val="00E63389"/>
    <w:rsid w:val="00E63693"/>
    <w:rsid w:val="00E66A6C"/>
    <w:rsid w:val="00E66C8C"/>
    <w:rsid w:val="00E701EE"/>
    <w:rsid w:val="00E707D7"/>
    <w:rsid w:val="00E71BC8"/>
    <w:rsid w:val="00E7260F"/>
    <w:rsid w:val="00E72856"/>
    <w:rsid w:val="00E72EB2"/>
    <w:rsid w:val="00E72EC3"/>
    <w:rsid w:val="00E730EF"/>
    <w:rsid w:val="00E73C70"/>
    <w:rsid w:val="00E7406A"/>
    <w:rsid w:val="00E75025"/>
    <w:rsid w:val="00E751F3"/>
    <w:rsid w:val="00E759B3"/>
    <w:rsid w:val="00E760CC"/>
    <w:rsid w:val="00E77303"/>
    <w:rsid w:val="00E841FC"/>
    <w:rsid w:val="00E84278"/>
    <w:rsid w:val="00E843B3"/>
    <w:rsid w:val="00E843D5"/>
    <w:rsid w:val="00E8566A"/>
    <w:rsid w:val="00E868E5"/>
    <w:rsid w:val="00E9257C"/>
    <w:rsid w:val="00E92993"/>
    <w:rsid w:val="00E94726"/>
    <w:rsid w:val="00E96630"/>
    <w:rsid w:val="00E96DD0"/>
    <w:rsid w:val="00EA0261"/>
    <w:rsid w:val="00EB305E"/>
    <w:rsid w:val="00EB3940"/>
    <w:rsid w:val="00EC02E2"/>
    <w:rsid w:val="00EC0945"/>
    <w:rsid w:val="00EC23AE"/>
    <w:rsid w:val="00EC47D3"/>
    <w:rsid w:val="00EC5EDC"/>
    <w:rsid w:val="00ED32A3"/>
    <w:rsid w:val="00ED35FB"/>
    <w:rsid w:val="00ED3E7E"/>
    <w:rsid w:val="00ED412D"/>
    <w:rsid w:val="00ED593D"/>
    <w:rsid w:val="00ED616A"/>
    <w:rsid w:val="00ED6BC7"/>
    <w:rsid w:val="00ED7A2A"/>
    <w:rsid w:val="00EE01F4"/>
    <w:rsid w:val="00EE4C2F"/>
    <w:rsid w:val="00EE7087"/>
    <w:rsid w:val="00EE7356"/>
    <w:rsid w:val="00EE7A77"/>
    <w:rsid w:val="00EF1D7F"/>
    <w:rsid w:val="00EF7DC5"/>
    <w:rsid w:val="00F00945"/>
    <w:rsid w:val="00F00BC7"/>
    <w:rsid w:val="00F0135C"/>
    <w:rsid w:val="00F0193F"/>
    <w:rsid w:val="00F05473"/>
    <w:rsid w:val="00F05C8A"/>
    <w:rsid w:val="00F06EF3"/>
    <w:rsid w:val="00F102C5"/>
    <w:rsid w:val="00F1384C"/>
    <w:rsid w:val="00F13D37"/>
    <w:rsid w:val="00F1431E"/>
    <w:rsid w:val="00F15547"/>
    <w:rsid w:val="00F16546"/>
    <w:rsid w:val="00F177E5"/>
    <w:rsid w:val="00F20A96"/>
    <w:rsid w:val="00F21FCB"/>
    <w:rsid w:val="00F23D06"/>
    <w:rsid w:val="00F26360"/>
    <w:rsid w:val="00F26A06"/>
    <w:rsid w:val="00F26A08"/>
    <w:rsid w:val="00F301A4"/>
    <w:rsid w:val="00F31DD5"/>
    <w:rsid w:val="00F3312A"/>
    <w:rsid w:val="00F33132"/>
    <w:rsid w:val="00F333F6"/>
    <w:rsid w:val="00F34583"/>
    <w:rsid w:val="00F34EAF"/>
    <w:rsid w:val="00F34F4E"/>
    <w:rsid w:val="00F3555A"/>
    <w:rsid w:val="00F35AF1"/>
    <w:rsid w:val="00F3780F"/>
    <w:rsid w:val="00F41F04"/>
    <w:rsid w:val="00F42C76"/>
    <w:rsid w:val="00F446CC"/>
    <w:rsid w:val="00F44CA7"/>
    <w:rsid w:val="00F4752E"/>
    <w:rsid w:val="00F47A90"/>
    <w:rsid w:val="00F47F4B"/>
    <w:rsid w:val="00F504DF"/>
    <w:rsid w:val="00F5309C"/>
    <w:rsid w:val="00F5379C"/>
    <w:rsid w:val="00F54C96"/>
    <w:rsid w:val="00F55808"/>
    <w:rsid w:val="00F55A20"/>
    <w:rsid w:val="00F573F9"/>
    <w:rsid w:val="00F63E1A"/>
    <w:rsid w:val="00F64F1F"/>
    <w:rsid w:val="00F6513F"/>
    <w:rsid w:val="00F678C1"/>
    <w:rsid w:val="00F70015"/>
    <w:rsid w:val="00F70EF9"/>
    <w:rsid w:val="00F72EF2"/>
    <w:rsid w:val="00F739AF"/>
    <w:rsid w:val="00F73BCF"/>
    <w:rsid w:val="00F81C71"/>
    <w:rsid w:val="00F828C3"/>
    <w:rsid w:val="00F87884"/>
    <w:rsid w:val="00F920C2"/>
    <w:rsid w:val="00F92400"/>
    <w:rsid w:val="00F93E9D"/>
    <w:rsid w:val="00F95246"/>
    <w:rsid w:val="00FA18EA"/>
    <w:rsid w:val="00FA271C"/>
    <w:rsid w:val="00FA4DA1"/>
    <w:rsid w:val="00FA735A"/>
    <w:rsid w:val="00FB4249"/>
    <w:rsid w:val="00FB6D17"/>
    <w:rsid w:val="00FB714B"/>
    <w:rsid w:val="00FB7C0A"/>
    <w:rsid w:val="00FB7DB1"/>
    <w:rsid w:val="00FC066B"/>
    <w:rsid w:val="00FC142A"/>
    <w:rsid w:val="00FC1854"/>
    <w:rsid w:val="00FC3369"/>
    <w:rsid w:val="00FC68B7"/>
    <w:rsid w:val="00FC72F5"/>
    <w:rsid w:val="00FD0046"/>
    <w:rsid w:val="00FD23C6"/>
    <w:rsid w:val="00FD2F8B"/>
    <w:rsid w:val="00FD3181"/>
    <w:rsid w:val="00FD6396"/>
    <w:rsid w:val="00FD7334"/>
    <w:rsid w:val="00FD75AC"/>
    <w:rsid w:val="00FE0F30"/>
    <w:rsid w:val="00FE1391"/>
    <w:rsid w:val="00FE1874"/>
    <w:rsid w:val="00FE19E0"/>
    <w:rsid w:val="00FE2083"/>
    <w:rsid w:val="00FE346F"/>
    <w:rsid w:val="00FE382C"/>
    <w:rsid w:val="00FE41CF"/>
    <w:rsid w:val="00FE5D72"/>
    <w:rsid w:val="00FE654F"/>
    <w:rsid w:val="00FE7489"/>
    <w:rsid w:val="00FF01F9"/>
    <w:rsid w:val="00FF03AF"/>
    <w:rsid w:val="00FF0442"/>
    <w:rsid w:val="00FF0684"/>
    <w:rsid w:val="00FF0B53"/>
    <w:rsid w:val="00FF1F7D"/>
    <w:rsid w:val="00FF6D02"/>
    <w:rsid w:val="00FF7AE3"/>
    <w:rsid w:val="00FF7B07"/>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uiPriority="10" w:qFormat="1"/>
    <w:lsdException w:name="Body Text" w:uiPriority="99"/>
    <w:lsdException w:name="Subtitle" w:qFormat="1"/>
    <w:lsdException w:name="Body Text 2"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fr-FR"/>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link w:val="Heading2Char"/>
    <w:uiPriority w:val="9"/>
    <w:qFormat/>
    <w:rsid w:val="00523650"/>
    <w:pPr>
      <w:spacing w:line="240" w:lineRule="auto"/>
      <w:outlineLvl w:val="1"/>
    </w:pPr>
    <w:rPr>
      <w:lang w:val="x-none"/>
    </w:rPr>
  </w:style>
  <w:style w:type="paragraph" w:styleId="Heading3">
    <w:name w:val="heading 3"/>
    <w:basedOn w:val="Normal"/>
    <w:next w:val="Normal"/>
    <w:link w:val="Heading3Char"/>
    <w:qFormat/>
    <w:rsid w:val="00523650"/>
    <w:pPr>
      <w:spacing w:line="240" w:lineRule="auto"/>
      <w:outlineLvl w:val="2"/>
    </w:pPr>
    <w:rPr>
      <w:lang w:val="x-none"/>
    </w:rPr>
  </w:style>
  <w:style w:type="paragraph" w:styleId="Heading4">
    <w:name w:val="heading 4"/>
    <w:basedOn w:val="Normal"/>
    <w:next w:val="Normal"/>
    <w:link w:val="Heading4Char"/>
    <w:qFormat/>
    <w:rsid w:val="00523650"/>
    <w:pPr>
      <w:spacing w:line="240" w:lineRule="auto"/>
      <w:outlineLvl w:val="3"/>
    </w:pPr>
    <w:rPr>
      <w:lang w:val="x-none"/>
    </w:r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link w:val="Heading6Char"/>
    <w:uiPriority w:val="9"/>
    <w:qFormat/>
    <w:rsid w:val="00523650"/>
    <w:pPr>
      <w:spacing w:line="240" w:lineRule="auto"/>
      <w:outlineLvl w:val="5"/>
    </w:pPr>
    <w:rPr>
      <w:lang w:val="x-none"/>
    </w:r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23650"/>
    <w:pPr>
      <w:spacing w:after="120"/>
      <w:ind w:left="1134" w:right="1134"/>
      <w:jc w:val="both"/>
    </w:pPr>
  </w:style>
  <w:style w:type="character" w:customStyle="1" w:styleId="SingleTxtGCar">
    <w:name w:val="_ Single Txt_G Car"/>
    <w:link w:val="SingleTxtG"/>
    <w:rsid w:val="003D541C"/>
    <w:rPr>
      <w:lang w:val="fr-FR" w:eastAsia="en-US" w:bidi="ar-SA"/>
    </w:rPr>
  </w:style>
  <w:style w:type="character" w:customStyle="1" w:styleId="Heading2Char">
    <w:name w:val="Heading 2 Char"/>
    <w:link w:val="Heading2"/>
    <w:uiPriority w:val="9"/>
    <w:rsid w:val="00C776A4"/>
    <w:rPr>
      <w:lang w:eastAsia="en-US"/>
    </w:rPr>
  </w:style>
  <w:style w:type="character" w:customStyle="1" w:styleId="Heading3Char">
    <w:name w:val="Heading 3 Char"/>
    <w:link w:val="Heading3"/>
    <w:rsid w:val="00C776A4"/>
    <w:rPr>
      <w:lang w:eastAsia="en-US"/>
    </w:rPr>
  </w:style>
  <w:style w:type="character" w:customStyle="1" w:styleId="Heading4Char">
    <w:name w:val="Heading 4 Char"/>
    <w:link w:val="Heading4"/>
    <w:rsid w:val="00C776A4"/>
    <w:rPr>
      <w:lang w:eastAsia="en-US"/>
    </w:rPr>
  </w:style>
  <w:style w:type="character" w:customStyle="1" w:styleId="Heading6Char">
    <w:name w:val="Heading 6 Char"/>
    <w:link w:val="Heading6"/>
    <w:uiPriority w:val="9"/>
    <w:rsid w:val="00C776A4"/>
    <w:rPr>
      <w:lang w:eastAsia="en-US"/>
    </w:r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8477F5"/>
    <w:rPr>
      <w:rFonts w:ascii="Times New Roman" w:hAnsi="Times New Roman"/>
      <w:sz w:val="18"/>
      <w:vertAlign w:val="superscript"/>
    </w:rPr>
  </w:style>
  <w:style w:type="character" w:styleId="EndnoteReference">
    <w:name w:val="endnote reference"/>
    <w:aliases w:val="1_G"/>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ource">
    <w:name w:val="Source"/>
    <w:basedOn w:val="SingleTxtG"/>
    <w:qFormat/>
    <w:rsid w:val="008477F5"/>
    <w:pPr>
      <w:spacing w:before="120" w:after="240" w:line="220" w:lineRule="exact"/>
      <w:ind w:firstLine="170"/>
      <w:jc w:val="left"/>
    </w:pPr>
    <w:rPr>
      <w:sz w:val="18"/>
      <w:szCs w:val="18"/>
      <w:lang w:val="en-GB" w:eastAsia="fr-FR"/>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9272F6"/>
    <w:pPr>
      <w:widowControl w:val="0"/>
      <w:tabs>
        <w:tab w:val="right" w:pos="1020"/>
      </w:tabs>
      <w:spacing w:line="220" w:lineRule="exact"/>
      <w:ind w:left="1134" w:right="1134" w:hanging="1134"/>
    </w:pPr>
    <w:rPr>
      <w:sz w:val="18"/>
      <w:szCs w:val="18"/>
      <w:lang w:val="x-none"/>
    </w:rPr>
  </w:style>
  <w:style w:type="character" w:customStyle="1" w:styleId="FootnoteTextChar">
    <w:name w:val="Footnote Text Char"/>
    <w:aliases w:val="5_G Char"/>
    <w:link w:val="FootnoteText"/>
    <w:locked/>
    <w:rsid w:val="009272F6"/>
    <w:rPr>
      <w:sz w:val="18"/>
      <w:szCs w:val="18"/>
      <w:lang w:val="x-none" w:eastAsia="en-US"/>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link w:val="FooterChar"/>
    <w:rsid w:val="00523650"/>
    <w:pPr>
      <w:spacing w:line="240" w:lineRule="auto"/>
    </w:pPr>
    <w:rPr>
      <w:sz w:val="16"/>
      <w:lang w:val="x-none"/>
    </w:rPr>
  </w:style>
  <w:style w:type="character" w:customStyle="1" w:styleId="FooterChar">
    <w:name w:val="Footer Char"/>
    <w:aliases w:val="3_G Char"/>
    <w:link w:val="Footer"/>
    <w:rsid w:val="00C776A4"/>
    <w:rPr>
      <w:sz w:val="16"/>
      <w:lang w:eastAsia="en-US"/>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styleId="Closing">
    <w:name w:val="Closing"/>
    <w:basedOn w:val="Normal"/>
    <w:link w:val="ClosingChar"/>
    <w:rsid w:val="00C776A4"/>
    <w:pPr>
      <w:keepNext/>
      <w:suppressAutoHyphens w:val="0"/>
      <w:spacing w:line="220" w:lineRule="atLeast"/>
    </w:pPr>
    <w:rPr>
      <w:rFonts w:ascii="Arial" w:hAnsi="Arial"/>
      <w:spacing w:val="-5"/>
      <w:sz w:val="22"/>
      <w:lang w:val="en-US"/>
    </w:rPr>
  </w:style>
  <w:style w:type="character" w:customStyle="1" w:styleId="ClosingChar">
    <w:name w:val="Closing Char"/>
    <w:link w:val="Closing"/>
    <w:rsid w:val="00C776A4"/>
    <w:rPr>
      <w:rFonts w:ascii="Arial" w:hAnsi="Arial"/>
      <w:spacing w:val="-5"/>
      <w:sz w:val="22"/>
      <w:lang w:val="en-US" w:eastAsia="en-US"/>
    </w:rPr>
  </w:style>
  <w:style w:type="paragraph" w:styleId="CommentSubject">
    <w:name w:val="annotation subject"/>
    <w:basedOn w:val="Normal"/>
    <w:semiHidden/>
    <w:rsid w:val="008477F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pisi.net/DocumnetWebClient/ingpro.webclient.Main/FileContentServlet/propis/0104cc/10404_04.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pisi.net/DocumnetWebClient/ingpro.webclient.Main/FileContentServlet/propis/0104cc/10404_07.ht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Template>
  <TotalTime>31</TotalTime>
  <Pages>1</Pages>
  <Words>34192</Words>
  <Characters>194896</Characters>
  <Application>Microsoft Office Word</Application>
  <DocSecurity>4</DocSecurity>
  <Lines>1624</Lines>
  <Paragraphs>457</Paragraphs>
  <ScaleCrop>false</ScaleCrop>
  <HeadingPairs>
    <vt:vector size="2" baseType="variant">
      <vt:variant>
        <vt:lpstr>Titre</vt:lpstr>
      </vt:variant>
      <vt:variant>
        <vt:i4>1</vt:i4>
      </vt:variant>
    </vt:vector>
  </HeadingPairs>
  <TitlesOfParts>
    <vt:vector size="1" baseType="lpstr">
      <vt:lpstr>United Nations</vt:lpstr>
    </vt:vector>
  </TitlesOfParts>
  <Company>CSD</Company>
  <LinksUpToDate>false</LinksUpToDate>
  <CharactersWithSpaces>228631</CharactersWithSpaces>
  <SharedDoc>false</SharedDoc>
  <HLinks>
    <vt:vector size="12" baseType="variant">
      <vt:variant>
        <vt:i4>4784191</vt:i4>
      </vt:variant>
      <vt:variant>
        <vt:i4>3</vt:i4>
      </vt:variant>
      <vt:variant>
        <vt:i4>0</vt:i4>
      </vt:variant>
      <vt:variant>
        <vt:i4>5</vt:i4>
      </vt:variant>
      <vt:variant>
        <vt:lpwstr>http://www.propisi.net/DocumnetWebClient/ingpro.webclient.Main/FileContentServlet/propis/0104cc/10404_07.htm</vt:lpwstr>
      </vt:variant>
      <vt:variant>
        <vt:lpwstr>zk76/06</vt:lpwstr>
      </vt:variant>
      <vt:variant>
        <vt:i4>5111866</vt:i4>
      </vt:variant>
      <vt:variant>
        <vt:i4>0</vt:i4>
      </vt:variant>
      <vt:variant>
        <vt:i4>0</vt:i4>
      </vt:variant>
      <vt:variant>
        <vt:i4>5</vt:i4>
      </vt:variant>
      <vt:variant>
        <vt:lpwstr>http://www.propisi.net/DocumnetWebClient/ingpro.webclient.Main/FileContentServlet/propis/0104cc/10404_04.htm</vt:lpwstr>
      </vt:variant>
      <vt:variant>
        <vt:lpwstr>ZK22/04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Christine Fanelli</dc:creator>
  <cp:keywords/>
  <cp:lastModifiedBy>DCM</cp:lastModifiedBy>
  <cp:revision>15</cp:revision>
  <cp:lastPrinted>2013-09-27T10:18:00Z</cp:lastPrinted>
  <dcterms:created xsi:type="dcterms:W3CDTF">2013-09-27T09:45:00Z</dcterms:created>
  <dcterms:modified xsi:type="dcterms:W3CDTF">2013-09-27T10:22:00Z</dcterms:modified>
</cp:coreProperties>
</file>