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B56E9C" w:rsidRPr="00E4728E" w:rsidTr="00E4728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D616A" w:rsidRDefault="00B56E9C" w:rsidP="00E4728E">
            <w:pPr>
              <w:pStyle w:val="SingleTxtG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4728E" w:rsidRDefault="00B56E9C" w:rsidP="00E4728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4728E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4728E" w:rsidRDefault="00317454" w:rsidP="00BC70F2">
            <w:pPr>
              <w:suppressAutoHyphens w:val="0"/>
              <w:spacing w:after="20"/>
              <w:jc w:val="right"/>
              <w:rPr>
                <w:lang w:val="es-BO"/>
              </w:rPr>
            </w:pPr>
            <w:r w:rsidRPr="00E4728E">
              <w:rPr>
                <w:sz w:val="40"/>
                <w:lang w:val="es-BO"/>
              </w:rPr>
              <w:t>CERD</w:t>
            </w:r>
            <w:r w:rsidRPr="00E4728E">
              <w:rPr>
                <w:lang w:val="es-BO"/>
              </w:rPr>
              <w:t>/C/</w:t>
            </w:r>
            <w:r w:rsidR="00BC70F2">
              <w:rPr>
                <w:lang w:val="es-BO"/>
              </w:rPr>
              <w:t>SDN/</w:t>
            </w:r>
            <w:r w:rsidRPr="00E4728E">
              <w:rPr>
                <w:lang w:val="es-BO"/>
              </w:rPr>
              <w:t>Q/</w:t>
            </w:r>
            <w:r w:rsidR="00BC70F2">
              <w:rPr>
                <w:lang w:val="es-BO"/>
              </w:rPr>
              <w:t>12-16</w:t>
            </w:r>
          </w:p>
        </w:tc>
      </w:tr>
      <w:tr w:rsidR="00B56E9C" w:rsidTr="00E4728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B56E9C" w:rsidP="00E4728E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E4728E" w:rsidRDefault="00B56E9C" w:rsidP="00E4728E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E4728E">
              <w:rPr>
                <w:b/>
                <w:sz w:val="34"/>
                <w:szCs w:val="40"/>
              </w:rPr>
              <w:t>International Convention on</w:t>
            </w:r>
            <w:r w:rsidR="00A01489" w:rsidRPr="00E4728E">
              <w:rPr>
                <w:b/>
                <w:sz w:val="34"/>
                <w:szCs w:val="40"/>
              </w:rPr>
              <w:br/>
            </w:r>
            <w:r w:rsidR="00E63389" w:rsidRPr="00E4728E">
              <w:rPr>
                <w:b/>
                <w:sz w:val="34"/>
                <w:szCs w:val="40"/>
              </w:rPr>
              <w:t>the Elimination of A</w:t>
            </w:r>
            <w:r w:rsidRPr="00E4728E">
              <w:rPr>
                <w:b/>
                <w:sz w:val="34"/>
                <w:szCs w:val="40"/>
              </w:rPr>
              <w:t>ll Forms</w:t>
            </w:r>
            <w:r w:rsidR="00A01489" w:rsidRPr="00E4728E">
              <w:rPr>
                <w:b/>
                <w:sz w:val="34"/>
                <w:szCs w:val="40"/>
              </w:rPr>
              <w:br/>
            </w:r>
            <w:r w:rsidRPr="00E4728E">
              <w:rPr>
                <w:b/>
                <w:sz w:val="34"/>
                <w:szCs w:val="40"/>
              </w:rPr>
              <w:t>of Racial Discrimination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17454" w:rsidRPr="00CB5AE4" w:rsidRDefault="00317454" w:rsidP="00E4728E">
            <w:pPr>
              <w:suppressAutoHyphens w:val="0"/>
              <w:spacing w:before="240" w:line="240" w:lineRule="exact"/>
            </w:pPr>
            <w:r w:rsidRPr="00CB5AE4">
              <w:t>Distr.: General</w:t>
            </w:r>
          </w:p>
          <w:p w:rsidR="00317454" w:rsidRPr="00CB5AE4" w:rsidRDefault="00C32D27" w:rsidP="00C32D27">
            <w:pPr>
              <w:suppressAutoHyphens w:val="0"/>
            </w:pPr>
            <w:r>
              <w:t>2</w:t>
            </w:r>
            <w:r w:rsidR="007758A9">
              <w:t xml:space="preserve"> </w:t>
            </w:r>
            <w:r>
              <w:t>March</w:t>
            </w:r>
            <w:r w:rsidR="00BC70F2" w:rsidRPr="00CB5AE4">
              <w:t xml:space="preserve"> 2015</w:t>
            </w:r>
          </w:p>
          <w:p w:rsidR="00317454" w:rsidRDefault="00317454" w:rsidP="00E4728E">
            <w:pPr>
              <w:suppressAutoHyphens w:val="0"/>
            </w:pPr>
          </w:p>
          <w:p w:rsidR="00B56E9C" w:rsidRDefault="00317454" w:rsidP="00BC70F2">
            <w:pPr>
              <w:suppressAutoHyphens w:val="0"/>
            </w:pPr>
            <w:r>
              <w:t xml:space="preserve">Original: </w:t>
            </w:r>
            <w:r w:rsidR="00BC70F2">
              <w:t>English</w:t>
            </w:r>
          </w:p>
          <w:p w:rsidR="00C9712E" w:rsidRDefault="00C9712E" w:rsidP="00BC70F2">
            <w:pPr>
              <w:suppressAutoHyphens w:val="0"/>
            </w:pPr>
            <w:r>
              <w:t>Arabic, English, French and Spanish</w:t>
            </w:r>
            <w:r w:rsidR="00614783">
              <w:t xml:space="preserve"> only</w:t>
            </w:r>
          </w:p>
        </w:tc>
      </w:tr>
    </w:tbl>
    <w:p w:rsidR="0024532E" w:rsidRPr="0024532E" w:rsidRDefault="0024532E" w:rsidP="0024532E">
      <w:pPr>
        <w:spacing w:before="120"/>
        <w:rPr>
          <w:b/>
          <w:sz w:val="24"/>
          <w:szCs w:val="24"/>
        </w:rPr>
      </w:pPr>
      <w:r w:rsidRPr="0024532E">
        <w:rPr>
          <w:b/>
          <w:sz w:val="24"/>
          <w:szCs w:val="24"/>
        </w:rPr>
        <w:t>Committee on the Elimination of Racial Discrimination</w:t>
      </w:r>
    </w:p>
    <w:p w:rsidR="0024532E" w:rsidRPr="00CB5AE4" w:rsidRDefault="00BC70F2" w:rsidP="0024532E">
      <w:pPr>
        <w:rPr>
          <w:b/>
        </w:rPr>
      </w:pPr>
      <w:r w:rsidRPr="00CB5AE4">
        <w:rPr>
          <w:b/>
        </w:rPr>
        <w:t>Eighty-sixth</w:t>
      </w:r>
      <w:r w:rsidR="0024532E" w:rsidRPr="00CB5AE4">
        <w:rPr>
          <w:b/>
        </w:rPr>
        <w:t xml:space="preserve"> session</w:t>
      </w:r>
      <w:r w:rsidR="0024532E" w:rsidRPr="00CB5AE4">
        <w:rPr>
          <w:b/>
        </w:rPr>
        <w:tab/>
      </w:r>
    </w:p>
    <w:p w:rsidR="0024532E" w:rsidRPr="00CB5AE4" w:rsidRDefault="00BC70F2" w:rsidP="00C32D27">
      <w:r w:rsidRPr="00CB5AE4">
        <w:t>27 April–15 May 2015</w:t>
      </w:r>
    </w:p>
    <w:p w:rsidR="0024532E" w:rsidRPr="0024532E" w:rsidRDefault="008A529F" w:rsidP="0024532E">
      <w:r>
        <w:t>Item 4</w:t>
      </w:r>
      <w:r w:rsidR="0024532E" w:rsidRPr="00CB5AE4">
        <w:t xml:space="preserve"> of the provisional</w:t>
      </w:r>
      <w:r w:rsidR="0024532E" w:rsidRPr="0024532E">
        <w:t xml:space="preserve"> agenda</w:t>
      </w:r>
    </w:p>
    <w:p w:rsidR="0024532E" w:rsidRPr="0024532E" w:rsidRDefault="0024532E" w:rsidP="0024532E">
      <w:pPr>
        <w:rPr>
          <w:b/>
        </w:rPr>
      </w:pPr>
      <w:r w:rsidRPr="0024532E">
        <w:rPr>
          <w:b/>
        </w:rPr>
        <w:t xml:space="preserve">Consideration of reports, comments and information </w:t>
      </w:r>
      <w:r w:rsidR="004D6628" w:rsidRPr="0024532E">
        <w:rPr>
          <w:b/>
        </w:rPr>
        <w:t>submitted</w:t>
      </w:r>
      <w:r w:rsidRPr="0024532E">
        <w:rPr>
          <w:b/>
        </w:rPr>
        <w:br/>
        <w:t>by States parties under article 9 of the Convention</w:t>
      </w:r>
    </w:p>
    <w:p w:rsidR="0024532E" w:rsidRPr="0024532E" w:rsidRDefault="0024532E" w:rsidP="0024532E">
      <w:pPr>
        <w:pStyle w:val="HChG"/>
      </w:pPr>
      <w:r w:rsidRPr="0024532E">
        <w:tab/>
      </w:r>
      <w:r w:rsidRPr="0024532E">
        <w:tab/>
        <w:t xml:space="preserve">List of themes in relation to the </w:t>
      </w:r>
      <w:r w:rsidR="00BC70F2">
        <w:t>combined twelfth to sixteenth</w:t>
      </w:r>
      <w:r w:rsidRPr="0024532E">
        <w:t xml:space="preserve"> periodic report</w:t>
      </w:r>
      <w:r w:rsidR="00BC70F2">
        <w:t>s</w:t>
      </w:r>
      <w:r w:rsidRPr="0024532E">
        <w:t xml:space="preserve"> of </w:t>
      </w:r>
      <w:r w:rsidR="000E51C9">
        <w:t xml:space="preserve">the </w:t>
      </w:r>
      <w:r w:rsidR="00BC70F2">
        <w:t>Sudan (CERD/C/SDN/12-16)</w:t>
      </w:r>
    </w:p>
    <w:p w:rsidR="0024532E" w:rsidRPr="0024532E" w:rsidRDefault="0024532E" w:rsidP="0024532E">
      <w:pPr>
        <w:pStyle w:val="H1G"/>
      </w:pPr>
      <w:r w:rsidRPr="0024532E">
        <w:tab/>
      </w:r>
      <w:r w:rsidRPr="0024532E">
        <w:tab/>
        <w:t>Note by the Country Rapporteur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4"/>
      </w:tblGrid>
      <w:tr w:rsidR="0024532E" w:rsidTr="0024532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24532E" w:rsidRDefault="0024532E" w:rsidP="0024532E">
            <w:pPr>
              <w:suppressAutoHyphens w:val="0"/>
              <w:spacing w:line="240" w:lineRule="auto"/>
            </w:pPr>
          </w:p>
        </w:tc>
      </w:tr>
      <w:tr w:rsidR="0024532E" w:rsidTr="002453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24532E" w:rsidRDefault="0024532E" w:rsidP="0024532E">
            <w:pPr>
              <w:spacing w:after="120"/>
              <w:jc w:val="both"/>
            </w:pPr>
            <w:r>
              <w:tab/>
            </w:r>
            <w:r w:rsidR="00944640">
              <w:t xml:space="preserve">The </w:t>
            </w:r>
            <w:r w:rsidRPr="0024532E">
              <w:t>Committee on the Elimination of Racial Discrimination decided at its seventy-sixth session (A/65/18, para. 85) that the Country Rapporteur would send to the State party concerned a short list of themes with a view to guiding and focusing the dialogue between the State party’s delegation and the Committee during the consideration of the State party’s report. This document contains a list of such themes. This is not an exhaustive list; other issues may also be raised in the course of the dialogue. No written replies are required.</w:t>
            </w:r>
          </w:p>
        </w:tc>
      </w:tr>
      <w:tr w:rsidR="0024532E" w:rsidTr="0024532E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24532E" w:rsidRDefault="0024532E" w:rsidP="0024532E">
            <w:pPr>
              <w:suppressAutoHyphens w:val="0"/>
              <w:spacing w:line="240" w:lineRule="auto"/>
            </w:pPr>
          </w:p>
        </w:tc>
      </w:tr>
    </w:tbl>
    <w:p w:rsidR="00192574" w:rsidRPr="00381324" w:rsidRDefault="00C9712E" w:rsidP="00F21F86">
      <w:pPr>
        <w:pStyle w:val="H23G"/>
      </w:pPr>
      <w:r>
        <w:tab/>
        <w:t>1.</w:t>
      </w:r>
      <w:r>
        <w:tab/>
      </w:r>
      <w:r w:rsidR="00192574" w:rsidRPr="00381324">
        <w:t>The Convention in domestic law (arts</w:t>
      </w:r>
      <w:r w:rsidR="00E54F67">
        <w:t>.</w:t>
      </w:r>
      <w:r w:rsidR="00192574" w:rsidRPr="00381324">
        <w:t xml:space="preserve"> 1,</w:t>
      </w:r>
      <w:r>
        <w:t xml:space="preserve"> </w:t>
      </w:r>
      <w:r w:rsidR="0067229F">
        <w:t xml:space="preserve">2 </w:t>
      </w:r>
      <w:r w:rsidR="00192574" w:rsidRPr="00381324">
        <w:t>and 4)</w:t>
      </w:r>
    </w:p>
    <w:p w:rsidR="006C1212" w:rsidRPr="00C9712E" w:rsidRDefault="00FD0923" w:rsidP="00FD0923">
      <w:pPr>
        <w:pStyle w:val="SingleTxtG"/>
        <w:ind w:firstLine="567"/>
      </w:pPr>
      <w:r w:rsidRPr="00C9712E">
        <w:t>(a)</w:t>
      </w:r>
      <w:r w:rsidRPr="00C9712E">
        <w:tab/>
      </w:r>
      <w:r w:rsidR="006C1212" w:rsidRPr="00C9712E">
        <w:t xml:space="preserve">Information on court cases in which the </w:t>
      </w:r>
      <w:r w:rsidR="00084255" w:rsidRPr="00C9712E">
        <w:t>provisions</w:t>
      </w:r>
      <w:r w:rsidR="00084255">
        <w:t xml:space="preserve"> of the </w:t>
      </w:r>
      <w:r w:rsidR="006C1212" w:rsidRPr="00C9712E">
        <w:t xml:space="preserve">Convention </w:t>
      </w:r>
      <w:r w:rsidR="00084255">
        <w:t xml:space="preserve">have been </w:t>
      </w:r>
      <w:r w:rsidR="006C1212" w:rsidRPr="00C9712E">
        <w:t>invoked and applied by domestic courts.</w:t>
      </w:r>
      <w:r w:rsidR="007758A9" w:rsidRPr="00C9712E">
        <w:t xml:space="preserve"> </w:t>
      </w:r>
    </w:p>
    <w:p w:rsidR="00D06634" w:rsidRDefault="00FD0923" w:rsidP="00FD0923">
      <w:pPr>
        <w:pStyle w:val="SingleTxtG"/>
        <w:ind w:firstLine="567"/>
      </w:pPr>
      <w:r>
        <w:t>(b)</w:t>
      </w:r>
      <w:r>
        <w:tab/>
      </w:r>
      <w:r w:rsidR="006C1212" w:rsidRPr="00C9712E">
        <w:t xml:space="preserve">Updated information on anti-discrimination legislation, including compliance with the </w:t>
      </w:r>
      <w:r w:rsidR="00084255" w:rsidRPr="00C9712E">
        <w:t>definition of racial discrimination</w:t>
      </w:r>
      <w:r w:rsidR="00084255">
        <w:t xml:space="preserve"> contained in the </w:t>
      </w:r>
      <w:r w:rsidR="006C1212" w:rsidRPr="00C9712E">
        <w:t>Convention</w:t>
      </w:r>
      <w:r w:rsidR="00D06634">
        <w:t>.</w:t>
      </w:r>
    </w:p>
    <w:p w:rsidR="006C1212" w:rsidRPr="00C9712E" w:rsidRDefault="00FD0923" w:rsidP="00FD0923">
      <w:pPr>
        <w:pStyle w:val="SingleTxtG"/>
        <w:ind w:firstLine="567"/>
      </w:pPr>
      <w:r w:rsidRPr="00C9712E">
        <w:t>(c)</w:t>
      </w:r>
      <w:r w:rsidRPr="00C9712E">
        <w:tab/>
      </w:r>
      <w:r w:rsidR="00D06634">
        <w:t>P</w:t>
      </w:r>
      <w:r w:rsidR="006C1212" w:rsidRPr="00C9712E">
        <w:t xml:space="preserve">rogress in amending </w:t>
      </w:r>
      <w:r w:rsidR="00084255">
        <w:t xml:space="preserve">article </w:t>
      </w:r>
      <w:r w:rsidR="006C1212" w:rsidRPr="00C9712E">
        <w:t>64 of the State party’s Criminal Code with a view to making racial discrimination a specific offence</w:t>
      </w:r>
      <w:r w:rsidR="00614783">
        <w:t>,</w:t>
      </w:r>
      <w:r w:rsidR="006C1212" w:rsidRPr="00C9712E">
        <w:t xml:space="preserve"> in line with article</w:t>
      </w:r>
      <w:r w:rsidR="00D342D7">
        <w:t> </w:t>
      </w:r>
      <w:r w:rsidR="006C1212" w:rsidRPr="00C9712E">
        <w:t>4</w:t>
      </w:r>
      <w:r w:rsidR="00C32D27">
        <w:t xml:space="preserve"> </w:t>
      </w:r>
      <w:r w:rsidR="006C1212" w:rsidRPr="00C9712E">
        <w:t>(a) of the Convention.</w:t>
      </w:r>
    </w:p>
    <w:p w:rsidR="006C1212" w:rsidRDefault="00FD0923" w:rsidP="00FD0923">
      <w:pPr>
        <w:pStyle w:val="SingleTxtG"/>
        <w:ind w:firstLine="567"/>
      </w:pPr>
      <w:r>
        <w:t>(d)</w:t>
      </w:r>
      <w:r>
        <w:tab/>
      </w:r>
      <w:r w:rsidR="004C16DB" w:rsidRPr="00C9712E">
        <w:t>Compliance</w:t>
      </w:r>
      <w:r w:rsidR="006C1212" w:rsidRPr="00C9712E">
        <w:t xml:space="preserve"> </w:t>
      </w:r>
      <w:r w:rsidR="004C16DB" w:rsidRPr="00C9712E">
        <w:t>of the mandate and</w:t>
      </w:r>
      <w:r w:rsidR="006C1212" w:rsidRPr="00C9712E">
        <w:t xml:space="preserve"> </w:t>
      </w:r>
      <w:r w:rsidR="004C16DB" w:rsidRPr="00C9712E">
        <w:t>capacity</w:t>
      </w:r>
      <w:r w:rsidR="006C1212" w:rsidRPr="00C9712E">
        <w:t xml:space="preserve"> of the National Human Rights Commission with the </w:t>
      </w:r>
      <w:r w:rsidR="00AB7EFC">
        <w:t>p</w:t>
      </w:r>
      <w:r w:rsidR="00AB7EFC" w:rsidRPr="00AB7EFC">
        <w:t xml:space="preserve">rinciples relating to the status of national institutions for the promotion and protection of human rights </w:t>
      </w:r>
      <w:r w:rsidR="00AB7EFC">
        <w:t>(</w:t>
      </w:r>
      <w:r w:rsidR="006C1212" w:rsidRPr="00C9712E">
        <w:t>Paris Principles</w:t>
      </w:r>
      <w:r w:rsidR="00AB7EFC">
        <w:t>)</w:t>
      </w:r>
      <w:r w:rsidR="006C1212" w:rsidRPr="00C9712E">
        <w:t>, and activities undertaken by the Commission contributing to the elimination o</w:t>
      </w:r>
      <w:r w:rsidR="00AB7EFC">
        <w:t>f</w:t>
      </w:r>
      <w:r w:rsidR="006C1212" w:rsidRPr="00C9712E">
        <w:t xml:space="preserve"> racial discrimination</w:t>
      </w:r>
      <w:r w:rsidR="006C1212">
        <w:t>.</w:t>
      </w:r>
    </w:p>
    <w:p w:rsidR="006C1212" w:rsidRPr="00381324" w:rsidRDefault="00C9712E" w:rsidP="00C32D27">
      <w:pPr>
        <w:pStyle w:val="H23G"/>
      </w:pPr>
      <w:r>
        <w:tab/>
        <w:t>2.</w:t>
      </w:r>
      <w:r>
        <w:tab/>
      </w:r>
      <w:r w:rsidR="006C1212" w:rsidRPr="00381324">
        <w:t>Discrimination against ethnic or ethno-religious minorities (arts.</w:t>
      </w:r>
      <w:r w:rsidR="00D342D7">
        <w:t> </w:t>
      </w:r>
      <w:r w:rsidR="006C1212" w:rsidRPr="00381324">
        <w:t>2-7)</w:t>
      </w:r>
    </w:p>
    <w:p w:rsidR="001C6663" w:rsidRPr="002B5D4F" w:rsidRDefault="00FD0923" w:rsidP="00FD0923">
      <w:pPr>
        <w:pStyle w:val="SingleTxtG"/>
        <w:ind w:firstLine="567"/>
      </w:pPr>
      <w:r w:rsidRPr="002B5D4F">
        <w:t>(a)</w:t>
      </w:r>
      <w:r w:rsidRPr="002B5D4F">
        <w:tab/>
      </w:r>
      <w:r w:rsidR="0073435E" w:rsidRPr="002B5D4F">
        <w:t>Ethnic</w:t>
      </w:r>
      <w:r w:rsidR="00CB5AE4" w:rsidRPr="002B5D4F">
        <w:t xml:space="preserve"> </w:t>
      </w:r>
      <w:r w:rsidR="00973E9A" w:rsidRPr="002B5D4F">
        <w:t xml:space="preserve">composition </w:t>
      </w:r>
      <w:r w:rsidR="00CB5AE4" w:rsidRPr="002B5D4F">
        <w:t>of the State party’s population</w:t>
      </w:r>
      <w:r w:rsidR="00973E9A" w:rsidRPr="002B5D4F">
        <w:t xml:space="preserve"> a</w:t>
      </w:r>
      <w:r w:rsidR="00AB7EFC">
        <w:t>nd</w:t>
      </w:r>
      <w:r w:rsidR="00973E9A" w:rsidRPr="002B5D4F">
        <w:t xml:space="preserve"> </w:t>
      </w:r>
      <w:r w:rsidR="00885536">
        <w:t>its</w:t>
      </w:r>
      <w:r w:rsidR="00885536" w:rsidRPr="002B5D4F">
        <w:t xml:space="preserve"> </w:t>
      </w:r>
      <w:r w:rsidR="00973E9A" w:rsidRPr="002B5D4F">
        <w:t>geographical distribution</w:t>
      </w:r>
      <w:r w:rsidR="00614783">
        <w:t>,</w:t>
      </w:r>
      <w:r w:rsidR="00973E9A" w:rsidRPr="002B5D4F">
        <w:t xml:space="preserve"> di</w:t>
      </w:r>
      <w:r w:rsidR="002B5D4F">
        <w:t>saggregated by region and state</w:t>
      </w:r>
      <w:r w:rsidR="00D342D7">
        <w:t>.</w:t>
      </w:r>
      <w:r w:rsidR="007758A9" w:rsidRPr="002B5D4F">
        <w:t xml:space="preserve"> </w:t>
      </w:r>
    </w:p>
    <w:p w:rsidR="006C1212" w:rsidRPr="002B5D4F" w:rsidRDefault="00FD0923" w:rsidP="00FD0923">
      <w:pPr>
        <w:pStyle w:val="SingleTxtG"/>
        <w:ind w:firstLine="567"/>
      </w:pPr>
      <w:r w:rsidRPr="002B5D4F">
        <w:t>(b)</w:t>
      </w:r>
      <w:r w:rsidRPr="002B5D4F">
        <w:tab/>
      </w:r>
      <w:r w:rsidR="006C1212" w:rsidRPr="002B5D4F">
        <w:t xml:space="preserve">Progress achieved in guaranteeing all Sudanese </w:t>
      </w:r>
      <w:r w:rsidR="00ED4B72">
        <w:t>people</w:t>
      </w:r>
      <w:r w:rsidR="00AB7EFC">
        <w:t xml:space="preserve"> </w:t>
      </w:r>
      <w:r w:rsidR="006C1212" w:rsidRPr="002B5D4F">
        <w:t>full enjoyment of their human rights (CERD/C/304/Add.116, para 11). In particular</w:t>
      </w:r>
      <w:r w:rsidR="00C611AD">
        <w:t>,</w:t>
      </w:r>
      <w:r w:rsidR="006C1212" w:rsidRPr="002B5D4F">
        <w:t xml:space="preserve"> steps </w:t>
      </w:r>
      <w:r w:rsidR="00C611AD">
        <w:t xml:space="preserve">taken </w:t>
      </w:r>
      <w:r w:rsidR="006C1212" w:rsidRPr="002B5D4F">
        <w:t>to reduce the vulnerability of members of ethnic minorities to police harassment, including arrest</w:t>
      </w:r>
      <w:r w:rsidR="004C16DB" w:rsidRPr="002B5D4F">
        <w:t>,</w:t>
      </w:r>
      <w:r w:rsidR="006C1212" w:rsidRPr="002B5D4F">
        <w:t xml:space="preserve"> prolonged detention, ill-treatment and torture, </w:t>
      </w:r>
      <w:r w:rsidR="00C611AD">
        <w:t>owing</w:t>
      </w:r>
      <w:r w:rsidR="006C1212" w:rsidRPr="002B5D4F">
        <w:t xml:space="preserve"> to their non-Arab origin</w:t>
      </w:r>
      <w:r w:rsidR="00D06634">
        <w:t xml:space="preserve"> or</w:t>
      </w:r>
      <w:r w:rsidR="006C1212" w:rsidRPr="002B5D4F">
        <w:t xml:space="preserve"> their colour</w:t>
      </w:r>
      <w:r w:rsidR="00D342D7">
        <w:t>.</w:t>
      </w:r>
      <w:r w:rsidR="006C1212" w:rsidRPr="002B5D4F">
        <w:t xml:space="preserve"> </w:t>
      </w:r>
    </w:p>
    <w:p w:rsidR="006C1212" w:rsidRPr="002B5D4F" w:rsidRDefault="00FD0923" w:rsidP="00FD0923">
      <w:pPr>
        <w:pStyle w:val="SingleTxtG"/>
        <w:ind w:firstLine="567"/>
      </w:pPr>
      <w:r w:rsidRPr="002B5D4F">
        <w:t>(c)</w:t>
      </w:r>
      <w:r w:rsidRPr="002B5D4F">
        <w:tab/>
      </w:r>
      <w:r w:rsidR="006C1212" w:rsidRPr="002B5D4F">
        <w:t xml:space="preserve">Measures to preserve </w:t>
      </w:r>
      <w:r w:rsidR="00C611AD">
        <w:t xml:space="preserve">the </w:t>
      </w:r>
      <w:r w:rsidR="006C1212" w:rsidRPr="002B5D4F">
        <w:t>ethnic and cultural diversity of the South Kordofan and Blue Nile</w:t>
      </w:r>
      <w:r w:rsidR="004C16DB" w:rsidRPr="002B5D4F">
        <w:t xml:space="preserve"> states</w:t>
      </w:r>
      <w:r w:rsidR="006C1212" w:rsidRPr="002B5D4F">
        <w:t>, in particular</w:t>
      </w:r>
      <w:r w:rsidR="00C611AD">
        <w:t>, the customs and traditions of</w:t>
      </w:r>
      <w:r w:rsidR="006C1212" w:rsidRPr="002B5D4F">
        <w:t xml:space="preserve"> the Nuba peoples. Information on steps to facilitate access to basic services and justice </w:t>
      </w:r>
      <w:r w:rsidR="00C611AD">
        <w:t>by</w:t>
      </w:r>
      <w:r w:rsidR="006C1212" w:rsidRPr="002B5D4F">
        <w:t xml:space="preserve"> the populations in those states</w:t>
      </w:r>
      <w:r w:rsidR="00D06634">
        <w:t>.</w:t>
      </w:r>
    </w:p>
    <w:p w:rsidR="006C1212" w:rsidRDefault="00FD0923" w:rsidP="00FD0923">
      <w:pPr>
        <w:pStyle w:val="SingleTxtG"/>
        <w:ind w:firstLine="567"/>
      </w:pPr>
      <w:r>
        <w:t>(d)</w:t>
      </w:r>
      <w:r>
        <w:tab/>
      </w:r>
      <w:r w:rsidR="006C1212" w:rsidRPr="002B5D4F">
        <w:t xml:space="preserve">The situation of the ethnic and tribal groups in the Red Sea and Kassala states, who </w:t>
      </w:r>
      <w:r w:rsidR="00C611AD" w:rsidRPr="002B5D4F">
        <w:t>reportedly</w:t>
      </w:r>
      <w:r w:rsidR="00C611AD">
        <w:t xml:space="preserve"> </w:t>
      </w:r>
      <w:r w:rsidR="006C1212" w:rsidRPr="002B5D4F">
        <w:t>are among the poorest in the State party, lack access to basic services and do not enjoy equal allocation of resources. Progress in implementing the 2006 Eastern Sudan Peace Agreement</w:t>
      </w:r>
      <w:r w:rsidR="00D342D7">
        <w:t>.</w:t>
      </w:r>
      <w:r w:rsidR="006C1212">
        <w:t xml:space="preserve"> </w:t>
      </w:r>
    </w:p>
    <w:p w:rsidR="006C1212" w:rsidRDefault="00FD0923" w:rsidP="00FD0923">
      <w:pPr>
        <w:pStyle w:val="SingleTxtG"/>
        <w:ind w:firstLine="567"/>
      </w:pPr>
      <w:r>
        <w:t>(e)</w:t>
      </w:r>
      <w:r>
        <w:tab/>
      </w:r>
      <w:r w:rsidR="00A55144">
        <w:t>Updated information on the situation of internally displ</w:t>
      </w:r>
      <w:r w:rsidR="002B5D4F">
        <w:t>aced persons in the State party (</w:t>
      </w:r>
      <w:r w:rsidR="00A55144">
        <w:t>CERD/C/304/Add.116, para 14)</w:t>
      </w:r>
      <w:r w:rsidR="00D342D7">
        <w:t>.</w:t>
      </w:r>
    </w:p>
    <w:p w:rsidR="004C16DB" w:rsidRDefault="00FD0923" w:rsidP="00FD0923">
      <w:pPr>
        <w:pStyle w:val="SingleTxtG"/>
        <w:ind w:firstLine="567"/>
      </w:pPr>
      <w:r>
        <w:t>(f)</w:t>
      </w:r>
      <w:r>
        <w:tab/>
      </w:r>
      <w:r w:rsidR="006C1212">
        <w:t xml:space="preserve">Political representation of </w:t>
      </w:r>
      <w:r w:rsidR="00024285">
        <w:t xml:space="preserve">ethnic minorities </w:t>
      </w:r>
      <w:r w:rsidR="006C1212">
        <w:t xml:space="preserve">and </w:t>
      </w:r>
      <w:r w:rsidR="00024285">
        <w:t xml:space="preserve">the </w:t>
      </w:r>
      <w:r w:rsidR="006C1212">
        <w:t xml:space="preserve">access </w:t>
      </w:r>
      <w:r w:rsidR="00614783">
        <w:t xml:space="preserve">of members of ethnic minorities </w:t>
      </w:r>
      <w:r w:rsidR="006C1212">
        <w:t>to employment, particularly in the public sector, the army, the police and the security</w:t>
      </w:r>
      <w:r w:rsidR="002B5D4F">
        <w:t xml:space="preserve"> services.</w:t>
      </w:r>
    </w:p>
    <w:p w:rsidR="00381324" w:rsidRPr="00204FF2" w:rsidRDefault="002B5D4F" w:rsidP="002B5D4F">
      <w:pPr>
        <w:pStyle w:val="H23G"/>
      </w:pPr>
      <w:r>
        <w:tab/>
        <w:t>3.</w:t>
      </w:r>
      <w:r>
        <w:tab/>
      </w:r>
      <w:r w:rsidR="00381324" w:rsidRPr="00204FF2">
        <w:t>Situation of non-citizens, including refugees and asylum seekers (art</w:t>
      </w:r>
      <w:r w:rsidR="00E54F67">
        <w:t>s</w:t>
      </w:r>
      <w:r w:rsidR="00381324" w:rsidRPr="00204FF2">
        <w:t>. 5 and 7)</w:t>
      </w:r>
    </w:p>
    <w:p w:rsidR="00204FF2" w:rsidRPr="002B5D4F" w:rsidRDefault="00FD0923" w:rsidP="00FD0923">
      <w:pPr>
        <w:pStyle w:val="SingleTxtG"/>
        <w:ind w:firstLine="567"/>
      </w:pPr>
      <w:r w:rsidRPr="002B5D4F">
        <w:t>(a)</w:t>
      </w:r>
      <w:r w:rsidRPr="002B5D4F">
        <w:tab/>
      </w:r>
      <w:r w:rsidR="00204FF2" w:rsidRPr="002B5D4F">
        <w:t xml:space="preserve">The 2011 amendment to the </w:t>
      </w:r>
      <w:r w:rsidR="00024285">
        <w:t>n</w:t>
      </w:r>
      <w:r w:rsidR="00204FF2" w:rsidRPr="002B5D4F">
        <w:t xml:space="preserve">ationality </w:t>
      </w:r>
      <w:r w:rsidR="00024285">
        <w:t>l</w:t>
      </w:r>
      <w:r w:rsidR="00204FF2" w:rsidRPr="002B5D4F">
        <w:t xml:space="preserve">aw and its impact on South Sudanese </w:t>
      </w:r>
      <w:r w:rsidR="00024285">
        <w:t xml:space="preserve">people </w:t>
      </w:r>
      <w:r w:rsidR="00204FF2" w:rsidRPr="002B5D4F">
        <w:t>living in the State party, incl</w:t>
      </w:r>
      <w:r w:rsidR="002B5D4F">
        <w:t>uding the risk of statelessness</w:t>
      </w:r>
      <w:r w:rsidR="00D342D7">
        <w:t>.</w:t>
      </w:r>
    </w:p>
    <w:p w:rsidR="00381324" w:rsidRPr="002B5D4F" w:rsidRDefault="00FD0923" w:rsidP="00FD0923">
      <w:pPr>
        <w:pStyle w:val="SingleTxtG"/>
        <w:ind w:firstLine="567"/>
      </w:pPr>
      <w:r w:rsidRPr="002B5D4F">
        <w:t>(b)</w:t>
      </w:r>
      <w:r w:rsidRPr="002B5D4F">
        <w:tab/>
      </w:r>
      <w:r w:rsidR="00381324" w:rsidRPr="002B5D4F">
        <w:t xml:space="preserve">Measures to prevent and investigate cases of trafficking of Eritrean asylum seekers and refugees. </w:t>
      </w:r>
    </w:p>
    <w:p w:rsidR="00381324" w:rsidRPr="002B5D4F" w:rsidRDefault="002B5D4F" w:rsidP="002B5D4F">
      <w:pPr>
        <w:pStyle w:val="H23G"/>
      </w:pPr>
      <w:r>
        <w:tab/>
        <w:t>4.</w:t>
      </w:r>
      <w:r>
        <w:tab/>
      </w:r>
      <w:r w:rsidR="00381324" w:rsidRPr="002B5D4F">
        <w:t>Access to justice (art. 6)</w:t>
      </w:r>
    </w:p>
    <w:p w:rsidR="00585698" w:rsidRDefault="00FD0923" w:rsidP="00FD0923">
      <w:pPr>
        <w:pStyle w:val="SingleTxtG"/>
        <w:ind w:firstLine="567"/>
      </w:pPr>
      <w:r>
        <w:t>(a)</w:t>
      </w:r>
      <w:r>
        <w:tab/>
      </w:r>
      <w:r w:rsidR="00381324" w:rsidRPr="002B5D4F">
        <w:t xml:space="preserve">Access to </w:t>
      </w:r>
      <w:r w:rsidR="00024285">
        <w:t xml:space="preserve">the </w:t>
      </w:r>
      <w:r w:rsidR="00381324" w:rsidRPr="002B5D4F">
        <w:t xml:space="preserve">courts and </w:t>
      </w:r>
      <w:r w:rsidR="00024285">
        <w:t xml:space="preserve">to </w:t>
      </w:r>
      <w:r w:rsidR="00381324" w:rsidRPr="002B5D4F">
        <w:t>effective remed</w:t>
      </w:r>
      <w:r w:rsidR="00024285">
        <w:t>ies</w:t>
      </w:r>
      <w:r w:rsidR="00381324" w:rsidRPr="002B5D4F">
        <w:t xml:space="preserve"> for victims of </w:t>
      </w:r>
      <w:r w:rsidR="00585698">
        <w:t xml:space="preserve">racial </w:t>
      </w:r>
      <w:r w:rsidR="00381324" w:rsidRPr="002B5D4F">
        <w:t>discrimination, including in the context of the Darfur conflict.</w:t>
      </w:r>
      <w:r w:rsidR="000B68A9" w:rsidRPr="002B5D4F">
        <w:t xml:space="preserve"> </w:t>
      </w:r>
    </w:p>
    <w:p w:rsidR="00381324" w:rsidRDefault="00FD0923" w:rsidP="00FD0923">
      <w:pPr>
        <w:pStyle w:val="SingleTxtG"/>
        <w:ind w:firstLine="567"/>
      </w:pPr>
      <w:r>
        <w:t>(b)</w:t>
      </w:r>
      <w:r>
        <w:tab/>
      </w:r>
      <w:r w:rsidR="00381324" w:rsidRPr="002B5D4F">
        <w:t>Information on the independence of the Constitutional Court,</w:t>
      </w:r>
      <w:r w:rsidR="00381324" w:rsidRPr="002B5D4F">
        <w:rPr>
          <w:rStyle w:val="FootnoteReference"/>
          <w:sz w:val="20"/>
          <w:vertAlign w:val="baseline"/>
        </w:rPr>
        <w:t xml:space="preserve"> </w:t>
      </w:r>
      <w:r w:rsidR="00381324" w:rsidRPr="002B5D4F">
        <w:t xml:space="preserve">and progress attained in adopting the </w:t>
      </w:r>
      <w:r w:rsidR="00024285">
        <w:t>l</w:t>
      </w:r>
      <w:r w:rsidR="00381324" w:rsidRPr="002B5D4F">
        <w:t xml:space="preserve">egal </w:t>
      </w:r>
      <w:r w:rsidR="00024285">
        <w:t>a</w:t>
      </w:r>
      <w:r w:rsidR="00381324" w:rsidRPr="002B5D4F">
        <w:t>id</w:t>
      </w:r>
      <w:r w:rsidR="00024285">
        <w:t xml:space="preserve"> b</w:t>
      </w:r>
      <w:r w:rsidR="00024285" w:rsidRPr="002B5D4F">
        <w:t>ill</w:t>
      </w:r>
      <w:r w:rsidR="00381324">
        <w:t>.</w:t>
      </w:r>
    </w:p>
    <w:p w:rsidR="00381324" w:rsidRPr="002B5D4F" w:rsidRDefault="002B5D4F" w:rsidP="002B5D4F">
      <w:pPr>
        <w:pStyle w:val="H23G"/>
      </w:pPr>
      <w:r>
        <w:tab/>
        <w:t>5.</w:t>
      </w:r>
      <w:r>
        <w:tab/>
      </w:r>
      <w:r w:rsidR="00381324" w:rsidRPr="002B5D4F">
        <w:t>Training, education and other measure</w:t>
      </w:r>
      <w:r w:rsidR="00F569D9" w:rsidRPr="002B5D4F">
        <w:t>s</w:t>
      </w:r>
      <w:r w:rsidR="00381324" w:rsidRPr="002B5D4F">
        <w:t xml:space="preserve"> to combat discrimination</w:t>
      </w:r>
      <w:r w:rsidR="00651457" w:rsidRPr="002B5D4F">
        <w:t xml:space="preserve"> (art</w:t>
      </w:r>
      <w:r w:rsidR="00E54F67">
        <w:t>s</w:t>
      </w:r>
      <w:r w:rsidR="00651457" w:rsidRPr="002B5D4F">
        <w:t>.</w:t>
      </w:r>
      <w:r w:rsidR="00533479">
        <w:t> </w:t>
      </w:r>
      <w:r w:rsidR="00285AE0">
        <w:t xml:space="preserve">2 and </w:t>
      </w:r>
      <w:r w:rsidR="00651457" w:rsidRPr="002B5D4F">
        <w:t>7)</w:t>
      </w:r>
    </w:p>
    <w:p w:rsidR="00705151" w:rsidRPr="002B5D4F" w:rsidRDefault="00FD0923" w:rsidP="00FD0923">
      <w:pPr>
        <w:pStyle w:val="SingleTxtG"/>
        <w:ind w:firstLine="567"/>
      </w:pPr>
      <w:r w:rsidRPr="002B5D4F">
        <w:t>(a)</w:t>
      </w:r>
      <w:r w:rsidRPr="002B5D4F">
        <w:tab/>
      </w:r>
      <w:r w:rsidR="00242200" w:rsidRPr="002B5D4F">
        <w:t xml:space="preserve">Fight against </w:t>
      </w:r>
      <w:r w:rsidR="00285AE0">
        <w:t xml:space="preserve">racial </w:t>
      </w:r>
      <w:r w:rsidR="00242200" w:rsidRPr="002B5D4F">
        <w:t>discrimination</w:t>
      </w:r>
      <w:r w:rsidR="00EF5DEE" w:rsidRPr="002B5D4F">
        <w:t xml:space="preserve">, including on </w:t>
      </w:r>
      <w:r w:rsidR="007E3248" w:rsidRPr="002B5D4F">
        <w:t>ethno-religious</w:t>
      </w:r>
      <w:r w:rsidR="00285AE0">
        <w:t xml:space="preserve"> g</w:t>
      </w:r>
      <w:r w:rsidR="004303CB">
        <w:t>r</w:t>
      </w:r>
      <w:r w:rsidR="00285AE0">
        <w:t>ounds</w:t>
      </w:r>
      <w:r w:rsidR="007E3248" w:rsidRPr="002B5D4F">
        <w:t>.</w:t>
      </w:r>
      <w:r w:rsidR="00E57536" w:rsidRPr="002B5D4F">
        <w:t xml:space="preserve"> Updated information on the </w:t>
      </w:r>
      <w:r w:rsidR="00024285" w:rsidRPr="002B5D4F">
        <w:t>2013</w:t>
      </w:r>
      <w:r w:rsidR="00024285">
        <w:t xml:space="preserve"> n</w:t>
      </w:r>
      <w:r w:rsidR="00E57536" w:rsidRPr="002B5D4F">
        <w:t xml:space="preserve">ational </w:t>
      </w:r>
      <w:r w:rsidR="00024285">
        <w:t>p</w:t>
      </w:r>
      <w:r w:rsidR="00143F10" w:rsidRPr="002B5D4F">
        <w:t>lan for the protection and promotion of human rights in the Sudan, and plans to develop and adopt a comprehensive anti-discrimination policy.</w:t>
      </w:r>
    </w:p>
    <w:p w:rsidR="00381324" w:rsidRDefault="00FD0923" w:rsidP="00FD0923">
      <w:pPr>
        <w:pStyle w:val="SingleTxtG"/>
        <w:ind w:firstLine="567"/>
      </w:pPr>
      <w:r>
        <w:t>(b)</w:t>
      </w:r>
      <w:r>
        <w:tab/>
      </w:r>
      <w:r w:rsidR="00381324" w:rsidRPr="002B5D4F">
        <w:t xml:space="preserve">Training programmes or courses provided to </w:t>
      </w:r>
      <w:r w:rsidR="00C72592">
        <w:t>g</w:t>
      </w:r>
      <w:r w:rsidR="00381324" w:rsidRPr="002B5D4F">
        <w:t xml:space="preserve">overnment officials, the </w:t>
      </w:r>
      <w:r w:rsidR="00C72592">
        <w:t>j</w:t>
      </w:r>
      <w:r w:rsidR="00381324" w:rsidRPr="002B5D4F">
        <w:t>udiciary, State law officials, teachers, social workers and other public officials to raise awareness about the Convention and its provisions.</w:t>
      </w:r>
      <w:r w:rsidR="002B5D4F">
        <w:t xml:space="preserve"> </w:t>
      </w:r>
    </w:p>
    <w:p w:rsidR="00381324" w:rsidRPr="00780EBC" w:rsidRDefault="00780EBC" w:rsidP="00780EB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324" w:rsidRPr="00780EBC" w:rsidSect="0031745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50" w:rsidRDefault="00521C50"/>
  </w:endnote>
  <w:endnote w:type="continuationSeparator" w:id="0">
    <w:p w:rsidR="00521C50" w:rsidRDefault="00521C50"/>
  </w:endnote>
  <w:endnote w:type="continuationNotice" w:id="1">
    <w:p w:rsidR="00521C50" w:rsidRDefault="00521C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1E" w:rsidRPr="00317454" w:rsidRDefault="0076761E" w:rsidP="00317454">
    <w:pPr>
      <w:pStyle w:val="Footer"/>
      <w:tabs>
        <w:tab w:val="right" w:pos="9598"/>
      </w:tabs>
    </w:pPr>
    <w:r w:rsidRPr="00317454">
      <w:rPr>
        <w:b/>
        <w:sz w:val="18"/>
      </w:rPr>
      <w:fldChar w:fldCharType="begin"/>
    </w:r>
    <w:r w:rsidRPr="00317454">
      <w:rPr>
        <w:b/>
        <w:sz w:val="18"/>
      </w:rPr>
      <w:instrText xml:space="preserve"> PAGE  \* MERGEFORMAT </w:instrText>
    </w:r>
    <w:r w:rsidRPr="00317454">
      <w:rPr>
        <w:b/>
        <w:sz w:val="18"/>
      </w:rPr>
      <w:fldChar w:fldCharType="separate"/>
    </w:r>
    <w:r w:rsidR="00845F47">
      <w:rPr>
        <w:b/>
        <w:noProof/>
        <w:sz w:val="18"/>
      </w:rPr>
      <w:t>2</w:t>
    </w:r>
    <w:r w:rsidRPr="0031745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1E" w:rsidRPr="00317454" w:rsidRDefault="0076761E" w:rsidP="00317454">
    <w:pPr>
      <w:pStyle w:val="Footer"/>
      <w:tabs>
        <w:tab w:val="right" w:pos="9598"/>
      </w:tabs>
      <w:rPr>
        <w:b/>
        <w:sz w:val="18"/>
      </w:rPr>
    </w:pPr>
    <w:r>
      <w:tab/>
    </w:r>
    <w:r w:rsidRPr="00317454">
      <w:rPr>
        <w:b/>
        <w:sz w:val="18"/>
      </w:rPr>
      <w:fldChar w:fldCharType="begin"/>
    </w:r>
    <w:r w:rsidRPr="00317454">
      <w:rPr>
        <w:b/>
        <w:sz w:val="18"/>
      </w:rPr>
      <w:instrText xml:space="preserve"> PAGE  \* MERGEFORMAT </w:instrText>
    </w:r>
    <w:r w:rsidRPr="00317454">
      <w:rPr>
        <w:b/>
        <w:sz w:val="18"/>
      </w:rPr>
      <w:fldChar w:fldCharType="separate"/>
    </w:r>
    <w:r w:rsidR="00885536">
      <w:rPr>
        <w:b/>
        <w:noProof/>
        <w:sz w:val="18"/>
      </w:rPr>
      <w:t>3</w:t>
    </w:r>
    <w:r w:rsidRPr="00317454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1E" w:rsidRPr="009B4A1B" w:rsidRDefault="004F46DE" w:rsidP="009B4A1B">
    <w:pPr>
      <w:pStyle w:val="Footer"/>
    </w:pPr>
    <w:bookmarkStart w:id="0" w:name="_GoBack"/>
    <w:bookmarkEnd w:id="0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4" type="#_x0000_t75" alt="http://undocs.org/m2/QRCode.ashx?DS=CERD/C/SDN/Q/12-16&amp;Size=2 &amp;Lang=E" style="position:absolute;margin-left:432.45pt;margin-top:639.25pt;width:50.25pt;height:50.25pt;z-index:2;visibility:visible;mso-position-horizontal-relative:margin;mso-position-vertical-relative:margin" o:allowoverlap="f">
          <v:imagedata r:id="rId1" o:title="12-16&amp;Size=2 &amp;Lang=E"/>
          <w10:wrap anchorx="margin" anchory="margin"/>
        </v:shape>
      </w:pict>
    </w:r>
    <w:r>
      <w:rPr>
        <w:noProof/>
        <w:sz w:val="20"/>
        <w:lang w:eastAsia="zh-CN"/>
      </w:rPr>
      <w:pict>
        <v:shape id="_x0000_s2053" type="#_x0000_t75" style="position:absolute;margin-left:337.3pt;margin-top:646.25pt;width:73.25pt;height:18.15pt;z-index:1;mso-position-horizontal-relative:margin;mso-position-vertical-relative:margin">
          <v:imagedata r:id="rId2" o:title="recycle_English"/>
          <w10:wrap anchorx="margin" anchory="margin"/>
        </v:shape>
      </w:pict>
    </w:r>
    <w:r w:rsidR="0076761E">
      <w:rPr>
        <w:sz w:val="20"/>
      </w:rPr>
      <w:t>GE.</w:t>
    </w:r>
    <w:r w:rsidR="0094228C">
      <w:rPr>
        <w:sz w:val="20"/>
      </w:rPr>
      <w:t>15</w:t>
    </w:r>
    <w:r w:rsidR="0076761E">
      <w:rPr>
        <w:sz w:val="20"/>
      </w:rPr>
      <w:t>-</w:t>
    </w:r>
    <w:r w:rsidR="0094228C">
      <w:rPr>
        <w:sz w:val="20"/>
      </w:rPr>
      <w:t>03984</w:t>
    </w:r>
    <w:r>
      <w:rPr>
        <w:sz w:val="20"/>
      </w:rPr>
      <w:t xml:space="preserve">  (E)</w:t>
    </w:r>
    <w:r>
      <w:rPr>
        <w:sz w:val="20"/>
      </w:rPr>
      <w:br/>
    </w:r>
    <w:r w:rsidRPr="004F46DE">
      <w:rPr>
        <w:rFonts w:ascii="C39T30Lfz" w:hAnsi="C39T30Lfz"/>
        <w:sz w:val="56"/>
      </w:rPr>
      <w:t></w:t>
    </w:r>
    <w:r w:rsidRPr="004F46DE">
      <w:rPr>
        <w:rFonts w:ascii="C39T30Lfz" w:hAnsi="C39T30Lfz"/>
        <w:sz w:val="56"/>
      </w:rPr>
      <w:t></w:t>
    </w:r>
    <w:r w:rsidRPr="004F46DE">
      <w:rPr>
        <w:rFonts w:ascii="C39T30Lfz" w:hAnsi="C39T30Lfz"/>
        <w:sz w:val="56"/>
      </w:rPr>
      <w:t></w:t>
    </w:r>
    <w:r w:rsidRPr="004F46DE">
      <w:rPr>
        <w:rFonts w:ascii="C39T30Lfz" w:hAnsi="C39T30Lfz"/>
        <w:sz w:val="56"/>
      </w:rPr>
      <w:t></w:t>
    </w:r>
    <w:r w:rsidRPr="004F46DE">
      <w:rPr>
        <w:rFonts w:ascii="C39T30Lfz" w:hAnsi="C39T30Lfz"/>
        <w:sz w:val="56"/>
      </w:rPr>
      <w:t></w:t>
    </w:r>
    <w:r w:rsidRPr="004F46DE">
      <w:rPr>
        <w:rFonts w:ascii="C39T30Lfz" w:hAnsi="C39T30Lfz"/>
        <w:sz w:val="56"/>
      </w:rPr>
      <w:t></w:t>
    </w:r>
    <w:r w:rsidRPr="004F46DE">
      <w:rPr>
        <w:rFonts w:ascii="C39T30Lfz" w:hAnsi="C39T30Lfz"/>
        <w:sz w:val="56"/>
      </w:rPr>
      <w:t></w:t>
    </w:r>
    <w:r w:rsidRPr="004F46DE">
      <w:rPr>
        <w:rFonts w:ascii="C39T30Lfz" w:hAnsi="C39T30Lfz"/>
        <w:sz w:val="56"/>
      </w:rPr>
      <w:t></w:t>
    </w:r>
    <w:r w:rsidRPr="004F46DE">
      <w:rPr>
        <w:rFonts w:ascii="C39T30Lfz" w:hAnsi="C39T30Lfz"/>
        <w:sz w:val="56"/>
      </w:rPr>
      <w:t>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50" w:rsidRPr="000B175B" w:rsidRDefault="00521C5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1C50" w:rsidRPr="00FC68B7" w:rsidRDefault="00521C5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21C50" w:rsidRDefault="00521C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1E" w:rsidRPr="00317454" w:rsidRDefault="0076761E" w:rsidP="00317454">
    <w:pPr>
      <w:pStyle w:val="Header"/>
    </w:pPr>
    <w:r>
      <w:t>CERD/C/SDN/Q/12-16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1E" w:rsidRPr="00317454" w:rsidRDefault="0076761E" w:rsidP="00BA2878">
    <w:pPr>
      <w:pStyle w:val="Header"/>
      <w:jc w:val="right"/>
    </w:pPr>
    <w:r w:rsidRPr="00317454">
      <w:t>CERD</w:t>
    </w:r>
    <w:r>
      <w:t>/C/SDN/Q/12-16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9E3C13"/>
    <w:multiLevelType w:val="hybridMultilevel"/>
    <w:tmpl w:val="B5F4F504"/>
    <w:lvl w:ilvl="0" w:tplc="97F29854">
      <w:start w:val="1"/>
      <w:numFmt w:val="lowerLetter"/>
      <w:lvlText w:val="(%1)"/>
      <w:lvlJc w:val="left"/>
      <w:pPr>
        <w:ind w:left="1854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D287B72"/>
    <w:multiLevelType w:val="hybridMultilevel"/>
    <w:tmpl w:val="64D47184"/>
    <w:lvl w:ilvl="0" w:tplc="9DF2E7F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F36083"/>
    <w:multiLevelType w:val="hybridMultilevel"/>
    <w:tmpl w:val="64D47184"/>
    <w:lvl w:ilvl="0" w:tplc="9DF2E7F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pStyle w:val="EndnoteTex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345453"/>
    <w:multiLevelType w:val="hybridMultilevel"/>
    <w:tmpl w:val="64D47184"/>
    <w:lvl w:ilvl="0" w:tplc="9DF2E7F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EF87361"/>
    <w:multiLevelType w:val="hybridMultilevel"/>
    <w:tmpl w:val="495A7392"/>
    <w:lvl w:ilvl="0" w:tplc="97F29854">
      <w:start w:val="1"/>
      <w:numFmt w:val="lowerLetter"/>
      <w:lvlText w:val="(%1)"/>
      <w:lvlJc w:val="left"/>
      <w:pPr>
        <w:ind w:left="1854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51393B09"/>
    <w:multiLevelType w:val="hybridMultilevel"/>
    <w:tmpl w:val="28387362"/>
    <w:lvl w:ilvl="0" w:tplc="97F29854">
      <w:start w:val="1"/>
      <w:numFmt w:val="lowerLetter"/>
      <w:lvlText w:val="(%1)"/>
      <w:lvlJc w:val="left"/>
      <w:pPr>
        <w:ind w:left="1854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530B2597"/>
    <w:multiLevelType w:val="hybridMultilevel"/>
    <w:tmpl w:val="64D47184"/>
    <w:lvl w:ilvl="0" w:tplc="9DF2E7F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C2702E0"/>
    <w:multiLevelType w:val="hybridMultilevel"/>
    <w:tmpl w:val="64D47184"/>
    <w:lvl w:ilvl="0" w:tplc="9DF2E7F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839215E"/>
    <w:multiLevelType w:val="hybridMultilevel"/>
    <w:tmpl w:val="7778CECA"/>
    <w:lvl w:ilvl="0" w:tplc="97F29854">
      <w:start w:val="1"/>
      <w:numFmt w:val="lowerLetter"/>
      <w:lvlText w:val="(%1)"/>
      <w:lvlJc w:val="left"/>
      <w:pPr>
        <w:ind w:left="1854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6852618A"/>
    <w:multiLevelType w:val="hybridMultilevel"/>
    <w:tmpl w:val="64D47184"/>
    <w:lvl w:ilvl="0" w:tplc="9DF2E7F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6BA2612A"/>
    <w:multiLevelType w:val="hybridMultilevel"/>
    <w:tmpl w:val="AD62FC88"/>
    <w:lvl w:ilvl="0" w:tplc="97F29854">
      <w:start w:val="1"/>
      <w:numFmt w:val="lowerLetter"/>
      <w:lvlText w:val="(%1)"/>
      <w:lvlJc w:val="left"/>
      <w:pPr>
        <w:ind w:left="2421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6D7B5D52"/>
    <w:multiLevelType w:val="hybridMultilevel"/>
    <w:tmpl w:val="ACF6E9DA"/>
    <w:lvl w:ilvl="0" w:tplc="05E0CC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23"/>
  </w:num>
  <w:num w:numId="15">
    <w:abstractNumId w:val="14"/>
  </w:num>
  <w:num w:numId="16">
    <w:abstractNumId w:val="12"/>
  </w:num>
  <w:num w:numId="17">
    <w:abstractNumId w:val="27"/>
  </w:num>
  <w:num w:numId="18">
    <w:abstractNumId w:val="21"/>
  </w:num>
  <w:num w:numId="19">
    <w:abstractNumId w:val="16"/>
  </w:num>
  <w:num w:numId="20">
    <w:abstractNumId w:val="25"/>
  </w:num>
  <w:num w:numId="21">
    <w:abstractNumId w:val="22"/>
  </w:num>
  <w:num w:numId="22">
    <w:abstractNumId w:val="18"/>
  </w:num>
  <w:num w:numId="23">
    <w:abstractNumId w:val="13"/>
  </w:num>
  <w:num w:numId="24">
    <w:abstractNumId w:val="19"/>
  </w:num>
  <w:num w:numId="25">
    <w:abstractNumId w:val="11"/>
  </w:num>
  <w:num w:numId="26">
    <w:abstractNumId w:val="20"/>
  </w:num>
  <w:num w:numId="27">
    <w:abstractNumId w:val="24"/>
  </w:num>
  <w:num w:numId="28">
    <w:abstractNumId w:val="2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BO" w:vendorID="64" w:dllVersion="131078" w:nlCheck="1" w:checkStyle="1"/>
  <w:activeWritingStyle w:appName="MSWord" w:lang="fr-CH" w:vendorID="64" w:dllVersion="131078" w:nlCheck="1" w:checkStyle="1"/>
  <w:proofState w:grammar="clean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BCA"/>
    <w:rsid w:val="00020337"/>
    <w:rsid w:val="00024285"/>
    <w:rsid w:val="00032FF2"/>
    <w:rsid w:val="00047D77"/>
    <w:rsid w:val="00050F6B"/>
    <w:rsid w:val="00052197"/>
    <w:rsid w:val="000551DC"/>
    <w:rsid w:val="000563DF"/>
    <w:rsid w:val="00066C1A"/>
    <w:rsid w:val="00072782"/>
    <w:rsid w:val="00072C8C"/>
    <w:rsid w:val="000733B5"/>
    <w:rsid w:val="00077485"/>
    <w:rsid w:val="000814F4"/>
    <w:rsid w:val="00084255"/>
    <w:rsid w:val="00084F51"/>
    <w:rsid w:val="00090096"/>
    <w:rsid w:val="000931C0"/>
    <w:rsid w:val="00093820"/>
    <w:rsid w:val="000A5D3B"/>
    <w:rsid w:val="000B175B"/>
    <w:rsid w:val="000B3A0F"/>
    <w:rsid w:val="000B4EF7"/>
    <w:rsid w:val="000B68A9"/>
    <w:rsid w:val="000C1462"/>
    <w:rsid w:val="000C2D2E"/>
    <w:rsid w:val="000D29DE"/>
    <w:rsid w:val="000E0415"/>
    <w:rsid w:val="000E51C9"/>
    <w:rsid w:val="000E70F3"/>
    <w:rsid w:val="001042D2"/>
    <w:rsid w:val="001103AA"/>
    <w:rsid w:val="00140F1C"/>
    <w:rsid w:val="00143F10"/>
    <w:rsid w:val="00154D59"/>
    <w:rsid w:val="00155467"/>
    <w:rsid w:val="00162704"/>
    <w:rsid w:val="00166298"/>
    <w:rsid w:val="00174C8A"/>
    <w:rsid w:val="00180D95"/>
    <w:rsid w:val="00180DD5"/>
    <w:rsid w:val="0018711F"/>
    <w:rsid w:val="00192574"/>
    <w:rsid w:val="001A62C6"/>
    <w:rsid w:val="001B4B04"/>
    <w:rsid w:val="001B7C2A"/>
    <w:rsid w:val="001C6663"/>
    <w:rsid w:val="001C7895"/>
    <w:rsid w:val="001D26DF"/>
    <w:rsid w:val="001E5A23"/>
    <w:rsid w:val="001E5AA0"/>
    <w:rsid w:val="001F17F6"/>
    <w:rsid w:val="00202DA8"/>
    <w:rsid w:val="00204FF2"/>
    <w:rsid w:val="00206627"/>
    <w:rsid w:val="00207EE1"/>
    <w:rsid w:val="00211E0B"/>
    <w:rsid w:val="00242200"/>
    <w:rsid w:val="0024532E"/>
    <w:rsid w:val="00285AE0"/>
    <w:rsid w:val="002B0464"/>
    <w:rsid w:val="002B5D4F"/>
    <w:rsid w:val="002C1F21"/>
    <w:rsid w:val="002C6060"/>
    <w:rsid w:val="002D777B"/>
    <w:rsid w:val="002F175C"/>
    <w:rsid w:val="00317454"/>
    <w:rsid w:val="00320C94"/>
    <w:rsid w:val="003229D8"/>
    <w:rsid w:val="003305AB"/>
    <w:rsid w:val="00343516"/>
    <w:rsid w:val="00352709"/>
    <w:rsid w:val="00353ADE"/>
    <w:rsid w:val="00363880"/>
    <w:rsid w:val="00366E5A"/>
    <w:rsid w:val="00367EB4"/>
    <w:rsid w:val="00371178"/>
    <w:rsid w:val="00381324"/>
    <w:rsid w:val="0038197C"/>
    <w:rsid w:val="00391C16"/>
    <w:rsid w:val="003A2C1A"/>
    <w:rsid w:val="003A4810"/>
    <w:rsid w:val="003A6810"/>
    <w:rsid w:val="003C2CC4"/>
    <w:rsid w:val="003C3AD3"/>
    <w:rsid w:val="003D4B23"/>
    <w:rsid w:val="003F3163"/>
    <w:rsid w:val="003F64FD"/>
    <w:rsid w:val="00405DDC"/>
    <w:rsid w:val="00410C89"/>
    <w:rsid w:val="00422BCA"/>
    <w:rsid w:val="004268E6"/>
    <w:rsid w:val="004303CB"/>
    <w:rsid w:val="004325CB"/>
    <w:rsid w:val="0045495B"/>
    <w:rsid w:val="004558DF"/>
    <w:rsid w:val="00467CA1"/>
    <w:rsid w:val="004722C1"/>
    <w:rsid w:val="00494A40"/>
    <w:rsid w:val="004958D9"/>
    <w:rsid w:val="004978B8"/>
    <w:rsid w:val="004C16DB"/>
    <w:rsid w:val="004C6CAC"/>
    <w:rsid w:val="004D25E4"/>
    <w:rsid w:val="004D5116"/>
    <w:rsid w:val="004D6628"/>
    <w:rsid w:val="004F46DE"/>
    <w:rsid w:val="004F6E78"/>
    <w:rsid w:val="00517B36"/>
    <w:rsid w:val="00521C50"/>
    <w:rsid w:val="00533479"/>
    <w:rsid w:val="005409D6"/>
    <w:rsid w:val="005420F2"/>
    <w:rsid w:val="00552F80"/>
    <w:rsid w:val="00563EE1"/>
    <w:rsid w:val="00565B0C"/>
    <w:rsid w:val="005669F5"/>
    <w:rsid w:val="005738B3"/>
    <w:rsid w:val="005854D2"/>
    <w:rsid w:val="00585698"/>
    <w:rsid w:val="00594D88"/>
    <w:rsid w:val="005A391C"/>
    <w:rsid w:val="005A5854"/>
    <w:rsid w:val="005B3DB3"/>
    <w:rsid w:val="005B59AB"/>
    <w:rsid w:val="005C46E0"/>
    <w:rsid w:val="005C6A79"/>
    <w:rsid w:val="006001EE"/>
    <w:rsid w:val="006050D0"/>
    <w:rsid w:val="00611FC4"/>
    <w:rsid w:val="00614783"/>
    <w:rsid w:val="006153DB"/>
    <w:rsid w:val="006176FB"/>
    <w:rsid w:val="00640B26"/>
    <w:rsid w:val="00651457"/>
    <w:rsid w:val="0067229F"/>
    <w:rsid w:val="006A00A7"/>
    <w:rsid w:val="006A7C3A"/>
    <w:rsid w:val="006B6130"/>
    <w:rsid w:val="006B6209"/>
    <w:rsid w:val="006C017E"/>
    <w:rsid w:val="006C1212"/>
    <w:rsid w:val="006C1EF9"/>
    <w:rsid w:val="006D4B3F"/>
    <w:rsid w:val="006D69E6"/>
    <w:rsid w:val="006E564B"/>
    <w:rsid w:val="00705151"/>
    <w:rsid w:val="00724BD9"/>
    <w:rsid w:val="0072632A"/>
    <w:rsid w:val="007267B1"/>
    <w:rsid w:val="0073435E"/>
    <w:rsid w:val="007464D9"/>
    <w:rsid w:val="00751645"/>
    <w:rsid w:val="0076761E"/>
    <w:rsid w:val="00774713"/>
    <w:rsid w:val="007758A9"/>
    <w:rsid w:val="00777833"/>
    <w:rsid w:val="00780EBC"/>
    <w:rsid w:val="007B112D"/>
    <w:rsid w:val="007B6BA5"/>
    <w:rsid w:val="007C3390"/>
    <w:rsid w:val="007C435D"/>
    <w:rsid w:val="007C4F4B"/>
    <w:rsid w:val="007E3248"/>
    <w:rsid w:val="007E47C4"/>
    <w:rsid w:val="007F6462"/>
    <w:rsid w:val="007F6611"/>
    <w:rsid w:val="008242D7"/>
    <w:rsid w:val="00832D01"/>
    <w:rsid w:val="00845F47"/>
    <w:rsid w:val="00846E62"/>
    <w:rsid w:val="00850AA7"/>
    <w:rsid w:val="0085248A"/>
    <w:rsid w:val="008746CE"/>
    <w:rsid w:val="008831F8"/>
    <w:rsid w:val="00885536"/>
    <w:rsid w:val="00895F44"/>
    <w:rsid w:val="008979B1"/>
    <w:rsid w:val="008A447F"/>
    <w:rsid w:val="008A529F"/>
    <w:rsid w:val="008A55E3"/>
    <w:rsid w:val="008A6B25"/>
    <w:rsid w:val="008A6C4F"/>
    <w:rsid w:val="008B2335"/>
    <w:rsid w:val="008F438E"/>
    <w:rsid w:val="00900021"/>
    <w:rsid w:val="0090527F"/>
    <w:rsid w:val="00914A6D"/>
    <w:rsid w:val="00916443"/>
    <w:rsid w:val="0091673B"/>
    <w:rsid w:val="009223CA"/>
    <w:rsid w:val="009369F6"/>
    <w:rsid w:val="00940420"/>
    <w:rsid w:val="00940F93"/>
    <w:rsid w:val="0094228C"/>
    <w:rsid w:val="00944640"/>
    <w:rsid w:val="009603EF"/>
    <w:rsid w:val="0096398B"/>
    <w:rsid w:val="0096697D"/>
    <w:rsid w:val="00973E9A"/>
    <w:rsid w:val="00981BAB"/>
    <w:rsid w:val="00983208"/>
    <w:rsid w:val="009A3D56"/>
    <w:rsid w:val="009B4A1B"/>
    <w:rsid w:val="009B68B6"/>
    <w:rsid w:val="009C0EE8"/>
    <w:rsid w:val="009C14AA"/>
    <w:rsid w:val="009C547C"/>
    <w:rsid w:val="009D6843"/>
    <w:rsid w:val="009E55F2"/>
    <w:rsid w:val="009F1131"/>
    <w:rsid w:val="009F1AEB"/>
    <w:rsid w:val="009F3DF4"/>
    <w:rsid w:val="00A01489"/>
    <w:rsid w:val="00A2100E"/>
    <w:rsid w:val="00A2112E"/>
    <w:rsid w:val="00A24EED"/>
    <w:rsid w:val="00A55144"/>
    <w:rsid w:val="00A61CCD"/>
    <w:rsid w:val="00A64909"/>
    <w:rsid w:val="00A72F22"/>
    <w:rsid w:val="00A748A6"/>
    <w:rsid w:val="00A77667"/>
    <w:rsid w:val="00A776B4"/>
    <w:rsid w:val="00A94361"/>
    <w:rsid w:val="00AB7EFC"/>
    <w:rsid w:val="00AC1552"/>
    <w:rsid w:val="00AC3BD4"/>
    <w:rsid w:val="00AF42DE"/>
    <w:rsid w:val="00B03DF0"/>
    <w:rsid w:val="00B05242"/>
    <w:rsid w:val="00B06775"/>
    <w:rsid w:val="00B1697C"/>
    <w:rsid w:val="00B30179"/>
    <w:rsid w:val="00B46F51"/>
    <w:rsid w:val="00B56E9C"/>
    <w:rsid w:val="00B61C03"/>
    <w:rsid w:val="00B64B1F"/>
    <w:rsid w:val="00B6553F"/>
    <w:rsid w:val="00B81E12"/>
    <w:rsid w:val="00B938F1"/>
    <w:rsid w:val="00B947C2"/>
    <w:rsid w:val="00BA0880"/>
    <w:rsid w:val="00BA2878"/>
    <w:rsid w:val="00BC689F"/>
    <w:rsid w:val="00BC70F2"/>
    <w:rsid w:val="00BC74E9"/>
    <w:rsid w:val="00BF68A8"/>
    <w:rsid w:val="00C21C8D"/>
    <w:rsid w:val="00C2242D"/>
    <w:rsid w:val="00C3206E"/>
    <w:rsid w:val="00C32D27"/>
    <w:rsid w:val="00C373A8"/>
    <w:rsid w:val="00C463DD"/>
    <w:rsid w:val="00C4724C"/>
    <w:rsid w:val="00C475AB"/>
    <w:rsid w:val="00C53A77"/>
    <w:rsid w:val="00C611AD"/>
    <w:rsid w:val="00C629A0"/>
    <w:rsid w:val="00C65D08"/>
    <w:rsid w:val="00C72592"/>
    <w:rsid w:val="00C745C3"/>
    <w:rsid w:val="00C75FB9"/>
    <w:rsid w:val="00C77506"/>
    <w:rsid w:val="00C87CC8"/>
    <w:rsid w:val="00C9712E"/>
    <w:rsid w:val="00CB3B0C"/>
    <w:rsid w:val="00CB5AE4"/>
    <w:rsid w:val="00CC00AC"/>
    <w:rsid w:val="00CC24D2"/>
    <w:rsid w:val="00CC3F8B"/>
    <w:rsid w:val="00CD3B37"/>
    <w:rsid w:val="00CE35EA"/>
    <w:rsid w:val="00CE4A8F"/>
    <w:rsid w:val="00CF04CA"/>
    <w:rsid w:val="00D02E5A"/>
    <w:rsid w:val="00D06422"/>
    <w:rsid w:val="00D06634"/>
    <w:rsid w:val="00D2031B"/>
    <w:rsid w:val="00D218CB"/>
    <w:rsid w:val="00D25FE2"/>
    <w:rsid w:val="00D32A7D"/>
    <w:rsid w:val="00D342D7"/>
    <w:rsid w:val="00D43252"/>
    <w:rsid w:val="00D51E7F"/>
    <w:rsid w:val="00D57F60"/>
    <w:rsid w:val="00D61187"/>
    <w:rsid w:val="00D646FB"/>
    <w:rsid w:val="00D7767E"/>
    <w:rsid w:val="00D978C6"/>
    <w:rsid w:val="00DA3C1C"/>
    <w:rsid w:val="00DE001F"/>
    <w:rsid w:val="00E02DDE"/>
    <w:rsid w:val="00E06156"/>
    <w:rsid w:val="00E109FB"/>
    <w:rsid w:val="00E352C9"/>
    <w:rsid w:val="00E360DC"/>
    <w:rsid w:val="00E4728E"/>
    <w:rsid w:val="00E544A8"/>
    <w:rsid w:val="00E54F67"/>
    <w:rsid w:val="00E57536"/>
    <w:rsid w:val="00E63389"/>
    <w:rsid w:val="00E71BC8"/>
    <w:rsid w:val="00E7260F"/>
    <w:rsid w:val="00E84A12"/>
    <w:rsid w:val="00E9305E"/>
    <w:rsid w:val="00E95155"/>
    <w:rsid w:val="00E96630"/>
    <w:rsid w:val="00EB015E"/>
    <w:rsid w:val="00ED32A3"/>
    <w:rsid w:val="00ED4B72"/>
    <w:rsid w:val="00ED616A"/>
    <w:rsid w:val="00ED7A2A"/>
    <w:rsid w:val="00EE0163"/>
    <w:rsid w:val="00EF1D7F"/>
    <w:rsid w:val="00EF5DEE"/>
    <w:rsid w:val="00F12198"/>
    <w:rsid w:val="00F21F86"/>
    <w:rsid w:val="00F32B3C"/>
    <w:rsid w:val="00F34583"/>
    <w:rsid w:val="00F40960"/>
    <w:rsid w:val="00F40A6C"/>
    <w:rsid w:val="00F41B52"/>
    <w:rsid w:val="00F458E9"/>
    <w:rsid w:val="00F504DF"/>
    <w:rsid w:val="00F5057E"/>
    <w:rsid w:val="00F569D9"/>
    <w:rsid w:val="00F6691A"/>
    <w:rsid w:val="00F77BFD"/>
    <w:rsid w:val="00F840A3"/>
    <w:rsid w:val="00FA271C"/>
    <w:rsid w:val="00FA75D6"/>
    <w:rsid w:val="00FA7AEA"/>
    <w:rsid w:val="00FB124D"/>
    <w:rsid w:val="00FC51E7"/>
    <w:rsid w:val="00FC68B7"/>
    <w:rsid w:val="00FD05BE"/>
    <w:rsid w:val="00FD0923"/>
    <w:rsid w:val="00FE60B3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C3206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F504DF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Default">
    <w:name w:val="Default"/>
    <w:rsid w:val="00B61C0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GB" w:eastAsia="en-GB"/>
    </w:rPr>
  </w:style>
  <w:style w:type="paragraph" w:customStyle="1" w:styleId="Pa10">
    <w:name w:val="Pa10"/>
    <w:basedOn w:val="Default"/>
    <w:next w:val="Default"/>
    <w:uiPriority w:val="99"/>
    <w:rsid w:val="00B61C03"/>
    <w:pPr>
      <w:spacing w:line="21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4268E6"/>
    <w:rPr>
      <w:rFonts w:cs="Cambria"/>
      <w:i/>
      <w:iCs/>
      <w:color w:val="000000"/>
      <w:sz w:val="9"/>
      <w:szCs w:val="9"/>
    </w:rPr>
  </w:style>
  <w:style w:type="paragraph" w:styleId="BalloonText">
    <w:name w:val="Balloon Text"/>
    <w:basedOn w:val="Normal"/>
    <w:link w:val="BalloonTextChar"/>
    <w:rsid w:val="00C32D2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32D27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11AD"/>
    <w:rPr>
      <w:b/>
      <w:bCs/>
    </w:rPr>
  </w:style>
  <w:style w:type="character" w:customStyle="1" w:styleId="CommentTextChar">
    <w:name w:val="Comment Text Char"/>
    <w:link w:val="CommentText"/>
    <w:semiHidden/>
    <w:rsid w:val="00C611AD"/>
    <w:rPr>
      <w:lang w:val="en-GB" w:eastAsia="en-US"/>
    </w:rPr>
  </w:style>
  <w:style w:type="character" w:customStyle="1" w:styleId="CommentSubjectChar">
    <w:name w:val="Comment Subject Char"/>
    <w:link w:val="CommentSubject"/>
    <w:rsid w:val="00C611AD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over%20Pages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2</Pages>
  <Words>687</Words>
  <Characters>3920</Characters>
  <Application>Microsoft Office Outlook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1363907</vt:lpstr>
    </vt:vector>
  </TitlesOfParts>
  <Company>CSD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1363907</dc:title>
  <dc:subject>CERD/C/XXX/Q/Y</dc:subject>
  <dc:creator>Morris</dc:creator>
  <cp:keywords/>
  <dc:description>Final</dc:description>
  <cp:lastModifiedBy>Temporaire</cp:lastModifiedBy>
  <cp:revision>3</cp:revision>
  <cp:lastPrinted>2015-03-04T07:33:00Z</cp:lastPrinted>
  <dcterms:created xsi:type="dcterms:W3CDTF">2015-03-04T07:33:00Z</dcterms:created>
  <dcterms:modified xsi:type="dcterms:W3CDTF">2015-03-04T07:33:00Z</dcterms:modified>
</cp:coreProperties>
</file>