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1F1321">
                <w:t>C/10/3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1F1321">
                <w:rPr>
                  <w:sz w:val="20"/>
                  <w:lang w:val="en-US"/>
                </w:rPr>
                <w:t>7 November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4428F" w:rsidRPr="00143CBB" w:rsidRDefault="003C76C4" w:rsidP="00143CBB">
      <w:pPr>
        <w:spacing w:before="120"/>
        <w:rPr>
          <w:b/>
          <w:sz w:val="24"/>
          <w:szCs w:val="24"/>
        </w:rPr>
      </w:pPr>
      <w:r w:rsidRPr="00143CBB">
        <w:rPr>
          <w:b/>
          <w:sz w:val="24"/>
          <w:szCs w:val="24"/>
        </w:rPr>
        <w:t>Комитет по правам инвалидов</w:t>
      </w:r>
    </w:p>
    <w:p w:rsidR="00143CBB" w:rsidRDefault="00143CBB" w:rsidP="00143CBB">
      <w:pPr>
        <w:pStyle w:val="HChGR"/>
      </w:pPr>
      <w:r>
        <w:tab/>
      </w:r>
      <w:r>
        <w:tab/>
      </w:r>
      <w:r w:rsidR="003C76C4" w:rsidRPr="00143CBB">
        <w:t>Промежуточн</w:t>
      </w:r>
      <w:r>
        <w:t>ый доклад о последующих мерах в </w:t>
      </w:r>
      <w:r w:rsidR="003C76C4" w:rsidRPr="00143CBB">
        <w:t>соответствии со статьей 5 Факультативного протокола к Конвенции о правах инвалидов, принятый Комитетом по правам инва</w:t>
      </w:r>
      <w:r>
        <w:t>лидов на </w:t>
      </w:r>
      <w:r w:rsidR="003C76C4" w:rsidRPr="00143CBB">
        <w:t>его</w:t>
      </w:r>
      <w:r>
        <w:t> </w:t>
      </w:r>
      <w:r w:rsidR="003C76C4" w:rsidRPr="00143CBB">
        <w:t>десятой сессии (2</w:t>
      </w:r>
      <w:r w:rsidR="0064428F" w:rsidRPr="00143CBB">
        <w:t>−</w:t>
      </w:r>
      <w:r w:rsidR="003C76C4" w:rsidRPr="00143CBB">
        <w:t>13 сентября 2013</w:t>
      </w:r>
      <w:r w:rsidR="0000551E">
        <w:t xml:space="preserve"> года</w:t>
      </w:r>
      <w:r w:rsidR="003C76C4" w:rsidRPr="00143CBB">
        <w:t>)</w:t>
      </w:r>
    </w:p>
    <w:p w:rsidR="00143CBB" w:rsidRDefault="0064428F" w:rsidP="00143CBB">
      <w:pPr>
        <w:pStyle w:val="H1GR"/>
      </w:pPr>
      <w:r w:rsidRPr="00143CBB">
        <w:tab/>
        <w:t>А.</w:t>
      </w:r>
      <w:r w:rsidRPr="00143CBB">
        <w:tab/>
      </w:r>
      <w:r w:rsidR="003C76C4" w:rsidRPr="00143CBB">
        <w:t>Введение</w:t>
      </w:r>
    </w:p>
    <w:p w:rsidR="0064428F" w:rsidRPr="00143CBB" w:rsidRDefault="003C76C4" w:rsidP="00143CBB">
      <w:pPr>
        <w:pStyle w:val="SingleTxtGR"/>
      </w:pPr>
      <w:r w:rsidRPr="00143CBB">
        <w:t>1.</w:t>
      </w:r>
      <w:r w:rsidR="0064428F" w:rsidRPr="00143CBB">
        <w:tab/>
      </w:r>
      <w:r w:rsidRPr="00143CBB">
        <w:t>Настоящий доклад представляется в соответствии со статьей 5 Факульт</w:t>
      </w:r>
      <w:r w:rsidRPr="00143CBB">
        <w:t>а</w:t>
      </w:r>
      <w:r w:rsidRPr="00143CBB">
        <w:t>тивного протокола к Ко</w:t>
      </w:r>
      <w:r w:rsidRPr="00143CBB">
        <w:t>н</w:t>
      </w:r>
      <w:r w:rsidRPr="00143CBB">
        <w:t>венции о правах инвалидов и пунктом 7 правила 75 правил процедуры Комитета по правам инвалидов. Статья 5 Факультативного протокола гласит: "При рассмотрении сообщений в соответствии с настоящим Протоколом Комитет проводит закрытые заседания. После изучения сообщения Комитет направляет свои предложения и рекомендации (если таковые имеются) соответствующему государству-участнику и зая</w:t>
      </w:r>
      <w:r w:rsidR="0064428F" w:rsidRPr="00143CBB">
        <w:t>вителю</w:t>
      </w:r>
      <w:r w:rsidRPr="00143CBB">
        <w:t>"</w:t>
      </w:r>
      <w:r w:rsidR="0064428F" w:rsidRPr="00143CBB">
        <w:t xml:space="preserve">. </w:t>
      </w:r>
      <w:r w:rsidRPr="00143CBB">
        <w:t>В пункте 7 правила 75 говорится: "Специальный докладчик или рабочая группа регулярно информ</w:t>
      </w:r>
      <w:r w:rsidRPr="00143CBB">
        <w:t>и</w:t>
      </w:r>
      <w:r w:rsidRPr="00143CBB">
        <w:t>руют Комитет об осуществлении мероприятий в связи с последующими мер</w:t>
      </w:r>
      <w:r w:rsidRPr="00143CBB">
        <w:t>а</w:t>
      </w:r>
      <w:r w:rsidRPr="00143CBB">
        <w:t>ми"</w:t>
      </w:r>
      <w:r w:rsidR="0064428F" w:rsidRPr="00143CBB">
        <w:t>.</w:t>
      </w:r>
    </w:p>
    <w:p w:rsidR="003C76C4" w:rsidRPr="00143CBB" w:rsidRDefault="0064428F" w:rsidP="00143CBB">
      <w:pPr>
        <w:pStyle w:val="SingleTxtGR"/>
      </w:pPr>
      <w:r w:rsidRPr="00143CBB">
        <w:t>2.</w:t>
      </w:r>
      <w:r w:rsidRPr="00143CBB">
        <w:tab/>
      </w:r>
      <w:r w:rsidR="003C76C4" w:rsidRPr="00143CBB">
        <w:t>В настоящем докладе излагается информация, полученная Специальным докладчиком по посл</w:t>
      </w:r>
      <w:r w:rsidR="003C76C4" w:rsidRPr="00143CBB">
        <w:t>е</w:t>
      </w:r>
      <w:r w:rsidR="003C76C4" w:rsidRPr="00143CBB">
        <w:t>дующей деятельности в связи с соображениями Комитета в период между девятой и десятой сессиями в соответствии с правилами проц</w:t>
      </w:r>
      <w:r w:rsidR="003C76C4" w:rsidRPr="00143CBB">
        <w:t>е</w:t>
      </w:r>
      <w:r w:rsidR="003C76C4" w:rsidRPr="00143CBB">
        <w:t xml:space="preserve">дуры Комитета, а также </w:t>
      </w:r>
      <w:r w:rsidRPr="00143CBB">
        <w:t>представлены анализы</w:t>
      </w:r>
      <w:r w:rsidR="003C76C4" w:rsidRPr="00143CBB">
        <w:t xml:space="preserve"> и решения, принятые Комит</w:t>
      </w:r>
      <w:r w:rsidR="003C76C4" w:rsidRPr="00143CBB">
        <w:t>е</w:t>
      </w:r>
      <w:r w:rsidR="003C76C4" w:rsidRPr="00143CBB">
        <w:t>том на его десятой сессии. Критерии оценки являются следующими:</w:t>
      </w:r>
    </w:p>
    <w:tbl>
      <w:tblPr>
        <w:tblStyle w:val="TabTxt"/>
        <w:tblW w:w="7370" w:type="dxa"/>
        <w:tblInd w:w="1134" w:type="dxa"/>
        <w:tblLayout w:type="fixed"/>
        <w:tblLook w:val="01E0"/>
      </w:tblPr>
      <w:tblGrid>
        <w:gridCol w:w="1134"/>
        <w:gridCol w:w="6236"/>
      </w:tblGrid>
      <w:tr w:rsidR="00387899" w:rsidRPr="001C5664" w:rsidTr="001C5664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87899" w:rsidRPr="001C5664" w:rsidRDefault="00387899" w:rsidP="001C566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cnfStyle w:val="000100000000"/>
            <w:tcW w:w="6236" w:type="dxa"/>
            <w:tcBorders>
              <w:bottom w:val="single" w:sz="12" w:space="0" w:color="auto"/>
            </w:tcBorders>
            <w:shd w:val="clear" w:color="auto" w:fill="auto"/>
          </w:tcPr>
          <w:p w:rsidR="00387899" w:rsidRPr="001C5664" w:rsidRDefault="00387899" w:rsidP="001C5664">
            <w:pPr>
              <w:spacing w:before="80" w:after="80" w:line="200" w:lineRule="exact"/>
              <w:rPr>
                <w:i/>
                <w:sz w:val="16"/>
              </w:rPr>
            </w:pPr>
            <w:r w:rsidRPr="001C5664">
              <w:rPr>
                <w:i/>
                <w:sz w:val="16"/>
              </w:rPr>
              <w:t>Критерии оценки</w:t>
            </w:r>
          </w:p>
        </w:tc>
      </w:tr>
      <w:tr w:rsidR="00387899" w:rsidRPr="001C5664" w:rsidTr="001C5664">
        <w:tc>
          <w:tcPr>
            <w:cnfStyle w:val="000100000000"/>
            <w:tcW w:w="7370" w:type="dxa"/>
            <w:gridSpan w:val="2"/>
            <w:tcBorders>
              <w:top w:val="single" w:sz="12" w:space="0" w:color="auto"/>
            </w:tcBorders>
          </w:tcPr>
          <w:p w:rsidR="00387899" w:rsidRPr="001C5664" w:rsidRDefault="00387899" w:rsidP="001C5664">
            <w:pPr>
              <w:spacing w:after="80"/>
              <w:rPr>
                <w:b/>
              </w:rPr>
            </w:pPr>
            <w:r w:rsidRPr="001C5664">
              <w:rPr>
                <w:b/>
              </w:rPr>
              <w:t>Удовлетворительный ответ/меры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A</w:t>
            </w:r>
          </w:p>
        </w:tc>
        <w:tc>
          <w:tcPr>
            <w:cnfStyle w:val="000100000000"/>
            <w:tcW w:w="6236" w:type="dxa"/>
          </w:tcPr>
          <w:p w:rsidR="00387899" w:rsidRPr="001C5664" w:rsidRDefault="00387899" w:rsidP="001C5664">
            <w:pPr>
              <w:spacing w:after="80"/>
            </w:pPr>
            <w:r w:rsidRPr="001C5664">
              <w:t>В целом удовлетворительный ответ</w:t>
            </w:r>
          </w:p>
        </w:tc>
      </w:tr>
      <w:tr w:rsidR="00387899" w:rsidRPr="001C5664" w:rsidTr="001C5664">
        <w:tc>
          <w:tcPr>
            <w:cnfStyle w:val="000100000000"/>
            <w:tcW w:w="7370" w:type="dxa"/>
            <w:gridSpan w:val="2"/>
          </w:tcPr>
          <w:p w:rsidR="00387899" w:rsidRPr="001C5664" w:rsidRDefault="00387899" w:rsidP="001C5664">
            <w:pPr>
              <w:spacing w:after="80"/>
              <w:rPr>
                <w:b/>
              </w:rPr>
            </w:pPr>
            <w:r w:rsidRPr="001C5664">
              <w:rPr>
                <w:b/>
              </w:rPr>
              <w:t>Частично удовлетворительный ответ/меры</w:t>
            </w:r>
          </w:p>
        </w:tc>
      </w:tr>
      <w:tr w:rsidR="00387899" w:rsidRPr="001C5664" w:rsidTr="001C5664">
        <w:tc>
          <w:tcPr>
            <w:tcW w:w="1134" w:type="dxa"/>
            <w:tcBorders>
              <w:bottom w:val="nil"/>
            </w:tcBorders>
          </w:tcPr>
          <w:p w:rsidR="00387899" w:rsidRPr="001C5664" w:rsidRDefault="00387899" w:rsidP="001C5664">
            <w:pPr>
              <w:spacing w:after="80"/>
            </w:pPr>
            <w:r w:rsidRPr="001C5664">
              <w:t>B1</w:t>
            </w:r>
          </w:p>
        </w:tc>
        <w:tc>
          <w:tcPr>
            <w:cnfStyle w:val="000100000000"/>
            <w:tcW w:w="6236" w:type="dxa"/>
          </w:tcPr>
          <w:p w:rsidR="00387899" w:rsidRPr="001C5664" w:rsidRDefault="00387899" w:rsidP="001C5664">
            <w:pPr>
              <w:spacing w:after="80"/>
            </w:pPr>
            <w:r w:rsidRPr="001C5664">
              <w:t>Приняты серьезные меры, но необходима дополнительная инфо</w:t>
            </w:r>
            <w:r w:rsidRPr="001C5664">
              <w:t>р</w:t>
            </w:r>
            <w:r w:rsidRPr="001C5664">
              <w:t>мация</w:t>
            </w:r>
          </w:p>
        </w:tc>
      </w:tr>
      <w:tr w:rsidR="00387899" w:rsidRPr="001C5664" w:rsidTr="001C5664">
        <w:tc>
          <w:tcPr>
            <w:tcW w:w="1134" w:type="dxa"/>
            <w:tcBorders>
              <w:top w:val="nil"/>
              <w:bottom w:val="nil"/>
            </w:tcBorders>
          </w:tcPr>
          <w:p w:rsidR="00387899" w:rsidRPr="001C5664" w:rsidRDefault="00387899" w:rsidP="001C5664">
            <w:pPr>
              <w:spacing w:after="80"/>
            </w:pPr>
            <w:r w:rsidRPr="001C5664">
              <w:t>B2</w:t>
            </w:r>
          </w:p>
        </w:tc>
        <w:tc>
          <w:tcPr>
            <w:cnfStyle w:val="000100000000"/>
            <w:tcW w:w="6236" w:type="dxa"/>
          </w:tcPr>
          <w:p w:rsidR="00387899" w:rsidRPr="001C5664" w:rsidRDefault="00A11C0F" w:rsidP="001C5664">
            <w:pPr>
              <w:spacing w:after="80"/>
            </w:pPr>
            <w:r>
              <w:t>Приняты перво</w:t>
            </w:r>
            <w:r w:rsidR="00387899" w:rsidRPr="001C5664">
              <w:t>начальные меры, но необходима дополнительная и</w:t>
            </w:r>
            <w:r w:rsidR="00387899" w:rsidRPr="001C5664">
              <w:t>н</w:t>
            </w:r>
            <w:r w:rsidR="00387899" w:rsidRPr="001C5664">
              <w:t>формация</w:t>
            </w:r>
          </w:p>
        </w:tc>
      </w:tr>
      <w:tr w:rsidR="00387899" w:rsidRPr="001C5664" w:rsidTr="001C5664">
        <w:tc>
          <w:tcPr>
            <w:cnfStyle w:val="000100000000"/>
            <w:tcW w:w="7370" w:type="dxa"/>
            <w:gridSpan w:val="2"/>
          </w:tcPr>
          <w:p w:rsidR="00387899" w:rsidRPr="001C5664" w:rsidRDefault="00387899" w:rsidP="001C5664">
            <w:pPr>
              <w:spacing w:after="80"/>
              <w:rPr>
                <w:b/>
              </w:rPr>
            </w:pPr>
            <w:r w:rsidRPr="001C5664">
              <w:rPr>
                <w:b/>
              </w:rPr>
              <w:t>Неудовлетворительный ответ/меры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C1</w:t>
            </w:r>
          </w:p>
        </w:tc>
        <w:tc>
          <w:tcPr>
            <w:cnfStyle w:val="000100000000"/>
            <w:tcW w:w="6236" w:type="dxa"/>
          </w:tcPr>
          <w:p w:rsidR="00387899" w:rsidRPr="001C5664" w:rsidRDefault="00387899" w:rsidP="001C5664">
            <w:pPr>
              <w:spacing w:after="80"/>
            </w:pPr>
            <w:r w:rsidRPr="001C5664">
              <w:t>Ответ получен, но принятые меры не обеспечи</w:t>
            </w:r>
            <w:r w:rsidR="00A11C0F">
              <w:t>вают выполнения</w:t>
            </w:r>
            <w:r w:rsidRPr="001C5664">
              <w:t xml:space="preserve"> рек</w:t>
            </w:r>
            <w:r w:rsidRPr="001C5664">
              <w:t>о</w:t>
            </w:r>
            <w:r w:rsidRPr="001C5664">
              <w:t>мендации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C2</w:t>
            </w:r>
          </w:p>
        </w:tc>
        <w:tc>
          <w:tcPr>
            <w:cnfStyle w:val="000100000000"/>
            <w:tcW w:w="6236" w:type="dxa"/>
          </w:tcPr>
          <w:p w:rsidR="00387899" w:rsidRPr="001C5664" w:rsidRDefault="00387899" w:rsidP="001C5664">
            <w:pPr>
              <w:spacing w:after="80"/>
            </w:pPr>
            <w:r w:rsidRPr="001C5664">
              <w:t>Ответ получен, но не имеет отношения к соображен</w:t>
            </w:r>
            <w:r w:rsidRPr="001C5664">
              <w:t>и</w:t>
            </w:r>
            <w:r w:rsidRPr="001C5664">
              <w:t>ям/рекомендациям</w:t>
            </w:r>
          </w:p>
        </w:tc>
      </w:tr>
      <w:tr w:rsidR="00387899" w:rsidRPr="001C5664" w:rsidTr="001C5664">
        <w:tc>
          <w:tcPr>
            <w:cnfStyle w:val="000100000000"/>
            <w:tcW w:w="7370" w:type="dxa"/>
            <w:gridSpan w:val="2"/>
          </w:tcPr>
          <w:p w:rsidR="00387899" w:rsidRPr="001C5664" w:rsidRDefault="00387899" w:rsidP="001C5664">
            <w:pPr>
              <w:spacing w:after="80"/>
              <w:rPr>
                <w:b/>
              </w:rPr>
            </w:pPr>
            <w:r w:rsidRPr="001C5664">
              <w:rPr>
                <w:b/>
              </w:rPr>
              <w:t>Отсутствие сотрудничества с Комитетом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D1</w:t>
            </w:r>
          </w:p>
        </w:tc>
        <w:tc>
          <w:tcPr>
            <w:cnfStyle w:val="000100000000"/>
            <w:tcW w:w="6236" w:type="dxa"/>
          </w:tcPr>
          <w:p w:rsidR="00387899" w:rsidRPr="001C5664" w:rsidRDefault="00143CBB" w:rsidP="001C5664">
            <w:pPr>
              <w:spacing w:after="80"/>
            </w:pPr>
            <w:r w:rsidRPr="001C5664">
              <w:t xml:space="preserve">Не получено ответа на одну </w:t>
            </w:r>
            <w:r w:rsidR="00A11C0F">
              <w:t xml:space="preserve">рекомендацию </w:t>
            </w:r>
            <w:r w:rsidRPr="001C5664">
              <w:t xml:space="preserve">или </w:t>
            </w:r>
            <w:r w:rsidR="00A11C0F">
              <w:t xml:space="preserve">по </w:t>
            </w:r>
            <w:r w:rsidRPr="001C5664">
              <w:t>несколько рек</w:t>
            </w:r>
            <w:r w:rsidRPr="001C5664">
              <w:t>о</w:t>
            </w:r>
            <w:r w:rsidRPr="001C5664">
              <w:t xml:space="preserve">мендаций </w:t>
            </w:r>
            <w:r w:rsidR="00A11C0F">
              <w:t>либо на</w:t>
            </w:r>
            <w:r w:rsidRPr="001C5664">
              <w:t xml:space="preserve"> часть рекомендаци</w:t>
            </w:r>
            <w:r w:rsidR="00A11C0F">
              <w:t>и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D2</w:t>
            </w:r>
          </w:p>
        </w:tc>
        <w:tc>
          <w:tcPr>
            <w:cnfStyle w:val="000100000000"/>
            <w:tcW w:w="6236" w:type="dxa"/>
          </w:tcPr>
          <w:p w:rsidR="00387899" w:rsidRPr="001C5664" w:rsidRDefault="00A11C0F" w:rsidP="001C5664">
            <w:pPr>
              <w:spacing w:after="80"/>
            </w:pPr>
            <w:r>
              <w:t>О</w:t>
            </w:r>
            <w:r w:rsidR="00143CBB" w:rsidRPr="001C5664">
              <w:t>твета не получено после напоминания</w:t>
            </w:r>
            <w:r>
              <w:t xml:space="preserve"> </w:t>
            </w:r>
            <w:r w:rsidR="00143CBB" w:rsidRPr="001C5664">
              <w:t>(</w:t>
            </w:r>
            <w:r>
              <w:t>напоминани</w:t>
            </w:r>
            <w:r w:rsidR="00143CBB" w:rsidRPr="001C5664">
              <w:t>й)</w:t>
            </w:r>
          </w:p>
        </w:tc>
      </w:tr>
      <w:tr w:rsidR="00387899" w:rsidRPr="001C5664" w:rsidTr="001C5664">
        <w:tc>
          <w:tcPr>
            <w:cnfStyle w:val="000100000000"/>
            <w:tcW w:w="7370" w:type="dxa"/>
            <w:gridSpan w:val="2"/>
          </w:tcPr>
          <w:p w:rsidR="00387899" w:rsidRPr="001C5664" w:rsidRDefault="00143CBB" w:rsidP="001C5664">
            <w:pPr>
              <w:spacing w:after="80"/>
              <w:rPr>
                <w:b/>
              </w:rPr>
            </w:pPr>
            <w:r w:rsidRPr="001C5664">
              <w:rPr>
                <w:b/>
              </w:rPr>
              <w:t>Принятые меры противоречат рекомендациям Комитета</w:t>
            </w:r>
          </w:p>
        </w:tc>
      </w:tr>
      <w:tr w:rsidR="00387899" w:rsidRPr="001C5664" w:rsidTr="001C5664">
        <w:tc>
          <w:tcPr>
            <w:tcW w:w="1134" w:type="dxa"/>
          </w:tcPr>
          <w:p w:rsidR="00387899" w:rsidRPr="001C5664" w:rsidRDefault="00387899" w:rsidP="001C5664">
            <w:pPr>
              <w:spacing w:after="80"/>
            </w:pPr>
            <w:r w:rsidRPr="001C5664">
              <w:t>E</w:t>
            </w:r>
          </w:p>
        </w:tc>
        <w:tc>
          <w:tcPr>
            <w:cnfStyle w:val="000100000000"/>
            <w:tcW w:w="6236" w:type="dxa"/>
          </w:tcPr>
          <w:p w:rsidR="00387899" w:rsidRPr="001C5664" w:rsidRDefault="00143CBB" w:rsidP="001C5664">
            <w:pPr>
              <w:spacing w:after="80"/>
            </w:pPr>
            <w:r w:rsidRPr="001C5664">
              <w:t>Ответ свидетельствует о том, что принятые меры идут вразрез с рекомендациями Комитета</w:t>
            </w:r>
          </w:p>
        </w:tc>
      </w:tr>
    </w:tbl>
    <w:p w:rsidR="003C76C4" w:rsidRPr="003C76C4" w:rsidRDefault="00C96F17" w:rsidP="00C96F17">
      <w:pPr>
        <w:pStyle w:val="H1GR"/>
      </w:pPr>
      <w:r>
        <w:tab/>
        <w:t>В.</w:t>
      </w:r>
      <w:r>
        <w:tab/>
      </w:r>
      <w:r w:rsidR="003C76C4" w:rsidRPr="003C76C4">
        <w:t>Сообщения</w:t>
      </w:r>
    </w:p>
    <w:p w:rsidR="003C76C4" w:rsidRPr="003C76C4" w:rsidRDefault="00C96F17" w:rsidP="00C96F17">
      <w:pPr>
        <w:pStyle w:val="H23GR"/>
      </w:pPr>
      <w:r>
        <w:tab/>
      </w:r>
      <w:r>
        <w:tab/>
      </w:r>
      <w:r w:rsidR="003C76C4" w:rsidRPr="003C76C4">
        <w:t xml:space="preserve">Сообщение № 3/2011, </w:t>
      </w:r>
      <w:r w:rsidR="003C76C4" w:rsidRPr="00C96F17">
        <w:rPr>
          <w:i/>
        </w:rPr>
        <w:t>Х.М. против Швеции</w:t>
      </w:r>
    </w:p>
    <w:p w:rsidR="00CD1F7B" w:rsidRDefault="003C76C4" w:rsidP="00C96F17">
      <w:pPr>
        <w:pStyle w:val="SingleTxtGR"/>
        <w:rPr>
          <w:lang w:val="en-US"/>
        </w:rPr>
      </w:pPr>
      <w:r w:rsidRPr="003C76C4">
        <w:t>3.</w:t>
      </w:r>
      <w:r w:rsidRPr="003C76C4">
        <w:tab/>
        <w:t>Соображения Комитета были приняты 19 апреля 2012 года, а последу</w:t>
      </w:r>
      <w:r w:rsidRPr="003C76C4">
        <w:t>ю</w:t>
      </w:r>
      <w:r w:rsidRPr="003C76C4">
        <w:t>щий ответ государства-участника в отношении мер, принятых в свете сообр</w:t>
      </w:r>
      <w:r w:rsidRPr="003C76C4">
        <w:t>а</w:t>
      </w:r>
      <w:r w:rsidRPr="003C76C4">
        <w:t>жений и рекомендаций Комитета, был получен 26 октября 2012 года. Замечания адвоката автора по поводу ответа государства-участника были получены 1 фе</w:t>
      </w:r>
      <w:r w:rsidRPr="003C76C4">
        <w:t>в</w:t>
      </w:r>
      <w:r w:rsidRPr="003C76C4">
        <w:t>раля 2013 года.</w:t>
      </w:r>
    </w:p>
    <w:tbl>
      <w:tblPr>
        <w:tblStyle w:val="TabTxt"/>
        <w:tblW w:w="7370" w:type="dxa"/>
        <w:tblInd w:w="1134" w:type="dxa"/>
        <w:tblLayout w:type="fixed"/>
        <w:tblLook w:val="01E0"/>
      </w:tblPr>
      <w:tblGrid>
        <w:gridCol w:w="3686"/>
        <w:gridCol w:w="3668"/>
        <w:gridCol w:w="16"/>
      </w:tblGrid>
      <w:tr w:rsidR="0064428F" w:rsidRPr="00F23131" w:rsidTr="001029BE">
        <w:trPr>
          <w:gridAfter w:val="1"/>
          <w:wAfter w:w="16" w:type="dxa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4428F" w:rsidRPr="00F23131" w:rsidRDefault="0064428F" w:rsidP="00FF0233">
            <w:pPr>
              <w:spacing w:before="80" w:after="80" w:line="200" w:lineRule="exact"/>
              <w:rPr>
                <w:b/>
                <w:i/>
              </w:rPr>
            </w:pPr>
            <w:r w:rsidRPr="00F23131">
              <w:rPr>
                <w:b/>
                <w:i/>
              </w:rPr>
              <w:t>Х.М. против Швеции</w:t>
            </w:r>
          </w:p>
        </w:tc>
        <w:tc>
          <w:tcPr>
            <w:cnfStyle w:val="000100000000"/>
            <w:tcW w:w="3668" w:type="dxa"/>
            <w:tcBorders>
              <w:bottom w:val="single" w:sz="12" w:space="0" w:color="auto"/>
            </w:tcBorders>
            <w:shd w:val="clear" w:color="auto" w:fill="auto"/>
          </w:tcPr>
          <w:p w:rsidR="0064428F" w:rsidRPr="00F23131" w:rsidRDefault="0064428F" w:rsidP="00F23131">
            <w:pPr>
              <w:spacing w:before="80" w:after="80" w:line="200" w:lineRule="exact"/>
              <w:rPr>
                <w:b/>
                <w:i/>
              </w:rPr>
            </w:pPr>
            <w:r w:rsidRPr="00F23131">
              <w:rPr>
                <w:b/>
                <w:i/>
              </w:rPr>
              <w:t>№ 3/2011</w:t>
            </w:r>
          </w:p>
        </w:tc>
      </w:tr>
      <w:tr w:rsidR="0064428F" w:rsidRPr="00FF0233" w:rsidTr="001029BE">
        <w:trPr>
          <w:gridAfter w:val="1"/>
          <w:wAfter w:w="16" w:type="dxa"/>
        </w:trPr>
        <w:tc>
          <w:tcPr>
            <w:tcW w:w="3686" w:type="dxa"/>
            <w:tcBorders>
              <w:top w:val="single" w:sz="12" w:space="0" w:color="auto"/>
            </w:tcBorders>
          </w:tcPr>
          <w:p w:rsidR="0064428F" w:rsidRPr="00FF0233" w:rsidRDefault="0064428F" w:rsidP="00FF0233">
            <w:pPr>
              <w:rPr>
                <w:b/>
              </w:rPr>
            </w:pPr>
            <w:r w:rsidRPr="00FF0233">
              <w:rPr>
                <w:b/>
              </w:rPr>
              <w:t>Соображения:</w:t>
            </w:r>
          </w:p>
        </w:tc>
        <w:tc>
          <w:tcPr>
            <w:cnfStyle w:val="000100000000"/>
            <w:tcW w:w="3668" w:type="dxa"/>
            <w:tcBorders>
              <w:top w:val="single" w:sz="12" w:space="0" w:color="auto"/>
            </w:tcBorders>
          </w:tcPr>
          <w:p w:rsidR="0064428F" w:rsidRPr="00FF0233" w:rsidRDefault="0064428F" w:rsidP="00FF0233">
            <w:r w:rsidRPr="00FF0233">
              <w:t>19 апреля 2012 года</w:t>
            </w:r>
          </w:p>
        </w:tc>
      </w:tr>
      <w:tr w:rsidR="0064428F" w:rsidRPr="00FF0233" w:rsidTr="001029BE">
        <w:trPr>
          <w:gridAfter w:val="1"/>
          <w:wAfter w:w="16" w:type="dxa"/>
        </w:trPr>
        <w:tc>
          <w:tcPr>
            <w:tcW w:w="3686" w:type="dxa"/>
          </w:tcPr>
          <w:p w:rsidR="0064428F" w:rsidRPr="00FF0233" w:rsidRDefault="0064428F" w:rsidP="00FF0233">
            <w:pPr>
              <w:rPr>
                <w:b/>
              </w:rPr>
            </w:pPr>
            <w:r w:rsidRPr="00FF0233">
              <w:rPr>
                <w:b/>
              </w:rPr>
              <w:t>Первый ответ государства-участника:</w:t>
            </w:r>
          </w:p>
        </w:tc>
        <w:tc>
          <w:tcPr>
            <w:cnfStyle w:val="000100000000"/>
            <w:tcW w:w="3668" w:type="dxa"/>
          </w:tcPr>
          <w:p w:rsidR="0064428F" w:rsidRPr="00FF0233" w:rsidRDefault="0064428F" w:rsidP="00FF0233">
            <w:r w:rsidRPr="00FF0233">
              <w:t>должен был быть направлен 19 апреля 201</w:t>
            </w:r>
            <w:r w:rsidR="00F23131">
              <w:t>3</w:t>
            </w:r>
            <w:r w:rsidRPr="00FF0233">
              <w:t xml:space="preserve"> года; получен 26 октября 2012</w:t>
            </w:r>
            <w:r w:rsidR="00502102">
              <w:t> </w:t>
            </w:r>
            <w:r w:rsidRPr="00FF0233">
              <w:t>г</w:t>
            </w:r>
            <w:r w:rsidRPr="00FF0233">
              <w:t>о</w:t>
            </w:r>
            <w:r w:rsidRPr="00FF0233">
              <w:t>да</w:t>
            </w:r>
          </w:p>
        </w:tc>
      </w:tr>
      <w:tr w:rsidR="0064428F" w:rsidRPr="00FF0233" w:rsidTr="001029BE">
        <w:trPr>
          <w:gridAfter w:val="1"/>
          <w:wAfter w:w="16" w:type="dxa"/>
        </w:trPr>
        <w:tc>
          <w:tcPr>
            <w:tcW w:w="3686" w:type="dxa"/>
          </w:tcPr>
          <w:p w:rsidR="0064428F" w:rsidRPr="00FF0233" w:rsidRDefault="0064428F" w:rsidP="00FF0233">
            <w:pPr>
              <w:rPr>
                <w:b/>
              </w:rPr>
            </w:pPr>
            <w:r w:rsidRPr="00FF0233">
              <w:rPr>
                <w:b/>
              </w:rPr>
              <w:t>Замечания адвоката автора:</w:t>
            </w:r>
          </w:p>
        </w:tc>
        <w:tc>
          <w:tcPr>
            <w:cnfStyle w:val="000100000000"/>
            <w:tcW w:w="3668" w:type="dxa"/>
          </w:tcPr>
          <w:p w:rsidR="0064428F" w:rsidRPr="00FF0233" w:rsidRDefault="0064428F" w:rsidP="00FF0233">
            <w:r w:rsidRPr="00FF0233">
              <w:t xml:space="preserve">1 февраля 2013 года </w:t>
            </w:r>
          </w:p>
        </w:tc>
      </w:tr>
      <w:tr w:rsidR="0064428F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64428F" w:rsidRPr="00FF0233" w:rsidRDefault="0064428F" w:rsidP="00FF0233">
            <w:pPr>
              <w:rPr>
                <w:b/>
              </w:rPr>
            </w:pPr>
            <w:r w:rsidRPr="00FF0233">
              <w:rPr>
                <w:b/>
              </w:rPr>
              <w:t>Пункт 9.1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1029BE" w:rsidRDefault="00C96F17" w:rsidP="00F23131">
            <w:pPr>
              <w:rPr>
                <w:b/>
              </w:rPr>
            </w:pPr>
            <w:r w:rsidRPr="001029BE">
              <w:rPr>
                <w:b/>
              </w:rPr>
              <w:t xml:space="preserve">Государство-участник обязано </w:t>
            </w:r>
            <w:r w:rsidR="00502102" w:rsidRPr="001029BE">
              <w:rPr>
                <w:b/>
              </w:rPr>
              <w:t>устранить</w:t>
            </w:r>
            <w:r w:rsidRPr="001029BE">
              <w:rPr>
                <w:b/>
              </w:rPr>
              <w:t xml:space="preserve"> нарушение прав автора по Ко</w:t>
            </w:r>
            <w:r w:rsidRPr="001029BE">
              <w:rPr>
                <w:b/>
              </w:rPr>
              <w:t>н</w:t>
            </w:r>
            <w:r w:rsidRPr="001029BE">
              <w:rPr>
                <w:b/>
              </w:rPr>
              <w:t>венции, в</w:t>
            </w:r>
            <w:r w:rsidR="00502102" w:rsidRPr="001029BE">
              <w:rPr>
                <w:b/>
              </w:rPr>
              <w:t xml:space="preserve"> том числе</w:t>
            </w:r>
            <w:r w:rsidRPr="001029BE">
              <w:rPr>
                <w:b/>
              </w:rPr>
              <w:t xml:space="preserve"> повторно рассмотре</w:t>
            </w:r>
            <w:r w:rsidR="00502102" w:rsidRPr="001029BE">
              <w:rPr>
                <w:b/>
              </w:rPr>
              <w:t>в ее заявления о выдаче</w:t>
            </w:r>
            <w:r w:rsidRPr="001029BE">
              <w:rPr>
                <w:b/>
              </w:rPr>
              <w:t xml:space="preserve"> разреш</w:t>
            </w:r>
            <w:r w:rsidRPr="001029BE">
              <w:rPr>
                <w:b/>
              </w:rPr>
              <w:t>е</w:t>
            </w:r>
            <w:r w:rsidR="00502102" w:rsidRPr="001029BE">
              <w:rPr>
                <w:b/>
              </w:rPr>
              <w:t>ния</w:t>
            </w:r>
            <w:r w:rsidRPr="001029BE">
              <w:rPr>
                <w:b/>
              </w:rPr>
              <w:t xml:space="preserve"> на строительство гидротерапевтического бассейна, с учетом </w:t>
            </w:r>
            <w:r w:rsidR="00502102" w:rsidRPr="001029BE">
              <w:rPr>
                <w:b/>
              </w:rPr>
              <w:t>сообр</w:t>
            </w:r>
            <w:r w:rsidR="00502102" w:rsidRPr="001029BE">
              <w:rPr>
                <w:b/>
              </w:rPr>
              <w:t>а</w:t>
            </w:r>
            <w:r w:rsidR="00502102" w:rsidRPr="001029BE">
              <w:rPr>
                <w:b/>
              </w:rPr>
              <w:t xml:space="preserve">жений </w:t>
            </w:r>
            <w:r w:rsidRPr="001029BE">
              <w:rPr>
                <w:b/>
              </w:rPr>
              <w:t>Комитета. Государству-участнику следует также предоставить а</w:t>
            </w:r>
            <w:r w:rsidRPr="001029BE">
              <w:rPr>
                <w:b/>
              </w:rPr>
              <w:t>в</w:t>
            </w:r>
            <w:r w:rsidRPr="001029BE">
              <w:rPr>
                <w:b/>
              </w:rPr>
              <w:t>тору надлежащую компенсацию за расходы, связанные с рассмотрением настоящ</w:t>
            </w:r>
            <w:r w:rsidRPr="001029BE">
              <w:rPr>
                <w:b/>
              </w:rPr>
              <w:t>е</w:t>
            </w:r>
            <w:r w:rsidRPr="001029BE">
              <w:rPr>
                <w:b/>
              </w:rPr>
              <w:t>го сообщения.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502102" w:rsidRDefault="00C96F17" w:rsidP="00FF0233">
            <w:pPr>
              <w:rPr>
                <w:b/>
              </w:rPr>
            </w:pPr>
            <w:r w:rsidRPr="00502102">
              <w:rPr>
                <w:b/>
              </w:rPr>
              <w:t>Резюме ответа государства-участника</w:t>
            </w:r>
          </w:p>
        </w:tc>
      </w:tr>
      <w:tr w:rsidR="0064428F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64428F" w:rsidRPr="00FF0233" w:rsidRDefault="00C95294" w:rsidP="00FF0233">
            <w:r>
              <w:tab/>
            </w:r>
            <w:r w:rsidR="0064428F" w:rsidRPr="00FF0233">
              <w:t xml:space="preserve">В 2011 году правительство </w:t>
            </w:r>
            <w:r w:rsidR="00502102">
              <w:t>приняло</w:t>
            </w:r>
            <w:r w:rsidR="0064428F" w:rsidRPr="00FF0233">
              <w:t xml:space="preserve"> национальную стратегию</w:t>
            </w:r>
            <w:r w:rsidR="00502102">
              <w:t>, каса</w:t>
            </w:r>
            <w:r w:rsidR="00502102">
              <w:t>ю</w:t>
            </w:r>
            <w:r w:rsidR="00502102">
              <w:t>щуюся</w:t>
            </w:r>
            <w:r w:rsidR="0064428F" w:rsidRPr="00FF0233">
              <w:t xml:space="preserve"> политики в отношении инвалидов, которая направлена на осуществл</w:t>
            </w:r>
            <w:r w:rsidR="0064428F" w:rsidRPr="00FF0233">
              <w:t>е</w:t>
            </w:r>
            <w:r w:rsidR="0064428F" w:rsidRPr="00FF0233">
              <w:t>ние п</w:t>
            </w:r>
            <w:r w:rsidR="0064428F" w:rsidRPr="00FF0233">
              <w:t>о</w:t>
            </w:r>
            <w:r w:rsidR="0064428F" w:rsidRPr="00FF0233">
              <w:t>ложений Конвенции. Швеция представила свой первоначальный доклад Ком</w:t>
            </w:r>
            <w:r w:rsidR="0064428F" w:rsidRPr="00FF0233">
              <w:t>и</w:t>
            </w:r>
            <w:r w:rsidR="0064428F" w:rsidRPr="00FF0233">
              <w:t xml:space="preserve">тету в 2011 году. 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FF0233" w:rsidRDefault="00C95294" w:rsidP="001029BE">
            <w:pPr>
              <w:pageBreakBefore/>
              <w:jc w:val="both"/>
            </w:pPr>
            <w:r>
              <w:tab/>
            </w:r>
            <w:r w:rsidR="00C96F17" w:rsidRPr="00FF0233">
              <w:t>Согласно Конституции Швеции, местные органы власти несут ответс</w:t>
            </w:r>
            <w:r w:rsidR="00C96F17" w:rsidRPr="00FF0233">
              <w:t>т</w:t>
            </w:r>
            <w:r w:rsidR="00C96F17" w:rsidRPr="00FF0233">
              <w:t>венность за решение местных и региональных вопросов, представляющих публичный интерес</w:t>
            </w:r>
            <w:r w:rsidR="008E4251">
              <w:t>,</w:t>
            </w:r>
            <w:r w:rsidR="00C96F17" w:rsidRPr="00FF0233">
              <w:t xml:space="preserve"> на основании принципа местного са</w:t>
            </w:r>
            <w:r w:rsidR="008E4251">
              <w:t>моуправления (ст</w:t>
            </w:r>
            <w:r w:rsidR="008E4251">
              <w:t>а</w:t>
            </w:r>
            <w:r w:rsidR="008E4251">
              <w:t>тья</w:t>
            </w:r>
            <w:r>
              <w:t> </w:t>
            </w:r>
            <w:r w:rsidR="008E4251">
              <w:t>2 главы 14 Закона о форме правления</w:t>
            </w:r>
            <w:r w:rsidR="00C96F17" w:rsidRPr="00FF0233">
              <w:t>). Суды Швеции являются независ</w:t>
            </w:r>
            <w:r w:rsidR="00C96F17" w:rsidRPr="00FF0233">
              <w:t>и</w:t>
            </w:r>
            <w:r w:rsidR="00C96F17" w:rsidRPr="00FF0233">
              <w:t>мыми от риксдага (ш</w:t>
            </w:r>
            <w:r w:rsidR="008E4251">
              <w:t>ведского</w:t>
            </w:r>
            <w:r w:rsidR="00C96F17" w:rsidRPr="00FF0233">
              <w:t xml:space="preserve"> парламент</w:t>
            </w:r>
            <w:r w:rsidR="008E4251">
              <w:t>а</w:t>
            </w:r>
            <w:r w:rsidR="00C96F17" w:rsidRPr="00FF0233">
              <w:t>), правительства и других органов вл</w:t>
            </w:r>
            <w:r w:rsidR="00C96F17" w:rsidRPr="00FF0233">
              <w:t>а</w:t>
            </w:r>
            <w:r w:rsidR="00C96F17" w:rsidRPr="00FF0233">
              <w:t>сти. Ни риксдаг, ни какой-либо государственный орган (и</w:t>
            </w:r>
            <w:r w:rsidR="008E4251">
              <w:t>,</w:t>
            </w:r>
            <w:r w:rsidR="00C96F17" w:rsidRPr="00FF0233">
              <w:t xml:space="preserve"> таким образом</w:t>
            </w:r>
            <w:r w:rsidR="008E4251">
              <w:t>,</w:t>
            </w:r>
            <w:r w:rsidR="00C96F17" w:rsidRPr="00FF0233">
              <w:t xml:space="preserve"> прав</w:t>
            </w:r>
            <w:r w:rsidR="00C96F17" w:rsidRPr="00FF0233">
              <w:t>и</w:t>
            </w:r>
            <w:r w:rsidR="00C96F17" w:rsidRPr="00FF0233">
              <w:t xml:space="preserve">тельство) не могут определять, как суду следует выносить решения по какому-либо </w:t>
            </w:r>
            <w:r w:rsidR="008E4251">
              <w:t>конкретному</w:t>
            </w:r>
            <w:r w:rsidR="00C96F17" w:rsidRPr="00FF0233">
              <w:t xml:space="preserve"> делу. Тем самым правительство не может воздейс</w:t>
            </w:r>
            <w:r w:rsidR="00C96F17" w:rsidRPr="00FF0233">
              <w:t>т</w:t>
            </w:r>
            <w:r w:rsidR="00C96F17" w:rsidRPr="00FF0233">
              <w:t xml:space="preserve">вовать на процесс принятия решений по </w:t>
            </w:r>
            <w:r w:rsidR="008E4251">
              <w:t>конкретным</w:t>
            </w:r>
            <w:r w:rsidR="00C96F17" w:rsidRPr="00FF0233">
              <w:t xml:space="preserve"> делам, связанным с </w:t>
            </w:r>
            <w:r w:rsidR="008E4251">
              <w:t>выд</w:t>
            </w:r>
            <w:r w:rsidR="008E4251">
              <w:t>а</w:t>
            </w:r>
            <w:r w:rsidR="008E4251">
              <w:t xml:space="preserve">чей </w:t>
            </w:r>
            <w:r w:rsidR="00C96F17" w:rsidRPr="00FF0233">
              <w:t>разр</w:t>
            </w:r>
            <w:r w:rsidR="00C96F17" w:rsidRPr="00FF0233">
              <w:t>е</w:t>
            </w:r>
            <w:r w:rsidR="00C96F17" w:rsidRPr="00FF0233">
              <w:t>шени</w:t>
            </w:r>
            <w:r w:rsidR="008E4251">
              <w:t>й</w:t>
            </w:r>
            <w:r w:rsidR="00C96F17" w:rsidRPr="00FF0233">
              <w:t xml:space="preserve"> на </w:t>
            </w:r>
            <w:r w:rsidR="008E4251">
              <w:t>строительство</w:t>
            </w:r>
            <w:r w:rsidR="00C96F17" w:rsidRPr="00FF0233">
              <w:t>.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FF0233" w:rsidRDefault="00C95294" w:rsidP="00C95294">
            <w:pPr>
              <w:jc w:val="both"/>
            </w:pPr>
            <w:r>
              <w:tab/>
              <w:t>Х.</w:t>
            </w:r>
            <w:r w:rsidR="00C96F17" w:rsidRPr="00FF0233">
              <w:t xml:space="preserve">М. может </w:t>
            </w:r>
            <w:r w:rsidR="00DC4251">
              <w:t>подать</w:t>
            </w:r>
            <w:r w:rsidR="00C96F17" w:rsidRPr="00FF0233">
              <w:t xml:space="preserve"> нов</w:t>
            </w:r>
            <w:r w:rsidR="00DC4251">
              <w:t xml:space="preserve">ое заявление </w:t>
            </w:r>
            <w:r w:rsidR="00C96F17" w:rsidRPr="00FF0233">
              <w:t>о выдаче разрешения на строител</w:t>
            </w:r>
            <w:r w:rsidR="00C96F17" w:rsidRPr="00FF0233">
              <w:t>ь</w:t>
            </w:r>
            <w:r w:rsidR="00C96F17" w:rsidRPr="00FF0233">
              <w:t>ство или обратиться с ходатайством о</w:t>
            </w:r>
            <w:r w:rsidR="00DC4251">
              <w:t xml:space="preserve"> выдаче </w:t>
            </w:r>
            <w:r w:rsidR="00EB03E7" w:rsidRPr="00FF0233">
              <w:t>муни</w:t>
            </w:r>
            <w:r w:rsidR="00EB03E7">
              <w:t>ципалитето</w:t>
            </w:r>
            <w:r w:rsidR="00EB03E7" w:rsidRPr="00FF0233">
              <w:t>м</w:t>
            </w:r>
            <w:r w:rsidR="00EB03E7">
              <w:t xml:space="preserve"> </w:t>
            </w:r>
            <w:r w:rsidR="00DC4251">
              <w:t>уведомления</w:t>
            </w:r>
            <w:r w:rsidR="00C96F17" w:rsidRPr="00FF0233">
              <w:t xml:space="preserve"> о планировании, чтобы попытаться изменить подробный план строительства, который будет рассмотрен согласно Закону о планиров</w:t>
            </w:r>
            <w:r w:rsidR="00C96F17" w:rsidRPr="00FF0233">
              <w:t>а</w:t>
            </w:r>
            <w:r w:rsidR="00C96F17" w:rsidRPr="00FF0233">
              <w:t>нии и строитель</w:t>
            </w:r>
            <w:r w:rsidR="00C33FC5">
              <w:t xml:space="preserve">стве (2010:900), </w:t>
            </w:r>
            <w:r w:rsidR="001029BE">
              <w:t xml:space="preserve">принятому в </w:t>
            </w:r>
            <w:r w:rsidR="00C96F17" w:rsidRPr="00FF0233">
              <w:t>ма</w:t>
            </w:r>
            <w:r w:rsidR="001029BE">
              <w:t>е</w:t>
            </w:r>
            <w:r w:rsidR="00C96F17" w:rsidRPr="00FF0233">
              <w:t xml:space="preserve"> 2011 года. Принцип соразмерности требует, чт</w:t>
            </w:r>
            <w:r w:rsidR="00C96F17" w:rsidRPr="00FF0233">
              <w:t>о</w:t>
            </w:r>
            <w:r w:rsidR="00C96F17" w:rsidRPr="00FF0233">
              <w:t>бы обеспечивался справедливый баланс между преимуществами какого-либо р</w:t>
            </w:r>
            <w:r w:rsidR="00C96F17" w:rsidRPr="00FF0233">
              <w:t>е</w:t>
            </w:r>
            <w:r w:rsidR="00C96F17" w:rsidRPr="00FF0233">
              <w:t>шения по данному вопросу и последствиями, которые такое решение может иметь для пр</w:t>
            </w:r>
            <w:r w:rsidR="00C96F17" w:rsidRPr="00FF0233">
              <w:t>о</w:t>
            </w:r>
            <w:r w:rsidR="00C96F17" w:rsidRPr="00FF0233">
              <w:t>тивоположных частных интересов.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FF0233" w:rsidRDefault="00C95294" w:rsidP="00C95294">
            <w:pPr>
              <w:jc w:val="both"/>
            </w:pPr>
            <w:r>
              <w:tab/>
            </w:r>
            <w:r w:rsidR="00C96F17" w:rsidRPr="00FF0233">
              <w:t>Согласно Закону о выдаче субсидий на адаптацию жилья вполне во</w:t>
            </w:r>
            <w:r w:rsidR="00C96F17" w:rsidRPr="00FF0233">
              <w:t>з</w:t>
            </w:r>
            <w:r w:rsidR="00C96F17" w:rsidRPr="00FF0233">
              <w:t>можно п</w:t>
            </w:r>
            <w:r w:rsidR="00C96F17" w:rsidRPr="00FF0233">
              <w:t>о</w:t>
            </w:r>
            <w:r w:rsidR="00C96F17" w:rsidRPr="00FF0233">
              <w:t xml:space="preserve">лучить субсидию для осуществления дорогостоящих мер, связанных с приобретением или </w:t>
            </w:r>
            <w:r w:rsidR="003D2628">
              <w:t>реконструкцией</w:t>
            </w:r>
            <w:r w:rsidR="00C96F17" w:rsidRPr="00FF0233">
              <w:t xml:space="preserve"> жилья при условии особых </w:t>
            </w:r>
            <w:r w:rsidR="003D2628">
              <w:t xml:space="preserve">на </w:t>
            </w:r>
            <w:r w:rsidR="003D2628" w:rsidRPr="00FF0233">
              <w:t xml:space="preserve">то </w:t>
            </w:r>
            <w:r w:rsidR="00C96F17" w:rsidRPr="00FF0233">
              <w:t>осн</w:t>
            </w:r>
            <w:r w:rsidR="00C96F17" w:rsidRPr="00FF0233">
              <w:t>о</w:t>
            </w:r>
            <w:r w:rsidR="00C96F17" w:rsidRPr="00FF0233">
              <w:t>ва</w:t>
            </w:r>
            <w:r w:rsidR="003D2628">
              <w:t>ний</w:t>
            </w:r>
            <w:r w:rsidR="00C96F17" w:rsidRPr="00FF0233">
              <w:t>. Особые основания могут включать</w:t>
            </w:r>
            <w:r w:rsidR="003D2628">
              <w:t xml:space="preserve"> близость</w:t>
            </w:r>
            <w:r w:rsidR="00C96F17" w:rsidRPr="00FF0233">
              <w:t xml:space="preserve"> жило</w:t>
            </w:r>
            <w:r w:rsidR="003D2628">
              <w:t>го</w:t>
            </w:r>
            <w:r w:rsidR="00C96F17" w:rsidRPr="00FF0233">
              <w:t xml:space="preserve"> помещени</w:t>
            </w:r>
            <w:r w:rsidR="003D2628">
              <w:t>я к</w:t>
            </w:r>
            <w:r w:rsidR="00C96F17" w:rsidRPr="00FF0233">
              <w:t xml:space="preserve"> л</w:t>
            </w:r>
            <w:r w:rsidR="00C96F17" w:rsidRPr="00FF0233">
              <w:t>е</w:t>
            </w:r>
            <w:r w:rsidR="00C96F17" w:rsidRPr="00FF0233">
              <w:t>чебно</w:t>
            </w:r>
            <w:r w:rsidR="003D2628">
              <w:t>му</w:t>
            </w:r>
            <w:r w:rsidR="00C96F17" w:rsidRPr="00FF0233">
              <w:t xml:space="preserve"> учреждени</w:t>
            </w:r>
            <w:r w:rsidR="003D2628">
              <w:t>ю</w:t>
            </w:r>
            <w:r w:rsidR="00C96F17" w:rsidRPr="00FF0233">
              <w:t>, к которому инвалид должен иметь доступ, или случаи, когда инвалид не в состоянии найти приемлемое альтернативное ж</w:t>
            </w:r>
            <w:r w:rsidR="00C96F17" w:rsidRPr="00FF0233">
              <w:t>и</w:t>
            </w:r>
            <w:r w:rsidR="00C96F17" w:rsidRPr="00FF0233">
              <w:t>лье.</w:t>
            </w:r>
          </w:p>
        </w:tc>
      </w:tr>
      <w:tr w:rsidR="00C96F17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C96F17" w:rsidRPr="00FF0233" w:rsidRDefault="00C95294" w:rsidP="00C95294">
            <w:pPr>
              <w:jc w:val="both"/>
            </w:pPr>
            <w:r>
              <w:tab/>
            </w:r>
            <w:r w:rsidR="00C96F17" w:rsidRPr="00FF0233">
              <w:t>Что касается рекомендации Комитета правительству выплатить надл</w:t>
            </w:r>
            <w:r w:rsidR="00C96F17" w:rsidRPr="00FF0233">
              <w:t>е</w:t>
            </w:r>
            <w:r w:rsidR="00C96F17" w:rsidRPr="00FF0233">
              <w:t>жащую компенсацию автору в связи с расходами, понесенными при рассмо</w:t>
            </w:r>
            <w:r w:rsidR="00C96F17" w:rsidRPr="00FF0233">
              <w:t>т</w:t>
            </w:r>
            <w:r w:rsidR="00C96F17" w:rsidRPr="00FF0233">
              <w:t>рении н</w:t>
            </w:r>
            <w:r w:rsidR="00C96F17" w:rsidRPr="00FF0233">
              <w:t>а</w:t>
            </w:r>
            <w:r w:rsidR="00C96F17" w:rsidRPr="00FF0233">
              <w:t>стоящего сообщения, то государство-участник не несет какого-либо международного обязательства по выплате компенсации автору в связи с ра</w:t>
            </w:r>
            <w:r w:rsidR="00C96F17" w:rsidRPr="00FF0233">
              <w:t>с</w:t>
            </w:r>
            <w:r w:rsidR="00C96F17" w:rsidRPr="00FF0233">
              <w:t>ходами, понесенными согласно процедуре рассмотрения жалоб.</w:t>
            </w:r>
          </w:p>
        </w:tc>
      </w:tr>
      <w:tr w:rsidR="00BA52AE" w:rsidRPr="00C95294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BA52AE" w:rsidRPr="00C95294" w:rsidRDefault="00BA52AE" w:rsidP="00C95294">
            <w:pPr>
              <w:jc w:val="both"/>
              <w:rPr>
                <w:b/>
              </w:rPr>
            </w:pPr>
            <w:r w:rsidRPr="00C95294">
              <w:rPr>
                <w:b/>
              </w:rPr>
              <w:t>Резюме замечаний адвоката автора</w:t>
            </w:r>
          </w:p>
        </w:tc>
      </w:tr>
      <w:tr w:rsidR="00BA52AE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BA52AE" w:rsidRPr="00FF0233" w:rsidRDefault="00C95294" w:rsidP="00C95294">
            <w:pPr>
              <w:jc w:val="both"/>
            </w:pPr>
            <w:r>
              <w:tab/>
            </w:r>
            <w:r w:rsidR="003D2628">
              <w:t>В силу с</w:t>
            </w:r>
            <w:r w:rsidR="00BA52AE" w:rsidRPr="00FF0233">
              <w:t>сылк</w:t>
            </w:r>
            <w:r w:rsidR="003D2628">
              <w:t>и</w:t>
            </w:r>
            <w:r w:rsidR="00BA52AE" w:rsidRPr="00FF0233">
              <w:t xml:space="preserve"> на национальную стратегию в интересах инвалидов и з</w:t>
            </w:r>
            <w:r w:rsidR="00BA52AE" w:rsidRPr="00FF0233">
              <w:t>а</w:t>
            </w:r>
            <w:r w:rsidR="00BA52AE" w:rsidRPr="00FF0233">
              <w:t>мечани</w:t>
            </w:r>
            <w:r w:rsidR="005A62BB">
              <w:t>я</w:t>
            </w:r>
            <w:r w:rsidR="00BA52AE" w:rsidRPr="00FF0233">
              <w:t xml:space="preserve"> правительства о том, что оно не может вмешиваться в работу какого-либо су</w:t>
            </w:r>
            <w:r w:rsidR="005A62BB">
              <w:t>дебного органа ввид</w:t>
            </w:r>
            <w:r w:rsidR="001029BE">
              <w:t>у</w:t>
            </w:r>
            <w:r w:rsidR="005A62BB">
              <w:t xml:space="preserve"> конституционного права</w:t>
            </w:r>
            <w:r w:rsidR="00BA52AE" w:rsidRPr="00FF0233">
              <w:t xml:space="preserve"> Швеции</w:t>
            </w:r>
            <w:r w:rsidR="005A62BB">
              <w:t>,</w:t>
            </w:r>
            <w:r w:rsidR="00BA52AE" w:rsidRPr="00FF0233">
              <w:t xml:space="preserve"> не предусма</w:t>
            </w:r>
            <w:r w:rsidR="00BA52AE" w:rsidRPr="00FF0233">
              <w:t>т</w:t>
            </w:r>
            <w:r w:rsidR="00BA52AE" w:rsidRPr="00FF0233">
              <w:t>ривает</w:t>
            </w:r>
            <w:r w:rsidR="005A62BB">
              <w:t>ся</w:t>
            </w:r>
            <w:r w:rsidR="00BA52AE" w:rsidRPr="00FF0233">
              <w:t xml:space="preserve"> оказание Х.М поддержки в целях осуществления решения Комитета. Правительство Швеции должно нести конечную ответственность за</w:t>
            </w:r>
            <w:r w:rsidR="005A62BB">
              <w:t xml:space="preserve"> внесение</w:t>
            </w:r>
            <w:r w:rsidR="00BA52AE" w:rsidRPr="00FF0233">
              <w:t xml:space="preserve"> изменени</w:t>
            </w:r>
            <w:r w:rsidR="005A62BB">
              <w:t>й</w:t>
            </w:r>
            <w:r w:rsidR="00BA52AE" w:rsidRPr="00FF0233">
              <w:t xml:space="preserve"> и вмеш</w:t>
            </w:r>
            <w:r w:rsidR="005A62BB">
              <w:t>иваться в тех случаях,</w:t>
            </w:r>
            <w:r w:rsidR="00BA52AE" w:rsidRPr="00FF0233">
              <w:t xml:space="preserve"> когда какой-либо инвалид явно не может добиться ос</w:t>
            </w:r>
            <w:r w:rsidR="00BA52AE" w:rsidRPr="00FF0233">
              <w:t>у</w:t>
            </w:r>
            <w:r w:rsidR="00BA52AE" w:rsidRPr="00FF0233">
              <w:t>ществления своих законных прав.</w:t>
            </w:r>
          </w:p>
        </w:tc>
      </w:tr>
      <w:tr w:rsidR="00BA52AE" w:rsidRPr="00FF0233" w:rsidTr="00EC591C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BA52AE" w:rsidRPr="00FF0233" w:rsidRDefault="00C95294" w:rsidP="00C95294">
            <w:pPr>
              <w:jc w:val="both"/>
            </w:pPr>
            <w:r>
              <w:tab/>
            </w:r>
            <w:r w:rsidR="00BA52AE" w:rsidRPr="00FF0233">
              <w:t xml:space="preserve">Правительство </w:t>
            </w:r>
            <w:r w:rsidR="002A4DC9">
              <w:t xml:space="preserve">предлагает </w:t>
            </w:r>
            <w:r w:rsidR="00BA52AE" w:rsidRPr="00FF0233">
              <w:t xml:space="preserve">Х.М. подать новое </w:t>
            </w:r>
            <w:r w:rsidR="002A4DC9">
              <w:t>заявление</w:t>
            </w:r>
            <w:r w:rsidR="00BA52AE" w:rsidRPr="00FF0233">
              <w:t xml:space="preserve"> о планиров</w:t>
            </w:r>
            <w:r w:rsidR="00BA52AE" w:rsidRPr="00FF0233">
              <w:t>а</w:t>
            </w:r>
            <w:r w:rsidR="00BA52AE" w:rsidRPr="00FF0233">
              <w:t>нии, тогда как председатель местного комитета по выдаче разрешений на планир</w:t>
            </w:r>
            <w:r w:rsidR="00BA52AE" w:rsidRPr="00FF0233">
              <w:t>о</w:t>
            </w:r>
            <w:r w:rsidR="00BA52AE" w:rsidRPr="00FF0233">
              <w:t>вание уточнил, что данный орган не в состоянии одобрить разрешение на пл</w:t>
            </w:r>
            <w:r w:rsidR="00BA52AE" w:rsidRPr="00FF0233">
              <w:t>а</w:t>
            </w:r>
            <w:r w:rsidR="00BA52AE" w:rsidRPr="00FF0233">
              <w:t>нирование на основании инвалидности. Они не в состоянии принять объекти</w:t>
            </w:r>
            <w:r w:rsidR="00BA52AE" w:rsidRPr="00FF0233">
              <w:t>в</w:t>
            </w:r>
            <w:r w:rsidR="00BA52AE" w:rsidRPr="00FF0233">
              <w:t>ное решение, с тем чтобы сбалансировать интересы инвалида и право на пол</w:t>
            </w:r>
            <w:r w:rsidR="00BA52AE" w:rsidRPr="00FF0233">
              <w:t>у</w:t>
            </w:r>
            <w:r w:rsidR="00BA52AE" w:rsidRPr="00FF0233">
              <w:t>чение разрешения на планирование, хотя подробный план уже существует.</w:t>
            </w:r>
          </w:p>
        </w:tc>
      </w:tr>
      <w:tr w:rsidR="00BA52AE" w:rsidRPr="00FF0233" w:rsidTr="00EC591C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  <w:tcBorders>
              <w:top w:val="nil"/>
            </w:tcBorders>
          </w:tcPr>
          <w:p w:rsidR="00BA52AE" w:rsidRPr="00FF0233" w:rsidRDefault="00C95294" w:rsidP="00ED32A6">
            <w:pPr>
              <w:pageBreakBefore/>
              <w:jc w:val="both"/>
            </w:pPr>
            <w:r>
              <w:tab/>
            </w:r>
            <w:r w:rsidR="00BA52AE" w:rsidRPr="00FF0233">
              <w:t>Что касается предложения об изменении подробного плана, то местный ответственный руководитель лично разъяснил трудности в обосновани</w:t>
            </w:r>
            <w:r w:rsidR="001029BE">
              <w:t>е</w:t>
            </w:r>
            <w:r w:rsidR="00BA52AE" w:rsidRPr="00FF0233">
              <w:t xml:space="preserve"> изм</w:t>
            </w:r>
            <w:r w:rsidR="00BA52AE" w:rsidRPr="00FF0233">
              <w:t>е</w:t>
            </w:r>
            <w:r w:rsidR="00BA52AE" w:rsidRPr="00FF0233">
              <w:t xml:space="preserve">нений в подробный план с точки зрения потребностей инвалида. Подготовка и внесение изменений в подробный план также являются </w:t>
            </w:r>
            <w:r w:rsidR="002A4DC9">
              <w:t>масштабным</w:t>
            </w:r>
            <w:r w:rsidR="00BA52AE" w:rsidRPr="00FF0233">
              <w:t xml:space="preserve"> и весьма пр</w:t>
            </w:r>
            <w:r w:rsidR="00BA52AE" w:rsidRPr="00FF0233">
              <w:t>о</w:t>
            </w:r>
            <w:r w:rsidR="00BA52AE" w:rsidRPr="00FF0233">
              <w:t>должительным процессом с участием нескольких сторон, и не вполне ясно, будет ли процесс внесения изменений урегулиро</w:t>
            </w:r>
            <w:r>
              <w:t>ван в пользу потребн</w:t>
            </w:r>
            <w:r>
              <w:t>о</w:t>
            </w:r>
            <w:r>
              <w:t>стей Х.М.</w:t>
            </w:r>
          </w:p>
        </w:tc>
      </w:tr>
      <w:tr w:rsidR="00BA52AE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</w:tcPr>
          <w:p w:rsidR="00BA52AE" w:rsidRPr="00FF0233" w:rsidRDefault="00C95294" w:rsidP="00C95294">
            <w:pPr>
              <w:jc w:val="both"/>
            </w:pPr>
            <w:r>
              <w:tab/>
            </w:r>
            <w:r w:rsidR="00BA52AE" w:rsidRPr="00FF0233">
              <w:t>Правительство и национальные органы не приступали к рассмотрению этого дела, что тем самым означает дискриминацию в отношении прав инвал</w:t>
            </w:r>
            <w:r w:rsidR="00BA52AE" w:rsidRPr="00FF0233">
              <w:t>и</w:t>
            </w:r>
            <w:r w:rsidR="00BA52AE" w:rsidRPr="00FF0233">
              <w:t>да.</w:t>
            </w:r>
          </w:p>
        </w:tc>
      </w:tr>
      <w:tr w:rsidR="00BA52AE" w:rsidRPr="00FF0233" w:rsidTr="001029BE">
        <w:trPr>
          <w:gridAfter w:val="1"/>
          <w:wAfter w:w="16" w:type="dxa"/>
        </w:trPr>
        <w:tc>
          <w:tcPr>
            <w:cnfStyle w:val="000100000000"/>
            <w:tcW w:w="7354" w:type="dxa"/>
            <w:gridSpan w:val="2"/>
            <w:tcBorders>
              <w:top w:val="nil"/>
            </w:tcBorders>
          </w:tcPr>
          <w:p w:rsidR="00BA52AE" w:rsidRPr="00FF0233" w:rsidRDefault="00C95294" w:rsidP="00C95294">
            <w:pPr>
              <w:jc w:val="both"/>
            </w:pPr>
            <w:r>
              <w:tab/>
              <w:t>Х.</w:t>
            </w:r>
            <w:r w:rsidR="00BA52AE" w:rsidRPr="00FF0233">
              <w:t xml:space="preserve">М. </w:t>
            </w:r>
            <w:r w:rsidR="002A4DC9">
              <w:t>устроилась на жительство</w:t>
            </w:r>
            <w:r w:rsidR="00BA52AE" w:rsidRPr="00FF0233">
              <w:t xml:space="preserve"> несколько лет назад с помощью муниц</w:t>
            </w:r>
            <w:r w:rsidR="00BA52AE" w:rsidRPr="00FF0233">
              <w:t>и</w:t>
            </w:r>
            <w:r w:rsidR="00BA52AE" w:rsidRPr="00FF0233">
              <w:t xml:space="preserve">пальной субсидии </w:t>
            </w:r>
            <w:r w:rsidR="002A4DC9">
              <w:t>на ремонт</w:t>
            </w:r>
            <w:r w:rsidR="00BA52AE" w:rsidRPr="00FF0233">
              <w:t xml:space="preserve"> помещений. С тех пор состояние ее здоровья серьезно ухудшилось, и она может получать уход и реабилитацию только дома во изб</w:t>
            </w:r>
            <w:r w:rsidR="00BA52AE" w:rsidRPr="00FF0233">
              <w:t>е</w:t>
            </w:r>
            <w:r w:rsidR="00BA52AE" w:rsidRPr="00FF0233">
              <w:t xml:space="preserve">жание получения дальнейших </w:t>
            </w:r>
            <w:r w:rsidR="002A4DC9">
              <w:t>травм</w:t>
            </w:r>
            <w:r w:rsidR="00BA52AE" w:rsidRPr="00FF0233">
              <w:t>. Правительство ука</w:t>
            </w:r>
            <w:r>
              <w:t>зывает, что Х.</w:t>
            </w:r>
            <w:r w:rsidR="00BA52AE" w:rsidRPr="00FF0233">
              <w:t xml:space="preserve">М. может обратиться с ходатайством о выдаче новой субсидии на жилье в том случае, когда она переезжает по "особым основаниям", например </w:t>
            </w:r>
            <w:r w:rsidR="002A4DC9">
              <w:t>ради</w:t>
            </w:r>
            <w:r w:rsidR="00BA52AE" w:rsidRPr="00FF0233">
              <w:t xml:space="preserve"> близости к лечебному учреждению. Вместе с тем новая адаптация жилья не прин</w:t>
            </w:r>
            <w:r w:rsidR="00BA52AE" w:rsidRPr="00FF0233">
              <w:t>е</w:t>
            </w:r>
            <w:r w:rsidR="00BA52AE" w:rsidRPr="00FF0233">
              <w:t>сет пользы, если только она не будет связана с разрешением построить плав</w:t>
            </w:r>
            <w:r w:rsidR="00BA52AE" w:rsidRPr="00FF0233">
              <w:t>а</w:t>
            </w:r>
            <w:r w:rsidR="00BA52AE" w:rsidRPr="00FF0233">
              <w:t>тельный бассейн, который необходим для лече</w:t>
            </w:r>
            <w:r>
              <w:t>ния Х.</w:t>
            </w:r>
            <w:r w:rsidR="00BA52AE" w:rsidRPr="00FF0233">
              <w:t>М. Если ничего не будет сделано, Х.М. должна будет переехать для проживания в специализир</w:t>
            </w:r>
            <w:r w:rsidR="00BA52AE" w:rsidRPr="00FF0233">
              <w:t>о</w:t>
            </w:r>
            <w:r w:rsidR="00BA52AE" w:rsidRPr="00FF0233">
              <w:t>ванное лечебное учреждение. Она не должна сталкиваться с необходимостью покинуть свой дом из-за неспособности властей принять меры в интересах инвал</w:t>
            </w:r>
            <w:r w:rsidR="00BA52AE" w:rsidRPr="00FF0233">
              <w:t>и</w:t>
            </w:r>
            <w:r w:rsidR="00BA52AE" w:rsidRPr="00FF0233">
              <w:t>да.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CB1950" w:rsidRDefault="001029BE" w:rsidP="00C028D6">
            <w:pPr>
              <w:jc w:val="both"/>
            </w:pPr>
            <w:r>
              <w:tab/>
            </w:r>
            <w:r w:rsidR="0000551E" w:rsidRPr="00CB1950">
              <w:t xml:space="preserve">Расходы, понесенные во время применения процедур, составили </w:t>
            </w:r>
            <w:r>
              <w:br/>
            </w:r>
            <w:r w:rsidR="0000551E" w:rsidRPr="00CB1950">
              <w:t>35</w:t>
            </w:r>
            <w:r w:rsidR="0000551E">
              <w:t xml:space="preserve"> </w:t>
            </w:r>
            <w:r w:rsidR="0000551E" w:rsidRPr="00CB1950">
              <w:t>000</w:t>
            </w:r>
            <w:r w:rsidR="0000551E">
              <w:t xml:space="preserve"> </w:t>
            </w:r>
            <w:r w:rsidR="0000551E" w:rsidRPr="00CB1950">
              <w:t>шведских крон (приблизительно 4 035 евро). Отказ правительства в</w:t>
            </w:r>
            <w:r w:rsidR="0000551E" w:rsidRPr="00CB1950">
              <w:t>ы</w:t>
            </w:r>
            <w:r w:rsidR="0000551E" w:rsidRPr="00CB1950">
              <w:t>платить надлежащую компенсацию автору в связи с этими расходами также нарушает пр</w:t>
            </w:r>
            <w:r w:rsidR="0000551E" w:rsidRPr="00CB1950">
              <w:t>а</w:t>
            </w:r>
            <w:r w:rsidR="0000551E" w:rsidRPr="00CB1950">
              <w:t>ва Х.М., поскольку ей приходится оплачивать расходы на свое медицинское лечение и адаптировать свой дом к своим потребностям. Допо</w:t>
            </w:r>
            <w:r w:rsidR="0000551E" w:rsidRPr="00CB1950">
              <w:t>л</w:t>
            </w:r>
            <w:r w:rsidR="0000551E" w:rsidRPr="00CB1950">
              <w:t>нительные ра</w:t>
            </w:r>
            <w:r w:rsidR="0000551E" w:rsidRPr="00CB1950">
              <w:t>с</w:t>
            </w:r>
            <w:r w:rsidR="0000551E" w:rsidRPr="00CB1950">
              <w:t xml:space="preserve">ходы также придется понести в случае подачи нового </w:t>
            </w:r>
            <w:r w:rsidR="0000551E">
              <w:t>заявления</w:t>
            </w:r>
            <w:r w:rsidR="0000551E" w:rsidRPr="00CB1950">
              <w:t xml:space="preserve"> о выдаче разрешения на пл</w:t>
            </w:r>
            <w:r w:rsidR="0000551E" w:rsidRPr="00CB1950">
              <w:t>а</w:t>
            </w:r>
            <w:r w:rsidR="0000551E" w:rsidRPr="00CB1950">
              <w:t xml:space="preserve">нирование, поскольку расходы на получение такого разрешения существенно возросли в период после подачи Х.М. первого </w:t>
            </w:r>
            <w:r w:rsidR="0000551E">
              <w:t>зая</w:t>
            </w:r>
            <w:r w:rsidR="0000551E">
              <w:t>в</w:t>
            </w:r>
            <w:r w:rsidR="0000551E">
              <w:t>ления</w:t>
            </w:r>
            <w:r w:rsidR="0000551E" w:rsidRPr="00CB1950">
              <w:t>. Инв</w:t>
            </w:r>
            <w:r w:rsidR="0000551E" w:rsidRPr="00CB1950">
              <w:t>а</w:t>
            </w:r>
            <w:r w:rsidR="0000551E" w:rsidRPr="00CB1950">
              <w:t>лид не должен нести финансовые издержки вследствие принятия властями н</w:t>
            </w:r>
            <w:r w:rsidR="0000551E" w:rsidRPr="00CB1950">
              <w:t>е</w:t>
            </w:r>
            <w:r w:rsidR="0000551E" w:rsidRPr="00CB1950">
              <w:t>обоснованных решений.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CB1950" w:rsidRDefault="00AE7290" w:rsidP="00C028D6">
            <w:pPr>
              <w:jc w:val="both"/>
            </w:pPr>
            <w:r>
              <w:tab/>
            </w:r>
            <w:r w:rsidR="0000551E" w:rsidRPr="00CB1950">
              <w:t>Правительство не предприняло усилий по безотлагательному урегулир</w:t>
            </w:r>
            <w:r w:rsidR="0000551E" w:rsidRPr="00CB1950">
              <w:t>о</w:t>
            </w:r>
            <w:r w:rsidR="0000551E" w:rsidRPr="00CB1950">
              <w:t>ванию этого вопроса тогда, когда было запрошено оперативное принятие р</w:t>
            </w:r>
            <w:r w:rsidR="0000551E" w:rsidRPr="00CB1950">
              <w:t>е</w:t>
            </w:r>
            <w:r w:rsidR="0000551E" w:rsidRPr="00CB1950">
              <w:t xml:space="preserve">шения по этому делу с учетом его </w:t>
            </w:r>
            <w:r w:rsidR="0000551E">
              <w:t>особого</w:t>
            </w:r>
            <w:r w:rsidR="0000551E" w:rsidRPr="00CB1950">
              <w:t xml:space="preserve"> характера и потребностей инвалида. Национальная стратегия в интересах инвалидов, к сожалению, не распростр</w:t>
            </w:r>
            <w:r w:rsidR="0000551E" w:rsidRPr="00CB1950">
              <w:t>а</w:t>
            </w:r>
            <w:r w:rsidR="0000551E" w:rsidRPr="00CB1950">
              <w:t>няется на и</w:t>
            </w:r>
            <w:r w:rsidR="0000551E" w:rsidRPr="00CB1950">
              <w:t>н</w:t>
            </w:r>
            <w:r w:rsidR="0000551E" w:rsidRPr="00CB1950">
              <w:t>валидов, которые нуждаются в поддержке и помощи. Государство-участник продолжает нарушать полож</w:t>
            </w:r>
            <w:r w:rsidR="0000551E" w:rsidRPr="00CB1950">
              <w:t>е</w:t>
            </w:r>
            <w:r w:rsidR="0000551E" w:rsidRPr="00CB1950">
              <w:t>ния Конвенции.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20"/>
        </w:trPr>
        <w:tc>
          <w:tcPr>
            <w:cnfStyle w:val="000100000000"/>
            <w:tcW w:w="7370" w:type="dxa"/>
            <w:gridSpan w:val="3"/>
          </w:tcPr>
          <w:p w:rsidR="0000551E" w:rsidRPr="000408B9" w:rsidRDefault="0000551E" w:rsidP="00C028D6">
            <w:pPr>
              <w:rPr>
                <w:b/>
              </w:rPr>
            </w:pPr>
            <w:proofErr w:type="spellStart"/>
            <w:r w:rsidRPr="000408B9">
              <w:rPr>
                <w:b/>
                <w:spacing w:val="0"/>
                <w:w w:val="100"/>
                <w:kern w:val="0"/>
                <w:lang w:val="fr-CH"/>
              </w:rPr>
              <w:t>Оценка</w:t>
            </w:r>
            <w:proofErr w:type="spellEnd"/>
            <w:r w:rsidRPr="000408B9">
              <w:rPr>
                <w:b/>
              </w:rPr>
              <w:t xml:space="preserve"> Комитета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57"/>
        </w:trPr>
        <w:tc>
          <w:tcPr>
            <w:cnfStyle w:val="000100000000"/>
            <w:tcW w:w="7370" w:type="dxa"/>
            <w:gridSpan w:val="3"/>
          </w:tcPr>
          <w:p w:rsidR="0000551E" w:rsidRPr="00CD00B3" w:rsidRDefault="0000551E" w:rsidP="00C028D6">
            <w:pPr>
              <w:keepNext/>
              <w:suppressAutoHyphens/>
              <w:rPr>
                <w:b/>
              </w:rPr>
            </w:pPr>
            <w:r w:rsidRPr="00CD00B3">
              <w:rPr>
                <w:b/>
              </w:rPr>
              <w:t xml:space="preserve">[С1]: </w:t>
            </w:r>
            <w:r w:rsidRPr="00CD00B3">
              <w:rPr>
                <w:b/>
                <w:spacing w:val="0"/>
                <w:w w:val="100"/>
                <w:kern w:val="0"/>
                <w:lang w:val="fr-CH"/>
              </w:rPr>
              <w:t>принятые</w:t>
            </w:r>
            <w:r w:rsidRPr="00CD00B3">
              <w:rPr>
                <w:b/>
              </w:rPr>
              <w:t xml:space="preserve"> меры не урегулировали рассматриваемую ситуацию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CB1950" w:rsidRDefault="00AE7290" w:rsidP="00C028D6">
            <w:pPr>
              <w:jc w:val="both"/>
            </w:pPr>
            <w:r>
              <w:tab/>
            </w:r>
            <w:r w:rsidR="0000551E" w:rsidRPr="00CB1950">
              <w:t xml:space="preserve">Комитет обратится к Постоянному представительству государства-участника с просьбой о встрече для </w:t>
            </w:r>
            <w:r w:rsidR="0000551E">
              <w:t xml:space="preserve">того, чтобы разъяснить его позицию </w:t>
            </w:r>
            <w:r w:rsidR="0000551E" w:rsidRPr="00CB1950">
              <w:t>в о</w:t>
            </w:r>
            <w:r w:rsidR="0000551E" w:rsidRPr="00CB1950">
              <w:t>т</w:t>
            </w:r>
            <w:r w:rsidR="0000551E" w:rsidRPr="00CB1950">
              <w:t xml:space="preserve">ношении </w:t>
            </w:r>
            <w:r w:rsidR="0000551E">
              <w:t>с</w:t>
            </w:r>
            <w:r w:rsidR="0000551E" w:rsidRPr="00CB1950">
              <w:t>о</w:t>
            </w:r>
            <w:r w:rsidR="0000551E" w:rsidRPr="00CB1950">
              <w:t>ображений и подчеркнуть, что направленный ответ не является удовлетвор</w:t>
            </w:r>
            <w:r w:rsidR="0000551E" w:rsidRPr="00CB1950">
              <w:t>и</w:t>
            </w:r>
            <w:r w:rsidR="0000551E" w:rsidRPr="00CB1950">
              <w:t>тельным. С</w:t>
            </w:r>
            <w:r w:rsidR="0000551E">
              <w:t xml:space="preserve"> </w:t>
            </w:r>
            <w:r w:rsidR="0000551E" w:rsidRPr="00CB1950">
              <w:t>учетом предстоящей встречи государству-участнику будет напра</w:t>
            </w:r>
            <w:r w:rsidR="0000551E" w:rsidRPr="00CB1950">
              <w:t>в</w:t>
            </w:r>
            <w:r w:rsidR="0000551E" w:rsidRPr="00CB1950">
              <w:t xml:space="preserve">лено письмо с новой просьбой о предоставлении информации о мерах, принятых для осуществления </w:t>
            </w:r>
            <w:r w:rsidR="0000551E">
              <w:t>с</w:t>
            </w:r>
            <w:r w:rsidR="0000551E" w:rsidRPr="00CB1950">
              <w:t>оображ</w:t>
            </w:r>
            <w:r w:rsidR="0000551E" w:rsidRPr="00CB1950">
              <w:t>е</w:t>
            </w:r>
            <w:r w:rsidR="0000551E" w:rsidRPr="00CB1950">
              <w:t>ний Комитета.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3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AE7290">
            <w:pPr>
              <w:pageBreakBefore/>
              <w:suppressAutoHyphens/>
              <w:rPr>
                <w:b/>
              </w:rPr>
            </w:pPr>
            <w:r w:rsidRPr="007070AE">
              <w:rPr>
                <w:b/>
              </w:rPr>
              <w:t>Пункт 9.2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AE7290" w:rsidRDefault="0000551E" w:rsidP="00AE7290">
            <w:pPr>
              <w:rPr>
                <w:b/>
              </w:rPr>
            </w:pPr>
            <w:r w:rsidRPr="00AE7290">
              <w:rPr>
                <w:b/>
              </w:rPr>
              <w:t>Государство-участник обязано принять меры во избежание аналогичных нарушений в будущем, в том чи</w:t>
            </w:r>
            <w:r w:rsidRPr="00AE7290">
              <w:rPr>
                <w:b/>
              </w:rPr>
              <w:t>с</w:t>
            </w:r>
            <w:r w:rsidRPr="00AE7290">
              <w:rPr>
                <w:b/>
              </w:rPr>
              <w:t>ле обеспечив, чтобы его законодательство и то, как его применяют национальные суды, соответствовали обязател</w:t>
            </w:r>
            <w:r w:rsidRPr="00AE7290">
              <w:rPr>
                <w:b/>
              </w:rPr>
              <w:t>ь</w:t>
            </w:r>
            <w:r w:rsidRPr="00AE7290">
              <w:rPr>
                <w:b/>
              </w:rPr>
              <w:t>ствам госуда</w:t>
            </w:r>
            <w:r w:rsidRPr="00AE7290">
              <w:rPr>
                <w:b/>
              </w:rPr>
              <w:t>р</w:t>
            </w:r>
            <w:r w:rsidRPr="00AE7290">
              <w:rPr>
                <w:b/>
              </w:rPr>
              <w:t>ства-участника обеспечивать, чтобы законодательство не имело целью или результатом умаление или отрицание признания, реал</w:t>
            </w:r>
            <w:r w:rsidRPr="00AE7290">
              <w:rPr>
                <w:b/>
              </w:rPr>
              <w:t>и</w:t>
            </w:r>
            <w:r w:rsidRPr="00AE7290">
              <w:rPr>
                <w:b/>
              </w:rPr>
              <w:t>зации или осуществления наравне с другими всех прав инвал</w:t>
            </w:r>
            <w:r w:rsidRPr="00AE7290">
              <w:rPr>
                <w:b/>
              </w:rPr>
              <w:t>и</w:t>
            </w:r>
            <w:r w:rsidRPr="00AE7290">
              <w:rPr>
                <w:b/>
              </w:rPr>
              <w:t>дов.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8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Резюме ответа государства-участника</w:t>
            </w:r>
          </w:p>
        </w:tc>
      </w:tr>
      <w:tr w:rsidR="0000551E" w:rsidRPr="000408B9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Отправным пунктом при рассмотрении жалоб согласно Факультативному протоколу к Конвенции должно являться то, что бремя доказывания факта предполагаемого нарушения, по меньшей мере первоначально, должно возл</w:t>
            </w:r>
            <w:r w:rsidR="0000551E" w:rsidRPr="00CB1950">
              <w:t>а</w:t>
            </w:r>
            <w:r w:rsidR="0000551E" w:rsidRPr="00CB1950">
              <w:t>гаться на подателя жалобы. Соображения Комитета не касаются этого вопроса, который был поставлен государством-участником в его замеч</w:t>
            </w:r>
            <w:r w:rsidR="0000551E" w:rsidRPr="00CB1950">
              <w:t>а</w:t>
            </w:r>
            <w:r w:rsidR="0000551E" w:rsidRPr="00CB1950">
              <w:t>ниях.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14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Податель жалобы не смогла предоставить доказательства существования фа</w:t>
            </w:r>
            <w:r w:rsidR="0000551E" w:rsidRPr="00CB1950">
              <w:t>к</w:t>
            </w:r>
            <w:r w:rsidR="0000551E" w:rsidRPr="00CB1950">
              <w:t>тических обстоятельств, на которых она основывает свое утверждение. Она не продемонстрировала, что ее законное право на мед</w:t>
            </w:r>
            <w:r w:rsidR="0000551E" w:rsidRPr="00CB1950">
              <w:t>и</w:t>
            </w:r>
            <w:r w:rsidR="0000551E" w:rsidRPr="00CB1950">
              <w:t>цинское обслуживание и реабилитацию не было с</w:t>
            </w:r>
            <w:r w:rsidR="0000551E" w:rsidRPr="00CB1950">
              <w:t>о</w:t>
            </w:r>
            <w:r w:rsidR="0000551E" w:rsidRPr="00CB1950">
              <w:t>блюдено окружным советом.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Законодательство Швеции соответствует статьям Конвенции, на которые ссылается податель жалобы. Соответствие законодательства Швеции статьям Конвенции не может быть оценено только в отношении Зак</w:t>
            </w:r>
            <w:r w:rsidR="0000551E" w:rsidRPr="00CB1950">
              <w:t>о</w:t>
            </w:r>
            <w:r w:rsidR="0000551E" w:rsidRPr="00CB1950">
              <w:t>на о планировании и строительстве, цель которого не заключается в обеспечении прав инвалидов на здоровье. Необходимо принимать во внимание другие в большей мере имеющие отношение к делу законы, например Закон о здравоохранении и м</w:t>
            </w:r>
            <w:r w:rsidR="0000551E" w:rsidRPr="00CB1950">
              <w:t>е</w:t>
            </w:r>
            <w:r w:rsidR="0000551E" w:rsidRPr="00CB1950">
              <w:t>дицинском обслуживании. Законодательство Швеции в целом совместим</w:t>
            </w:r>
            <w:r w:rsidR="0000551E">
              <w:t>о</w:t>
            </w:r>
            <w:r w:rsidR="0000551E" w:rsidRPr="00CB1950">
              <w:t xml:space="preserve"> со статьями, на которые ссылается податель ж</w:t>
            </w:r>
            <w:r>
              <w:t xml:space="preserve">алобы. Соображения Комитета не </w:t>
            </w:r>
            <w:r w:rsidR="0000551E" w:rsidRPr="00CB1950">
              <w:t>д</w:t>
            </w:r>
            <w:r w:rsidR="0000551E" w:rsidRPr="00CB1950">
              <w:t>а</w:t>
            </w:r>
            <w:r w:rsidR="0000551E" w:rsidRPr="00CB1950">
              <w:t>ют повода для изменения положений законодательства Швеции.</w:t>
            </w:r>
          </w:p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 xml:space="preserve">Конституция Швеции исключает для правительства </w:t>
            </w:r>
            <w:r w:rsidR="0000551E">
              <w:t xml:space="preserve">возможность </w:t>
            </w:r>
            <w:r w:rsidR="0000551E" w:rsidRPr="00CB1950">
              <w:t>влиять на процесс принятия решений по отдельным делам о выдаче разрешения на планиров</w:t>
            </w:r>
            <w:r w:rsidR="0000551E" w:rsidRPr="00CB1950">
              <w:t>а</w:t>
            </w:r>
            <w:r w:rsidR="0000551E" w:rsidRPr="00CB1950">
              <w:t>ние.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65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Резюме замечаний адвоката автора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3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>
              <w:t>Замечаний по этому пункту не имеется.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7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Оценка Комитета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25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[С1]: предоставленная информация не сопряжена с урегулированием ра</w:t>
            </w:r>
            <w:r w:rsidRPr="007070AE">
              <w:rPr>
                <w:b/>
              </w:rPr>
              <w:t>с</w:t>
            </w:r>
            <w:r w:rsidRPr="007070AE">
              <w:rPr>
                <w:b/>
              </w:rPr>
              <w:t>сматриваемой ситуации.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Комитет напоминает государству-участнику о том, что обязательства, предусмотренные Конвенцией в целом, носят обязывающий характер для ка</w:t>
            </w:r>
            <w:r w:rsidR="0000551E" w:rsidRPr="00CB1950">
              <w:t>ж</w:t>
            </w:r>
            <w:r w:rsidR="0000551E" w:rsidRPr="00CB1950">
              <w:t>дого государства-участника в целом. Все ветви власти (исполнительная, зак</w:t>
            </w:r>
            <w:r w:rsidR="0000551E" w:rsidRPr="00CB1950">
              <w:t>о</w:t>
            </w:r>
            <w:r w:rsidR="0000551E" w:rsidRPr="00CB1950">
              <w:t>нодательная и судебная власть) и другие публичные или государственные о</w:t>
            </w:r>
            <w:r w:rsidR="0000551E" w:rsidRPr="00CB1950">
              <w:t>р</w:t>
            </w:r>
            <w:r w:rsidR="0000551E" w:rsidRPr="00CB1950">
              <w:t>ганы на любом уровне</w:t>
            </w:r>
            <w:r w:rsidR="0000551E">
              <w:t xml:space="preserve"> </w:t>
            </w:r>
            <w:r w:rsidR="0000551E" w:rsidRPr="00CB1950">
              <w:t>− национальном, региональном или местном − могут за</w:t>
            </w:r>
            <w:r w:rsidR="0000551E">
              <w:t>траг</w:t>
            </w:r>
            <w:r w:rsidR="0000551E">
              <w:t>и</w:t>
            </w:r>
            <w:r w:rsidR="0000551E">
              <w:t>вать</w:t>
            </w:r>
            <w:r w:rsidR="0000551E" w:rsidRPr="00CB1950">
              <w:t xml:space="preserve"> ответственность государства-участника. Исполнительная ветвь власти, которая в целом представляет государство-участник на междун</w:t>
            </w:r>
            <w:r w:rsidR="0000551E" w:rsidRPr="00CB1950">
              <w:t>а</w:t>
            </w:r>
            <w:r w:rsidR="0000551E" w:rsidRPr="00CB1950">
              <w:t xml:space="preserve">родной арене, в том числе в Комитете, не может </w:t>
            </w:r>
            <w:r w:rsidR="0000551E">
              <w:t xml:space="preserve">ссылаться на то, </w:t>
            </w:r>
            <w:r w:rsidR="0000551E" w:rsidRPr="00CB1950">
              <w:t>что меры, несовме</w:t>
            </w:r>
            <w:r w:rsidR="0000551E" w:rsidRPr="00CB1950">
              <w:t>с</w:t>
            </w:r>
            <w:r w:rsidR="0000551E" w:rsidRPr="00CB1950">
              <w:t>тимые с положениями Конвенции, были приняты другой ветвью власти</w:t>
            </w:r>
            <w:r w:rsidR="0000551E">
              <w:t xml:space="preserve">, </w:t>
            </w:r>
            <w:r>
              <w:t xml:space="preserve">в </w:t>
            </w:r>
            <w:r w:rsidR="0000551E">
              <w:t>обо</w:t>
            </w:r>
            <w:r w:rsidR="0000551E">
              <w:t>с</w:t>
            </w:r>
            <w:r w:rsidR="0000551E">
              <w:t>нование того, что государство-участник не несет</w:t>
            </w:r>
            <w:r w:rsidR="0000551E" w:rsidRPr="00CB1950">
              <w:t xml:space="preserve"> ответс</w:t>
            </w:r>
            <w:r w:rsidR="0000551E" w:rsidRPr="00CB1950">
              <w:t>т</w:t>
            </w:r>
            <w:r w:rsidR="0000551E" w:rsidRPr="00CB1950">
              <w:t xml:space="preserve">венности за принятые меры и </w:t>
            </w:r>
            <w:r w:rsidR="0000551E">
              <w:t xml:space="preserve">их </w:t>
            </w:r>
            <w:r w:rsidR="0000551E" w:rsidRPr="00CB1950">
              <w:t>последующую несовместимость</w:t>
            </w:r>
            <w:r w:rsidR="0000551E">
              <w:t xml:space="preserve"> с Конвенцией</w:t>
            </w:r>
            <w:r w:rsidR="0000551E" w:rsidRPr="00CB1950">
              <w:t>. Это понимание пр</w:t>
            </w:r>
            <w:r w:rsidR="0000551E" w:rsidRPr="00CB1950">
              <w:t>я</w:t>
            </w:r>
            <w:r w:rsidR="0000551E" w:rsidRPr="00CB1950">
              <w:t>мо вытекает из принципа, закрепленного в статье 27 Венской конвенции о пр</w:t>
            </w:r>
            <w:r w:rsidR="0000551E" w:rsidRPr="00CB1950">
              <w:t>а</w:t>
            </w:r>
            <w:r w:rsidR="0000551E" w:rsidRPr="00CB1950">
              <w:t>ве международных договоров, согласно которой государство-участник "не м</w:t>
            </w:r>
            <w:r w:rsidR="0000551E" w:rsidRPr="00CB1950">
              <w:t>о</w:t>
            </w:r>
            <w:r w:rsidR="0000551E" w:rsidRPr="00CB1950">
              <w:t>жет ссылаться на положения своего внутреннего права в качестве оправдания невыполнения им дог</w:t>
            </w:r>
            <w:r w:rsidR="0000551E" w:rsidRPr="00CB1950">
              <w:t>о</w:t>
            </w:r>
            <w:r w:rsidR="0000551E" w:rsidRPr="00CB1950">
              <w:t>вора".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В отношении оценки государством-участником соответствия Закона о планировании и строительстве Ко</w:t>
            </w:r>
            <w:r w:rsidR="0000551E" w:rsidRPr="00CB1950">
              <w:t>н</w:t>
            </w:r>
            <w:r w:rsidR="0000551E" w:rsidRPr="00CB1950">
              <w:t xml:space="preserve">венции Комитет напоминает государству-участнику о том, что любое законодательство, независимо от его цели, должно выполняться таким образом, чтобы </w:t>
            </w:r>
            <w:r w:rsidR="0000551E">
              <w:t>оно</w:t>
            </w:r>
            <w:r w:rsidR="0000551E" w:rsidRPr="00CB1950">
              <w:t xml:space="preserve"> было совместим</w:t>
            </w:r>
            <w:r w:rsidR="0000551E">
              <w:t>о</w:t>
            </w:r>
            <w:r w:rsidR="0000551E" w:rsidRPr="00CB1950">
              <w:t xml:space="preserve"> с международными стандартами в области прав человека и учитывало все необходимые и надл</w:t>
            </w:r>
            <w:r w:rsidR="0000551E" w:rsidRPr="00CB1950">
              <w:t>е</w:t>
            </w:r>
            <w:r w:rsidR="0000551E" w:rsidRPr="00CB1950">
              <w:t xml:space="preserve">жащие изменения и </w:t>
            </w:r>
            <w:r w:rsidR="0000551E">
              <w:t>поправки</w:t>
            </w:r>
            <w:r w:rsidR="0000551E" w:rsidRPr="00CB1950">
              <w:t>, не с</w:t>
            </w:r>
            <w:r w:rsidR="0000551E">
              <w:t>оздающие несоразмерного или неоправда</w:t>
            </w:r>
            <w:r w:rsidR="0000551E">
              <w:t>н</w:t>
            </w:r>
            <w:r w:rsidR="0000551E">
              <w:t>ного бремени</w:t>
            </w:r>
            <w:r w:rsidR="0000551E" w:rsidRPr="00CB1950">
              <w:t xml:space="preserve"> для государства-участника, в сл</w:t>
            </w:r>
            <w:r w:rsidR="0000551E" w:rsidRPr="00CB1950">
              <w:t>у</w:t>
            </w:r>
            <w:r w:rsidR="0000551E" w:rsidRPr="00CB1950">
              <w:t>чае необходимости в каждом конкретном случае обеспечить инвалидам осущест</w:t>
            </w:r>
            <w:r w:rsidR="0000551E" w:rsidRPr="00CB1950">
              <w:t>в</w:t>
            </w:r>
            <w:r>
              <w:t>ление</w:t>
            </w:r>
            <w:r w:rsidR="0000551E" w:rsidRPr="00CB1950">
              <w:t xml:space="preserve"> наравне с другими всех прав человека и осно</w:t>
            </w:r>
            <w:r w:rsidR="0000551E" w:rsidRPr="00CB1950">
              <w:t>в</w:t>
            </w:r>
            <w:r w:rsidR="0000551E" w:rsidRPr="00CB1950">
              <w:t>ных свобод.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9B56B7" w:rsidP="00C028D6">
            <w:pPr>
              <w:jc w:val="both"/>
            </w:pPr>
            <w:r>
              <w:tab/>
            </w:r>
            <w:r w:rsidR="0000551E" w:rsidRPr="00CB1950">
              <w:t>Комитет просит государство-участник представить дополнительную и</w:t>
            </w:r>
            <w:r w:rsidR="0000551E" w:rsidRPr="00CB1950">
              <w:t>н</w:t>
            </w:r>
            <w:r w:rsidR="0000551E" w:rsidRPr="00CB1950">
              <w:t xml:space="preserve">формацию: а) </w:t>
            </w:r>
            <w:r w:rsidR="0000551E">
              <w:t xml:space="preserve">о </w:t>
            </w:r>
            <w:r w:rsidR="0000551E" w:rsidRPr="00CB1950">
              <w:t>мерах, принятых для обеспечения осуществления своих соо</w:t>
            </w:r>
            <w:r w:rsidR="0000551E" w:rsidRPr="00CB1950">
              <w:t>б</w:t>
            </w:r>
            <w:r w:rsidR="0000551E" w:rsidRPr="00CB1950">
              <w:t xml:space="preserve">ражений и рекомендаций в деле </w:t>
            </w:r>
            <w:r w:rsidR="00E61E66" w:rsidRPr="00E61E66">
              <w:rPr>
                <w:i/>
              </w:rPr>
              <w:t>Х</w:t>
            </w:r>
            <w:r w:rsidR="0000551E" w:rsidRPr="00E61E66">
              <w:rPr>
                <w:i/>
              </w:rPr>
              <w:t>.M. против Швеции</w:t>
            </w:r>
            <w:r w:rsidR="00E61E66">
              <w:t>,</w:t>
            </w:r>
            <w:r w:rsidR="0000551E">
              <w:t xml:space="preserve"> и</w:t>
            </w:r>
            <w:r w:rsidR="0000551E" w:rsidRPr="00CB1950">
              <w:t xml:space="preserve"> </w:t>
            </w:r>
            <w:proofErr w:type="spellStart"/>
            <w:r w:rsidR="0000551E" w:rsidRPr="00CB1950">
              <w:t>b</w:t>
            </w:r>
            <w:proofErr w:type="spellEnd"/>
            <w:r w:rsidR="0000551E" w:rsidRPr="00CB1950">
              <w:t xml:space="preserve">) </w:t>
            </w:r>
            <w:r w:rsidR="0000551E">
              <w:t xml:space="preserve">о </w:t>
            </w:r>
            <w:r w:rsidR="0000551E" w:rsidRPr="00CB1950">
              <w:t>возможност</w:t>
            </w:r>
            <w:r w:rsidR="0000551E">
              <w:t>и</w:t>
            </w:r>
            <w:r w:rsidR="0000551E" w:rsidRPr="00CB1950">
              <w:t xml:space="preserve"> в рамках национального и местного законодательств</w:t>
            </w:r>
            <w:r w:rsidR="00E61E66">
              <w:t>а</w:t>
            </w:r>
            <w:r w:rsidR="0000551E" w:rsidRPr="00CB1950">
              <w:t xml:space="preserve"> о планировании предост</w:t>
            </w:r>
            <w:r w:rsidR="0000551E" w:rsidRPr="00CB1950">
              <w:t>а</w:t>
            </w:r>
            <w:r w:rsidR="0000551E" w:rsidRPr="00CB1950">
              <w:t>вить в виде исключения разрешение на строительство в соответствии с при</w:t>
            </w:r>
            <w:r w:rsidR="0000551E" w:rsidRPr="00CB1950">
              <w:t>н</w:t>
            </w:r>
            <w:r w:rsidR="0000551E" w:rsidRPr="00CB1950">
              <w:t>ципом р</w:t>
            </w:r>
            <w:r w:rsidR="0000551E" w:rsidRPr="00CB1950">
              <w:t>а</w:t>
            </w:r>
            <w:r w:rsidR="0000551E" w:rsidRPr="00CB1950">
              <w:t>зумного приспособления.</w:t>
            </w:r>
          </w:p>
        </w:tc>
      </w:tr>
      <w:tr w:rsidR="0000551E" w:rsidRPr="007F52A1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10"/>
        </w:trPr>
        <w:tc>
          <w:tcPr>
            <w:cnfStyle w:val="000100000000"/>
            <w:tcW w:w="7370" w:type="dxa"/>
            <w:gridSpan w:val="3"/>
          </w:tcPr>
          <w:p w:rsidR="0000551E" w:rsidRPr="007F52A1" w:rsidRDefault="0000551E" w:rsidP="00C028D6">
            <w:pPr>
              <w:rPr>
                <w:b/>
              </w:rPr>
            </w:pPr>
            <w:r w:rsidRPr="007F52A1">
              <w:rPr>
                <w:b/>
              </w:rPr>
              <w:t>Пункт 10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E61E66" w:rsidRDefault="0000551E" w:rsidP="00E61E66">
            <w:pPr>
              <w:jc w:val="both"/>
              <w:rPr>
                <w:b/>
              </w:rPr>
            </w:pPr>
            <w:r w:rsidRPr="00E61E66">
              <w:rPr>
                <w:b/>
              </w:rPr>
              <w:t>В соответствии со статьей 5 Факультативного прот</w:t>
            </w:r>
            <w:r w:rsidRPr="00E61E66">
              <w:rPr>
                <w:b/>
              </w:rPr>
              <w:t>о</w:t>
            </w:r>
            <w:r w:rsidRPr="00E61E66">
              <w:rPr>
                <w:b/>
              </w:rPr>
              <w:t>кола и правилом 75 правил процедуры Комитета государству-участнику следует представить К</w:t>
            </w:r>
            <w:r w:rsidRPr="00E61E66">
              <w:rPr>
                <w:b/>
              </w:rPr>
              <w:t>о</w:t>
            </w:r>
            <w:r w:rsidRPr="00E61E66">
              <w:rPr>
                <w:b/>
              </w:rPr>
              <w:t>митету в течение шести месяцев письменный ответ, включающий всю информацию о любых мерах, принятых в свете соображений и рекоменд</w:t>
            </w:r>
            <w:r w:rsidRPr="00E61E66">
              <w:rPr>
                <w:b/>
              </w:rPr>
              <w:t>а</w:t>
            </w:r>
            <w:r w:rsidRPr="00E61E66">
              <w:rPr>
                <w:b/>
              </w:rPr>
              <w:t>ций Комитета. Государству-участнику также предлагается опублик</w:t>
            </w:r>
            <w:r w:rsidRPr="00E61E66">
              <w:rPr>
                <w:b/>
              </w:rPr>
              <w:t>о</w:t>
            </w:r>
            <w:r w:rsidRPr="00E61E66">
              <w:rPr>
                <w:b/>
              </w:rPr>
              <w:t>вать соображения Комитета, обеспечить их перевод на официальный язык г</w:t>
            </w:r>
            <w:r w:rsidRPr="00E61E66">
              <w:rPr>
                <w:b/>
              </w:rPr>
              <w:t>о</w:t>
            </w:r>
            <w:r w:rsidRPr="00E61E66">
              <w:rPr>
                <w:b/>
              </w:rPr>
              <w:t>сударства-участника и широко распространить их в доступной форме ср</w:t>
            </w:r>
            <w:r w:rsidRPr="00E61E66">
              <w:rPr>
                <w:b/>
              </w:rPr>
              <w:t>е</w:t>
            </w:r>
            <w:r w:rsidRPr="00E61E66">
              <w:rPr>
                <w:b/>
              </w:rPr>
              <w:t>ди всех групп населения.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0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Резюме ответа государства-участника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ED32A6" w:rsidP="00C028D6">
            <w:pPr>
              <w:jc w:val="both"/>
            </w:pPr>
            <w:r>
              <w:tab/>
            </w:r>
            <w:r w:rsidR="0000551E" w:rsidRPr="00CB1950">
              <w:t>Рекомендации Комитета были переведены на шведский язык и направл</w:t>
            </w:r>
            <w:r w:rsidR="0000551E" w:rsidRPr="00CB1950">
              <w:t>е</w:t>
            </w:r>
            <w:r w:rsidR="0000551E" w:rsidRPr="00CB1950">
              <w:t>ны представителю подателя жалобы и представителям организаций инвалидов. Пр</w:t>
            </w:r>
            <w:r w:rsidR="0000551E" w:rsidRPr="00CB1950">
              <w:t>а</w:t>
            </w:r>
            <w:r w:rsidR="0000551E" w:rsidRPr="00CB1950">
              <w:t xml:space="preserve">вительство </w:t>
            </w:r>
            <w:r w:rsidR="0000551E">
              <w:t xml:space="preserve">было </w:t>
            </w:r>
            <w:r w:rsidR="0000551E" w:rsidRPr="00CB1950">
              <w:t>устно уведом</w:t>
            </w:r>
            <w:r w:rsidR="0000551E">
              <w:t>лено о с</w:t>
            </w:r>
            <w:r w:rsidR="0000551E" w:rsidRPr="00CB1950">
              <w:t>оображениях в ходе консультативной встречи, касающейся Конвенции</w:t>
            </w:r>
            <w:r w:rsidR="0000551E">
              <w:t>,</w:t>
            </w:r>
            <w:r w:rsidR="0000551E" w:rsidRPr="00CB1950">
              <w:t xml:space="preserve"> 31</w:t>
            </w:r>
            <w:r w:rsidR="0000551E">
              <w:t xml:space="preserve"> </w:t>
            </w:r>
            <w:r w:rsidR="0000551E" w:rsidRPr="00CB1950">
              <w:t>августа 2012 года. Соображения Комит</w:t>
            </w:r>
            <w:r w:rsidR="0000551E" w:rsidRPr="00CB1950">
              <w:t>е</w:t>
            </w:r>
            <w:r w:rsidR="0000551E" w:rsidRPr="00CB1950">
              <w:t xml:space="preserve">та (подлинный текст и перевод) были размещены на </w:t>
            </w:r>
            <w:proofErr w:type="spellStart"/>
            <w:r w:rsidR="0000551E" w:rsidRPr="00CB1950">
              <w:t>веб-сайте</w:t>
            </w:r>
            <w:proofErr w:type="spellEnd"/>
            <w:r w:rsidR="0000551E" w:rsidRPr="00CB1950">
              <w:t xml:space="preserve"> правительства, п</w:t>
            </w:r>
            <w:r w:rsidR="0000551E" w:rsidRPr="00CB1950">
              <w:t>о</w:t>
            </w:r>
            <w:r w:rsidR="0000551E" w:rsidRPr="00CB1950">
              <w:t>священном правам человека, с 10 сентября 2012 года, и вскоре с ними можно будет ознакомиться в качестве доступных док</w:t>
            </w:r>
            <w:r w:rsidR="0000551E" w:rsidRPr="00CB1950">
              <w:t>у</w:t>
            </w:r>
            <w:r w:rsidR="0000551E" w:rsidRPr="00CB1950">
              <w:t>ментов в форм</w:t>
            </w:r>
            <w:r w:rsidR="0000551E">
              <w:t>ате</w:t>
            </w:r>
            <w:r w:rsidR="0000551E" w:rsidRPr="00CB1950">
              <w:t xml:space="preserve"> </w:t>
            </w:r>
            <w:proofErr w:type="spellStart"/>
            <w:r w:rsidR="0000551E" w:rsidRPr="00CB1950">
              <w:t>pdf</w:t>
            </w:r>
            <w:proofErr w:type="spellEnd"/>
            <w:r w:rsidR="0000551E" w:rsidRPr="00CB1950">
              <w:t xml:space="preserve"> и </w:t>
            </w:r>
            <w:proofErr w:type="spellStart"/>
            <w:r w:rsidR="0000551E" w:rsidRPr="00CB1950">
              <w:t>Microsoft</w:t>
            </w:r>
            <w:proofErr w:type="spellEnd"/>
            <w:r w:rsidR="0000551E" w:rsidRPr="00CB1950">
              <w:t xml:space="preserve"> </w:t>
            </w:r>
            <w:proofErr w:type="spellStart"/>
            <w:r w:rsidR="0000551E" w:rsidRPr="00CB1950">
              <w:t>Word</w:t>
            </w:r>
            <w:proofErr w:type="spellEnd"/>
            <w:r w:rsidR="0000551E" w:rsidRPr="00CB1950">
              <w:t>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B1950" w:rsidRDefault="00ED32A6" w:rsidP="00C028D6">
            <w:pPr>
              <w:jc w:val="both"/>
            </w:pPr>
            <w:r>
              <w:tab/>
            </w:r>
            <w:r w:rsidR="0000551E" w:rsidRPr="00CB1950">
              <w:t xml:space="preserve">Переведенные рекомендации также будут иметься на </w:t>
            </w:r>
            <w:r w:rsidR="0000551E">
              <w:t xml:space="preserve">упрощенном </w:t>
            </w:r>
            <w:r w:rsidR="0000551E" w:rsidRPr="00CB1950">
              <w:t>шве</w:t>
            </w:r>
            <w:r w:rsidR="0000551E" w:rsidRPr="00CB1950">
              <w:t>д</w:t>
            </w:r>
            <w:r w:rsidR="0000551E" w:rsidRPr="00CB1950">
              <w:t xml:space="preserve">ском языке. Полное резюме </w:t>
            </w:r>
            <w:r w:rsidR="0000551E">
              <w:t>с</w:t>
            </w:r>
            <w:r w:rsidR="0000551E" w:rsidRPr="00CB1950">
              <w:t>оображений Комитета в настоящее время подг</w:t>
            </w:r>
            <w:r w:rsidR="0000551E" w:rsidRPr="00CB1950">
              <w:t>о</w:t>
            </w:r>
            <w:r w:rsidR="0000551E" w:rsidRPr="00CB1950">
              <w:t>тавливается Министерством иностранных дел и будет также опу</w:t>
            </w:r>
            <w:r w:rsidR="0000551E" w:rsidRPr="00CB1950">
              <w:t>б</w:t>
            </w:r>
            <w:r w:rsidR="0000551E" w:rsidRPr="00CB1950">
              <w:t xml:space="preserve">ликовано на </w:t>
            </w:r>
            <w:proofErr w:type="spellStart"/>
            <w:r w:rsidR="0000551E" w:rsidRPr="00CB1950">
              <w:t>веб-сайте</w:t>
            </w:r>
            <w:proofErr w:type="spellEnd"/>
            <w:r w:rsidR="0000551E" w:rsidRPr="00CB1950">
              <w:t xml:space="preserve"> правительства, посвященном правам человека, в доступных форм</w:t>
            </w:r>
            <w:r w:rsidR="0000551E" w:rsidRPr="00CB1950">
              <w:t>а</w:t>
            </w:r>
            <w:r w:rsidR="0000551E" w:rsidRPr="00CB1950">
              <w:t xml:space="preserve">тах. По просьбе эти документы могут быть также </w:t>
            </w:r>
            <w:r w:rsidR="0000551E">
              <w:t>конверт</w:t>
            </w:r>
            <w:r w:rsidR="0000551E">
              <w:t>и</w:t>
            </w:r>
            <w:r w:rsidR="0000551E">
              <w:t>рованы</w:t>
            </w:r>
            <w:r w:rsidR="0000551E" w:rsidRPr="00CB1950">
              <w:t xml:space="preserve"> в другие доступные форматы.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7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Резюме замечаний адвоката автора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9"/>
        </w:trPr>
        <w:tc>
          <w:tcPr>
            <w:cnfStyle w:val="000100000000"/>
            <w:tcW w:w="7370" w:type="dxa"/>
            <w:gridSpan w:val="3"/>
          </w:tcPr>
          <w:p w:rsidR="0000551E" w:rsidRPr="00CB1950" w:rsidRDefault="00ED32A6" w:rsidP="00C028D6">
            <w:r>
              <w:tab/>
            </w:r>
            <w:r w:rsidR="0000551E">
              <w:t>Замечаний по этому пункту не имеется.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3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Оценка Комитета:</w:t>
            </w:r>
          </w:p>
        </w:tc>
      </w:tr>
      <w:tr w:rsidR="0000551E" w:rsidRPr="00C72487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01"/>
        </w:trPr>
        <w:tc>
          <w:tcPr>
            <w:cnfStyle w:val="000100000000"/>
            <w:tcW w:w="7370" w:type="dxa"/>
            <w:gridSpan w:val="3"/>
          </w:tcPr>
          <w:p w:rsidR="0000551E" w:rsidRPr="00C72487" w:rsidRDefault="0000551E" w:rsidP="00C028D6">
            <w:pPr>
              <w:rPr>
                <w:b/>
              </w:rPr>
            </w:pPr>
            <w:r w:rsidRPr="00C72487">
              <w:rPr>
                <w:b/>
              </w:rPr>
              <w:t>[В2]: приняты первоначальные меры, однако необходимы дополнител</w:t>
            </w:r>
            <w:r w:rsidRPr="00C72487">
              <w:rPr>
                <w:b/>
              </w:rPr>
              <w:t>ь</w:t>
            </w:r>
            <w:r w:rsidRPr="00C72487">
              <w:rPr>
                <w:b/>
              </w:rPr>
              <w:t>ные меры и соответствующая информация для обеспечения полного ос</w:t>
            </w:r>
            <w:r w:rsidRPr="00C72487">
              <w:rPr>
                <w:b/>
              </w:rPr>
              <w:t>у</w:t>
            </w:r>
            <w:r w:rsidRPr="00C72487">
              <w:rPr>
                <w:b/>
              </w:rPr>
              <w:t>ществл</w:t>
            </w:r>
            <w:r w:rsidRPr="00C72487">
              <w:rPr>
                <w:b/>
              </w:rPr>
              <w:t>е</w:t>
            </w:r>
            <w:r w:rsidRPr="00C72487">
              <w:rPr>
                <w:b/>
              </w:rPr>
              <w:t>ния мер, объявленных государством-участником.</w:t>
            </w:r>
          </w:p>
        </w:tc>
      </w:tr>
      <w:tr w:rsidR="0000551E" w:rsidRPr="007070AE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79"/>
        </w:trPr>
        <w:tc>
          <w:tcPr>
            <w:cnfStyle w:val="000100000000"/>
            <w:tcW w:w="7370" w:type="dxa"/>
            <w:gridSpan w:val="3"/>
          </w:tcPr>
          <w:p w:rsidR="0000551E" w:rsidRPr="007070AE" w:rsidRDefault="0000551E" w:rsidP="00C028D6">
            <w:pPr>
              <w:rPr>
                <w:b/>
              </w:rPr>
            </w:pPr>
            <w:r w:rsidRPr="007070AE">
              <w:rPr>
                <w:b/>
              </w:rPr>
              <w:t>Последующие меры в связи с рекомендацией: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1"/>
        </w:trPr>
        <w:tc>
          <w:tcPr>
            <w:cnfStyle w:val="000100000000"/>
            <w:tcW w:w="7370" w:type="dxa"/>
            <w:gridSpan w:val="3"/>
          </w:tcPr>
          <w:p w:rsidR="0000551E" w:rsidRPr="00CB1950" w:rsidRDefault="00ED32A6" w:rsidP="00C028D6">
            <w:pPr>
              <w:jc w:val="both"/>
            </w:pPr>
            <w:r>
              <w:tab/>
            </w:r>
            <w:r w:rsidR="0000551E" w:rsidRPr="00CB1950">
              <w:t>Ведущийся последующий диалог с учетом выводов С1/С1/В2 (приняты неудовлетворительные и первон</w:t>
            </w:r>
            <w:r w:rsidR="0000551E" w:rsidRPr="00CB1950">
              <w:t>а</w:t>
            </w:r>
            <w:r w:rsidR="0000551E" w:rsidRPr="00CB1950">
              <w:t>чальные меры).</w:t>
            </w:r>
          </w:p>
        </w:tc>
      </w:tr>
      <w:tr w:rsidR="0000551E" w:rsidRPr="00CB1950" w:rsidTr="001029B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0100000000"/>
            <w:tcW w:w="7370" w:type="dxa"/>
            <w:gridSpan w:val="3"/>
          </w:tcPr>
          <w:p w:rsidR="0000551E" w:rsidRPr="00CB1950" w:rsidRDefault="00ED32A6" w:rsidP="00C028D6">
            <w:pPr>
              <w:jc w:val="both"/>
            </w:pPr>
            <w:r>
              <w:tab/>
            </w:r>
            <w:r w:rsidR="0000551E" w:rsidRPr="00CB1950">
              <w:t>Письмо, отражающее результаты анализа Комитета и предлагающее П</w:t>
            </w:r>
            <w:r w:rsidR="0000551E" w:rsidRPr="00CB1950">
              <w:t>о</w:t>
            </w:r>
            <w:r w:rsidR="0000551E" w:rsidRPr="00CB1950">
              <w:t>стоя</w:t>
            </w:r>
            <w:r w:rsidR="0000551E" w:rsidRPr="00CB1950">
              <w:t>н</w:t>
            </w:r>
            <w:r w:rsidR="0000551E" w:rsidRPr="00CB1950">
              <w:t xml:space="preserve">ному представительству встретиться со Специальным докладчиком для обсуждения последующей деятельности по </w:t>
            </w:r>
            <w:r w:rsidR="0000551E">
              <w:t>с</w:t>
            </w:r>
            <w:r w:rsidR="0000551E" w:rsidRPr="00CB1950">
              <w:t>ооб</w:t>
            </w:r>
            <w:r>
              <w:t>ражениям, будет направлено г</w:t>
            </w:r>
            <w:r w:rsidR="0000551E" w:rsidRPr="00CB1950">
              <w:t xml:space="preserve">осударству-участнику, Специальному докладчику по новым сообщениям и </w:t>
            </w:r>
            <w:r>
              <w:t>П</w:t>
            </w:r>
            <w:r w:rsidR="0000551E" w:rsidRPr="00CB1950">
              <w:t>ре</w:t>
            </w:r>
            <w:r w:rsidR="0000551E" w:rsidRPr="00CB1950">
              <w:t>д</w:t>
            </w:r>
            <w:r w:rsidR="0000551E" w:rsidRPr="00CB1950">
              <w:t>седателю Комитета.</w:t>
            </w:r>
          </w:p>
        </w:tc>
      </w:tr>
    </w:tbl>
    <w:p w:rsidR="0000551E" w:rsidRPr="00ED32A6" w:rsidRDefault="00ED32A6" w:rsidP="00ED32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551E" w:rsidRPr="00ED32A6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D3" w:rsidRDefault="000964D3">
      <w:r>
        <w:rPr>
          <w:lang w:val="en-US"/>
        </w:rPr>
        <w:tab/>
      </w:r>
      <w:r>
        <w:separator/>
      </w:r>
    </w:p>
  </w:endnote>
  <w:endnote w:type="continuationSeparator" w:id="0">
    <w:p w:rsidR="000964D3" w:rsidRDefault="0009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D3" w:rsidRPr="009A6F4A" w:rsidRDefault="000964D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GE.13-48372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D3" w:rsidRPr="009A6F4A" w:rsidRDefault="000964D3">
    <w:pPr>
      <w:pStyle w:val="Footer"/>
      <w:rPr>
        <w:lang w:val="en-US"/>
      </w:rPr>
    </w:pPr>
    <w:r>
      <w:rPr>
        <w:lang w:val="en-US"/>
      </w:rPr>
      <w:t>GE.13-48372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0964D3" w:rsidTr="00441562">
      <w:trPr>
        <w:cnfStyle w:val="100000000000"/>
        <w:trHeight w:val="438"/>
      </w:trPr>
      <w:tc>
        <w:tcPr>
          <w:tcW w:w="4068" w:type="dxa"/>
          <w:vAlign w:val="bottom"/>
        </w:tcPr>
        <w:p w:rsidR="000964D3" w:rsidRPr="00C84171" w:rsidRDefault="000964D3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48372</w:t>
          </w:r>
          <w:r w:rsidRPr="00C84171">
            <w:rPr>
              <w:sz w:val="20"/>
              <w:lang w:val="en-US"/>
            </w:rPr>
            <w:t xml:space="preserve">  (R)</w:t>
          </w:r>
          <w:r>
            <w:rPr>
              <w:sz w:val="20"/>
            </w:rPr>
            <w:t xml:space="preserve">    220114  240114</w:t>
          </w:r>
        </w:p>
      </w:tc>
      <w:tc>
        <w:tcPr>
          <w:tcW w:w="4663" w:type="dxa"/>
          <w:vMerge w:val="restart"/>
          <w:vAlign w:val="bottom"/>
        </w:tcPr>
        <w:p w:rsidR="000964D3" w:rsidRDefault="000964D3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0964D3" w:rsidRDefault="000964D3" w:rsidP="00441562">
          <w:pPr>
            <w:jc w:val="right"/>
          </w:pPr>
          <w:r>
            <w:pict>
              <v:shape id="_x0000_i1027" type="#_x0000_t75" style="width:50.25pt;height:50.25pt">
                <v:imagedata r:id="rId2" o:title="3&amp;Size=2&amp;Lang=R"/>
              </v:shape>
            </w:pict>
          </w:r>
        </w:p>
      </w:tc>
    </w:tr>
    <w:tr w:rsidR="000964D3" w:rsidRPr="00797A78" w:rsidTr="00441562">
      <w:tc>
        <w:tcPr>
          <w:tcW w:w="4068" w:type="dxa"/>
          <w:vAlign w:val="bottom"/>
        </w:tcPr>
        <w:p w:rsidR="000964D3" w:rsidRPr="00DF1FF2" w:rsidRDefault="000964D3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F1F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964D3" w:rsidRDefault="000964D3" w:rsidP="00441562"/>
      </w:tc>
      <w:tc>
        <w:tcPr>
          <w:tcW w:w="1124" w:type="dxa"/>
          <w:vMerge/>
        </w:tcPr>
        <w:p w:rsidR="000964D3" w:rsidRDefault="000964D3" w:rsidP="00441562"/>
      </w:tc>
    </w:tr>
  </w:tbl>
  <w:p w:rsidR="000964D3" w:rsidRDefault="000964D3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D3" w:rsidRPr="00F71F63" w:rsidRDefault="000964D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964D3" w:rsidRPr="00F71F63" w:rsidRDefault="000964D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964D3" w:rsidRPr="00635E86" w:rsidRDefault="000964D3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D3" w:rsidRPr="001C5664" w:rsidRDefault="000964D3">
    <w:pPr>
      <w:pStyle w:val="Header"/>
      <w:rPr>
        <w:lang w:val="en-US"/>
      </w:rPr>
    </w:pPr>
    <w:r>
      <w:rPr>
        <w:lang w:val="en-US"/>
      </w:rPr>
      <w:t>CRPD/C/10/3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D3" w:rsidRPr="009A6F4A" w:rsidRDefault="000964D3">
    <w:pPr>
      <w:pStyle w:val="Header"/>
      <w:rPr>
        <w:lang w:val="en-US"/>
      </w:rPr>
    </w:pPr>
    <w:r>
      <w:rPr>
        <w:lang w:val="en-US"/>
      </w:rPr>
      <w:tab/>
      <w:t>CRPD/C/10/3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321"/>
    <w:rsid w:val="000033D8"/>
    <w:rsid w:val="0000551E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64D3"/>
    <w:rsid w:val="00097975"/>
    <w:rsid w:val="000A3DDF"/>
    <w:rsid w:val="000A60A0"/>
    <w:rsid w:val="000C3688"/>
    <w:rsid w:val="000D6863"/>
    <w:rsid w:val="001029BE"/>
    <w:rsid w:val="00117AEE"/>
    <w:rsid w:val="00143CBB"/>
    <w:rsid w:val="001463F7"/>
    <w:rsid w:val="0015769C"/>
    <w:rsid w:val="00180752"/>
    <w:rsid w:val="00182F56"/>
    <w:rsid w:val="00185076"/>
    <w:rsid w:val="0018543C"/>
    <w:rsid w:val="00190231"/>
    <w:rsid w:val="00192ABD"/>
    <w:rsid w:val="001A75D5"/>
    <w:rsid w:val="001A7D40"/>
    <w:rsid w:val="001C5664"/>
    <w:rsid w:val="001D07F7"/>
    <w:rsid w:val="001D7B8F"/>
    <w:rsid w:val="001E3CDE"/>
    <w:rsid w:val="001E48EE"/>
    <w:rsid w:val="001F1321"/>
    <w:rsid w:val="001F2D04"/>
    <w:rsid w:val="0020059C"/>
    <w:rsid w:val="002019BD"/>
    <w:rsid w:val="00232D42"/>
    <w:rsid w:val="00237334"/>
    <w:rsid w:val="002444F4"/>
    <w:rsid w:val="00253B67"/>
    <w:rsid w:val="002629A0"/>
    <w:rsid w:val="0028492B"/>
    <w:rsid w:val="00291C8F"/>
    <w:rsid w:val="002A4DC9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87899"/>
    <w:rsid w:val="003951D3"/>
    <w:rsid w:val="003978C6"/>
    <w:rsid w:val="003B40A9"/>
    <w:rsid w:val="003C016E"/>
    <w:rsid w:val="003C76C4"/>
    <w:rsid w:val="003D2628"/>
    <w:rsid w:val="003D5EBD"/>
    <w:rsid w:val="003F3F83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57634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2102"/>
    <w:rsid w:val="0050425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2BB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4428F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72E2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4251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6B7"/>
    <w:rsid w:val="009C30BB"/>
    <w:rsid w:val="009C556F"/>
    <w:rsid w:val="009C60BE"/>
    <w:rsid w:val="009E6279"/>
    <w:rsid w:val="009F00A6"/>
    <w:rsid w:val="009F56A7"/>
    <w:rsid w:val="009F5B05"/>
    <w:rsid w:val="00A026CA"/>
    <w:rsid w:val="00A07232"/>
    <w:rsid w:val="00A11C0F"/>
    <w:rsid w:val="00A14800"/>
    <w:rsid w:val="00A156DE"/>
    <w:rsid w:val="00A157ED"/>
    <w:rsid w:val="00A1762B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7290"/>
    <w:rsid w:val="00B0169F"/>
    <w:rsid w:val="00B05F21"/>
    <w:rsid w:val="00B14EA9"/>
    <w:rsid w:val="00B30A3C"/>
    <w:rsid w:val="00B81305"/>
    <w:rsid w:val="00BA52AE"/>
    <w:rsid w:val="00BB17DC"/>
    <w:rsid w:val="00BB1AF9"/>
    <w:rsid w:val="00BB4C4A"/>
    <w:rsid w:val="00BD3CAE"/>
    <w:rsid w:val="00BD5F3C"/>
    <w:rsid w:val="00C00467"/>
    <w:rsid w:val="00C028D6"/>
    <w:rsid w:val="00C07C0F"/>
    <w:rsid w:val="00C145C4"/>
    <w:rsid w:val="00C20D2F"/>
    <w:rsid w:val="00C2131B"/>
    <w:rsid w:val="00C33FC5"/>
    <w:rsid w:val="00C37AF8"/>
    <w:rsid w:val="00C37C79"/>
    <w:rsid w:val="00C41BBC"/>
    <w:rsid w:val="00C431FD"/>
    <w:rsid w:val="00C51419"/>
    <w:rsid w:val="00C54056"/>
    <w:rsid w:val="00C663A3"/>
    <w:rsid w:val="00C71395"/>
    <w:rsid w:val="00C75CB2"/>
    <w:rsid w:val="00C84171"/>
    <w:rsid w:val="00C90723"/>
    <w:rsid w:val="00C90D5C"/>
    <w:rsid w:val="00C95294"/>
    <w:rsid w:val="00C96F17"/>
    <w:rsid w:val="00CA609E"/>
    <w:rsid w:val="00CA7DA4"/>
    <w:rsid w:val="00CA7E43"/>
    <w:rsid w:val="00CB31FB"/>
    <w:rsid w:val="00CD1F7B"/>
    <w:rsid w:val="00CE3D6F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4251"/>
    <w:rsid w:val="00DE5BA5"/>
    <w:rsid w:val="00DF18FA"/>
    <w:rsid w:val="00DF1FF2"/>
    <w:rsid w:val="00DF49CA"/>
    <w:rsid w:val="00DF775B"/>
    <w:rsid w:val="00E007F3"/>
    <w:rsid w:val="00E00DEA"/>
    <w:rsid w:val="00E06EF0"/>
    <w:rsid w:val="00E11679"/>
    <w:rsid w:val="00E307D1"/>
    <w:rsid w:val="00E46A04"/>
    <w:rsid w:val="00E61E66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03E7"/>
    <w:rsid w:val="00EC0044"/>
    <w:rsid w:val="00EC591C"/>
    <w:rsid w:val="00EC6B9F"/>
    <w:rsid w:val="00ED32A6"/>
    <w:rsid w:val="00EE516D"/>
    <w:rsid w:val="00EF4D1B"/>
    <w:rsid w:val="00EF7295"/>
    <w:rsid w:val="00F069D1"/>
    <w:rsid w:val="00F1503D"/>
    <w:rsid w:val="00F22712"/>
    <w:rsid w:val="00F23131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1329"/>
    <w:rsid w:val="00FB2B35"/>
    <w:rsid w:val="00FC4AE1"/>
    <w:rsid w:val="00FD78A3"/>
    <w:rsid w:val="00FF023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7</Pages>
  <Words>2340</Words>
  <Characters>13344</Characters>
  <Application>Microsoft Office Outlook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1348372</vt:lpstr>
    </vt:vector>
  </TitlesOfParts>
  <Manager/>
  <Company>CSD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1348372</dc:title>
  <dc:subject/>
  <dc:creator>Светлана Прокудина</dc:creator>
  <cp:keywords/>
  <dc:description/>
  <cp:lastModifiedBy>Svetlana Prokoudina</cp:lastModifiedBy>
  <cp:revision>2</cp:revision>
  <cp:lastPrinted>1601-01-01T00:00:00Z</cp:lastPrinted>
  <dcterms:created xsi:type="dcterms:W3CDTF">2014-01-24T06:50:00Z</dcterms:created>
  <dcterms:modified xsi:type="dcterms:W3CDTF">2014-01-24T06:50:00Z</dcterms:modified>
</cp:coreProperties>
</file>