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RPr="00331231" w14:paraId="7229E19E" w14:textId="77777777" w:rsidTr="00BC362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FF88D2" w14:textId="77777777" w:rsidR="002D5AAC" w:rsidRDefault="002D5AAC" w:rsidP="003312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930A9CB" w14:textId="77777777" w:rsidR="002D5AAC" w:rsidRPr="00BD33EE" w:rsidRDefault="00DF71B9" w:rsidP="00BC362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3AEEB1DB" w14:textId="77777777" w:rsidR="002D5AAC" w:rsidRPr="00331231" w:rsidRDefault="00331231" w:rsidP="00331231">
            <w:pPr>
              <w:jc w:val="right"/>
              <w:rPr>
                <w:lang w:val="en-US"/>
              </w:rPr>
            </w:pPr>
            <w:proofErr w:type="spellStart"/>
            <w:r w:rsidRPr="00331231">
              <w:rPr>
                <w:sz w:val="40"/>
                <w:lang w:val="en-US"/>
              </w:rPr>
              <w:t>CCPR</w:t>
            </w:r>
            <w:proofErr w:type="spellEnd"/>
            <w:r w:rsidRPr="00331231">
              <w:rPr>
                <w:lang w:val="en-US"/>
              </w:rPr>
              <w:t>/C/</w:t>
            </w:r>
            <w:proofErr w:type="spellStart"/>
            <w:r w:rsidRPr="00331231">
              <w:rPr>
                <w:lang w:val="en-US"/>
              </w:rPr>
              <w:t>CPV</w:t>
            </w:r>
            <w:proofErr w:type="spellEnd"/>
            <w:r w:rsidRPr="00331231">
              <w:rPr>
                <w:lang w:val="en-US"/>
              </w:rPr>
              <w:t>/CO/1/Add.1</w:t>
            </w:r>
          </w:p>
        </w:tc>
      </w:tr>
      <w:tr w:rsidR="002D5AAC" w:rsidRPr="00331231" w14:paraId="107E9EDB" w14:textId="77777777" w:rsidTr="00BC362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C15A0B" w14:textId="77777777" w:rsidR="002D5AAC" w:rsidRDefault="002E5067" w:rsidP="00BC362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4188FA" wp14:editId="3630C2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A82459" w14:textId="77777777" w:rsidR="002D5AAC" w:rsidRPr="00033EE1" w:rsidRDefault="00DE32CD" w:rsidP="00BC362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55FE">
              <w:rPr>
                <w:b/>
                <w:spacing w:val="-4"/>
                <w:sz w:val="34"/>
                <w:szCs w:val="34"/>
              </w:rPr>
              <w:t xml:space="preserve">Международный пакт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 xml:space="preserve">о гражданских и политических </w:t>
            </w:r>
            <w:r w:rsidRPr="00C255FE">
              <w:rPr>
                <w:b/>
                <w:spacing w:val="-4"/>
                <w:sz w:val="34"/>
                <w:szCs w:val="34"/>
              </w:rPr>
              <w:br/>
              <w:t>правах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48747B1" w14:textId="77777777" w:rsidR="002D5AAC" w:rsidRPr="00331231" w:rsidRDefault="00331231" w:rsidP="00BC3629">
            <w:pPr>
              <w:spacing w:before="240"/>
              <w:rPr>
                <w:lang w:val="en-US"/>
              </w:rPr>
            </w:pPr>
            <w:r w:rsidRPr="00331231">
              <w:rPr>
                <w:lang w:val="en-US"/>
              </w:rPr>
              <w:t>Distr.: General</w:t>
            </w:r>
          </w:p>
          <w:p w14:paraId="04D63795" w14:textId="77777777" w:rsidR="00331231" w:rsidRPr="00331231" w:rsidRDefault="00331231" w:rsidP="00331231">
            <w:pPr>
              <w:spacing w:line="240" w:lineRule="exact"/>
              <w:rPr>
                <w:lang w:val="en-US"/>
              </w:rPr>
            </w:pPr>
            <w:r w:rsidRPr="00331231">
              <w:rPr>
                <w:lang w:val="en-US"/>
              </w:rPr>
              <w:t>3 December 2019</w:t>
            </w:r>
          </w:p>
          <w:p w14:paraId="291F005C" w14:textId="77777777" w:rsidR="00331231" w:rsidRPr="00331231" w:rsidRDefault="00331231" w:rsidP="00331231">
            <w:pPr>
              <w:spacing w:line="240" w:lineRule="exact"/>
              <w:rPr>
                <w:lang w:val="en-US"/>
              </w:rPr>
            </w:pPr>
            <w:r w:rsidRPr="00331231">
              <w:rPr>
                <w:lang w:val="en-US"/>
              </w:rPr>
              <w:t>Russian</w:t>
            </w:r>
          </w:p>
          <w:p w14:paraId="255D89DD" w14:textId="77777777" w:rsidR="00331231" w:rsidRPr="00331231" w:rsidRDefault="00331231" w:rsidP="00331231">
            <w:pPr>
              <w:spacing w:line="240" w:lineRule="exact"/>
              <w:rPr>
                <w:lang w:val="en-US"/>
              </w:rPr>
            </w:pPr>
            <w:r w:rsidRPr="00331231">
              <w:rPr>
                <w:lang w:val="en-US"/>
              </w:rPr>
              <w:t>Original: English</w:t>
            </w:r>
          </w:p>
        </w:tc>
      </w:tr>
    </w:tbl>
    <w:p w14:paraId="64A0FA8B" w14:textId="77777777" w:rsidR="00331231" w:rsidRPr="00331231" w:rsidRDefault="00331231" w:rsidP="00331231">
      <w:pPr>
        <w:spacing w:before="120"/>
        <w:rPr>
          <w:b/>
          <w:sz w:val="24"/>
          <w:szCs w:val="24"/>
        </w:rPr>
      </w:pPr>
      <w:r w:rsidRPr="00331231">
        <w:rPr>
          <w:b/>
          <w:sz w:val="24"/>
          <w:szCs w:val="24"/>
        </w:rPr>
        <w:t>Комитет по правам человека</w:t>
      </w:r>
    </w:p>
    <w:p w14:paraId="0EB88F2D" w14:textId="77777777" w:rsidR="00331231" w:rsidRPr="00331231" w:rsidRDefault="00331231" w:rsidP="00331231">
      <w:pPr>
        <w:pStyle w:val="HChG"/>
      </w:pPr>
      <w:r w:rsidRPr="00331231">
        <w:tab/>
      </w:r>
      <w:r w:rsidRPr="00331231">
        <w:tab/>
      </w:r>
      <w:r w:rsidRPr="00331231">
        <w:rPr>
          <w:bCs/>
        </w:rPr>
        <w:t>Заключительные замечания по первоначальному докладу Кабо-Верде</w:t>
      </w:r>
      <w:r w:rsidRPr="00331231">
        <w:rPr>
          <w:b w:val="0"/>
          <w:bCs/>
          <w:sz w:val="20"/>
        </w:rPr>
        <w:footnoteReference w:customMarkFollows="1" w:id="1"/>
        <w:t>*</w:t>
      </w:r>
    </w:p>
    <w:p w14:paraId="59595B4E" w14:textId="77777777" w:rsidR="00331231" w:rsidRPr="00331231" w:rsidRDefault="00331231" w:rsidP="00331231">
      <w:pPr>
        <w:pStyle w:val="SingleTxtG"/>
      </w:pPr>
      <w:r w:rsidRPr="00331231">
        <w:t>1.</w:t>
      </w:r>
      <w:r w:rsidRPr="00331231">
        <w:tab/>
        <w:t>Комитет рассмотрел первоначал</w:t>
      </w:r>
      <w:bookmarkStart w:id="0" w:name="_GoBack"/>
      <w:bookmarkEnd w:id="0"/>
      <w:r w:rsidRPr="00331231">
        <w:t>ьный доклад Кабо-Верде (</w:t>
      </w:r>
      <w:proofErr w:type="spellStart"/>
      <w:r w:rsidRPr="00331231">
        <w:t>CCPR</w:t>
      </w:r>
      <w:proofErr w:type="spellEnd"/>
      <w:r w:rsidRPr="00331231">
        <w:t>/C/</w:t>
      </w:r>
      <w:proofErr w:type="spellStart"/>
      <w:r w:rsidRPr="00331231">
        <w:t>CPV</w:t>
      </w:r>
      <w:proofErr w:type="spellEnd"/>
      <w:r w:rsidRPr="00331231">
        <w:t>/1) на своих 3661-м и 3662-м заседаниях (</w:t>
      </w:r>
      <w:proofErr w:type="spellStart"/>
      <w:r w:rsidRPr="00331231">
        <w:t>CCPR</w:t>
      </w:r>
      <w:proofErr w:type="spellEnd"/>
      <w:r w:rsidRPr="00331231">
        <w:t>/C/SR.3661 и 3662), состоявшихся 22 и 23</w:t>
      </w:r>
      <w:r>
        <w:rPr>
          <w:lang w:val="en-US"/>
        </w:rPr>
        <w:t> </w:t>
      </w:r>
      <w:r w:rsidRPr="00331231">
        <w:t>октября 2019 года. На своем 3678-м заседании, состоявшемся 4 ноября 2019 года, он принял настоящие заключительные замечания.</w:t>
      </w:r>
    </w:p>
    <w:p w14:paraId="5410B4BF" w14:textId="77777777" w:rsidR="00331231" w:rsidRPr="00331231" w:rsidRDefault="00331231" w:rsidP="00331231">
      <w:pPr>
        <w:pStyle w:val="H1G"/>
      </w:pPr>
      <w:r>
        <w:tab/>
      </w:r>
      <w:r w:rsidRPr="00331231">
        <w:t>A.</w:t>
      </w:r>
      <w:r w:rsidRPr="00331231">
        <w:tab/>
        <w:t>Введение</w:t>
      </w:r>
    </w:p>
    <w:p w14:paraId="1FF2F56E" w14:textId="77777777" w:rsidR="00331231" w:rsidRPr="00331231" w:rsidRDefault="00331231" w:rsidP="00331231">
      <w:pPr>
        <w:pStyle w:val="SingleTxtG"/>
      </w:pPr>
      <w:r w:rsidRPr="00331231">
        <w:t>2.</w:t>
      </w:r>
      <w:r w:rsidRPr="00331231">
        <w:tab/>
        <w:t>Комитет приветствует представление первоначального доклада Кабо-Верде, хотя и</w:t>
      </w:r>
      <w:r>
        <w:t xml:space="preserve"> </w:t>
      </w:r>
      <w:r w:rsidRPr="00331231">
        <w:t>с более чем 20-летним опозданием, и содержащуюся в нем информацию. Он</w:t>
      </w:r>
      <w:r>
        <w:rPr>
          <w:lang w:val="en-US"/>
        </w:rPr>
        <w:t> </w:t>
      </w:r>
      <w:r w:rsidRPr="00331231">
        <w:t>выражает признательность за возможность начать конструктивный диалог с делегацией высокого уровня государства-участника о мерах, принятых за отчетный период в целях осуществления положений Пакта. Комитет также благодарит государство-участник за его письменные ответы (</w:t>
      </w:r>
      <w:proofErr w:type="spellStart"/>
      <w:r w:rsidRPr="00331231">
        <w:t>CCPR</w:t>
      </w:r>
      <w:proofErr w:type="spellEnd"/>
      <w:r w:rsidRPr="00331231">
        <w:t>/C/</w:t>
      </w:r>
      <w:proofErr w:type="spellStart"/>
      <w:r w:rsidRPr="00331231">
        <w:t>CPV</w:t>
      </w:r>
      <w:proofErr w:type="spellEnd"/>
      <w:r w:rsidRPr="00331231">
        <w:t>/Q/1/Add.2) на перечень вопросов (</w:t>
      </w:r>
      <w:proofErr w:type="spellStart"/>
      <w:r w:rsidRPr="00331231">
        <w:t>CCPR</w:t>
      </w:r>
      <w:proofErr w:type="spellEnd"/>
      <w:r w:rsidRPr="00331231">
        <w:t>/C/</w:t>
      </w:r>
      <w:proofErr w:type="spellStart"/>
      <w:r w:rsidRPr="00331231">
        <w:t>CPV</w:t>
      </w:r>
      <w:proofErr w:type="spellEnd"/>
      <w:r w:rsidRPr="00331231">
        <w:t>/Q/1/Add.1), которые были дополнены устными ответами членов делегации, а также за представленную ему в письменном виде дополнительную информацию.</w:t>
      </w:r>
    </w:p>
    <w:p w14:paraId="46BE41F8" w14:textId="77777777" w:rsidR="00331231" w:rsidRPr="00331231" w:rsidRDefault="00331231" w:rsidP="00331231">
      <w:pPr>
        <w:pStyle w:val="H1G"/>
      </w:pPr>
      <w:r>
        <w:tab/>
      </w:r>
      <w:r w:rsidRPr="00331231">
        <w:t>B.</w:t>
      </w:r>
      <w:r w:rsidRPr="00331231">
        <w:tab/>
        <w:t>Позитивные аспекты</w:t>
      </w:r>
    </w:p>
    <w:p w14:paraId="0BF5AC1A" w14:textId="77777777" w:rsidR="00331231" w:rsidRPr="00331231" w:rsidRDefault="00331231" w:rsidP="00331231">
      <w:pPr>
        <w:pStyle w:val="SingleTxtG"/>
      </w:pPr>
      <w:r w:rsidRPr="00331231">
        <w:t>3.</w:t>
      </w:r>
      <w:r w:rsidRPr="00331231">
        <w:tab/>
        <w:t>Комитет приветствует принятые государством-участником следующие законодательные, институциональные и политические меры:</w:t>
      </w:r>
    </w:p>
    <w:p w14:paraId="6AD80F39" w14:textId="77777777" w:rsidR="00331231" w:rsidRPr="00331231" w:rsidRDefault="00331231" w:rsidP="00331231">
      <w:pPr>
        <w:pStyle w:val="SingleTxtG"/>
      </w:pPr>
      <w:r>
        <w:tab/>
      </w:r>
      <w:r>
        <w:tab/>
      </w:r>
      <w:r w:rsidRPr="00331231">
        <w:t>а)</w:t>
      </w:r>
      <w:r w:rsidRPr="00331231">
        <w:tab/>
        <w:t>текущий процесс разработки нового устава Национальной комиссии по правам человека и гражданству;</w:t>
      </w:r>
    </w:p>
    <w:p w14:paraId="7DCCFD3B" w14:textId="77777777" w:rsidR="00331231" w:rsidRPr="00331231" w:rsidRDefault="00331231" w:rsidP="00331231">
      <w:pPr>
        <w:pStyle w:val="SingleTxtG"/>
      </w:pPr>
      <w:r>
        <w:tab/>
      </w:r>
      <w:r>
        <w:tab/>
      </w:r>
      <w:r w:rsidRPr="00331231">
        <w:t>b)</w:t>
      </w:r>
      <w:r w:rsidRPr="00331231">
        <w:tab/>
        <w:t>усилия, приложенные в целях более широкого учета гендерной проблематики посредством создания в 2018 году Межведомственной комиссии по учету гендерной проблематики;</w:t>
      </w:r>
    </w:p>
    <w:p w14:paraId="3C1BC6A1" w14:textId="77777777" w:rsidR="00331231" w:rsidRPr="00331231" w:rsidRDefault="00331231" w:rsidP="00331231">
      <w:pPr>
        <w:pStyle w:val="SingleTxtG"/>
      </w:pPr>
      <w:r>
        <w:tab/>
      </w:r>
      <w:r>
        <w:tab/>
      </w:r>
      <w:r w:rsidRPr="00331231">
        <w:t>c)</w:t>
      </w:r>
      <w:r w:rsidRPr="00331231">
        <w:tab/>
        <w:t>принятие Закона о гендерном насилии, опубликованно</w:t>
      </w:r>
      <w:r w:rsidR="0085725F">
        <w:t>го</w:t>
      </w:r>
      <w:r w:rsidRPr="00331231">
        <w:t xml:space="preserve"> 27 января 2015</w:t>
      </w:r>
      <w:r>
        <w:rPr>
          <w:lang w:val="en-US"/>
        </w:rPr>
        <w:t> </w:t>
      </w:r>
      <w:r w:rsidRPr="00331231">
        <w:t>года;</w:t>
      </w:r>
    </w:p>
    <w:p w14:paraId="109FF49E" w14:textId="77777777" w:rsidR="00331231" w:rsidRPr="00331231" w:rsidRDefault="00331231" w:rsidP="00331231">
      <w:pPr>
        <w:pStyle w:val="SingleTxtG"/>
      </w:pPr>
      <w:r>
        <w:tab/>
      </w:r>
      <w:r>
        <w:tab/>
      </w:r>
      <w:r w:rsidRPr="00331231">
        <w:t>d)</w:t>
      </w:r>
      <w:r w:rsidRPr="00331231">
        <w:tab/>
        <w:t>принятие Национального плана действий по борьбе с торговлей людьми на 2018</w:t>
      </w:r>
      <w:r w:rsidR="007B6DC1">
        <w:t>−</w:t>
      </w:r>
      <w:r w:rsidRPr="00331231">
        <w:t>2021 годы;</w:t>
      </w:r>
    </w:p>
    <w:p w14:paraId="63781AFA" w14:textId="77777777" w:rsidR="00331231" w:rsidRPr="00331231" w:rsidRDefault="00331231" w:rsidP="00331231">
      <w:pPr>
        <w:pStyle w:val="SingleTxtG"/>
      </w:pPr>
      <w:r>
        <w:tab/>
      </w:r>
      <w:r>
        <w:tab/>
      </w:r>
      <w:r w:rsidRPr="00331231">
        <w:t>e)</w:t>
      </w:r>
      <w:r w:rsidRPr="00331231">
        <w:tab/>
        <w:t>проведение реформы системы уголовного правосудия, включая введение альтернатив тюремному заключению и принятие мер по решению проблемы переполненности тюрем, а также принятие кодекса о применении обычных уголовных наказаний.</w:t>
      </w:r>
    </w:p>
    <w:p w14:paraId="11AFD0E6" w14:textId="77777777" w:rsidR="00331231" w:rsidRPr="00331231" w:rsidRDefault="00331231" w:rsidP="00331231">
      <w:pPr>
        <w:pStyle w:val="SingleTxtG"/>
      </w:pPr>
      <w:r w:rsidRPr="00331231">
        <w:lastRenderedPageBreak/>
        <w:t>4.</w:t>
      </w:r>
      <w:r w:rsidRPr="00331231">
        <w:tab/>
        <w:t>Комитет приветствует тот факт, что государство-участник ратифицировало следующие международные договоры или присоединилось к ним:</w:t>
      </w:r>
    </w:p>
    <w:p w14:paraId="20EDC67F" w14:textId="77777777" w:rsidR="00331231" w:rsidRPr="00331231" w:rsidRDefault="00331231" w:rsidP="00331231">
      <w:pPr>
        <w:pStyle w:val="SingleTxtG"/>
      </w:pPr>
      <w:r>
        <w:tab/>
      </w:r>
      <w:r>
        <w:tab/>
      </w:r>
      <w:r w:rsidRPr="00331231">
        <w:t>а)</w:t>
      </w:r>
      <w:r w:rsidRPr="00331231">
        <w:tab/>
        <w:t>Факультативный протокол к Международному пакту об экономических, социальных и культурных правах, 23 июня 2014 года;</w:t>
      </w:r>
    </w:p>
    <w:p w14:paraId="5CE4BFCA" w14:textId="77777777" w:rsidR="00331231" w:rsidRPr="00331231" w:rsidRDefault="00331231" w:rsidP="00331231">
      <w:pPr>
        <w:pStyle w:val="SingleTxtG"/>
      </w:pPr>
      <w:r>
        <w:tab/>
      </w:r>
      <w:r>
        <w:tab/>
      </w:r>
      <w:r w:rsidRPr="00331231">
        <w:t>b)</w:t>
      </w:r>
      <w:r w:rsidRPr="00331231">
        <w:tab/>
        <w:t>Факультативный протокол к Конвенции против пыток и других жестоких, бесчеловечных или унижающих достоинство видов обращения и наказания, 1 апреля 2016 года.</w:t>
      </w:r>
    </w:p>
    <w:p w14:paraId="4E9E976D" w14:textId="77777777" w:rsidR="00331231" w:rsidRPr="00331231" w:rsidRDefault="00331231" w:rsidP="00331231">
      <w:pPr>
        <w:pStyle w:val="H1G"/>
      </w:pPr>
      <w:r>
        <w:tab/>
      </w:r>
      <w:r w:rsidRPr="00331231">
        <w:t>C.</w:t>
      </w:r>
      <w:r w:rsidRPr="00331231">
        <w:tab/>
        <w:t>Основные вопросы, вызывающие обеспокоенность, и</w:t>
      </w:r>
      <w:r>
        <w:rPr>
          <w:lang w:val="en-US"/>
        </w:rPr>
        <w:t> </w:t>
      </w:r>
      <w:r w:rsidRPr="00331231">
        <w:t>рекомендации</w:t>
      </w:r>
    </w:p>
    <w:p w14:paraId="352411C8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 xml:space="preserve">Применение Пакта во внутреннем праве и распространение информации о нем </w:t>
      </w:r>
    </w:p>
    <w:p w14:paraId="43CAEFAF" w14:textId="77777777" w:rsidR="00331231" w:rsidRPr="00331231" w:rsidRDefault="00331231" w:rsidP="00331231">
      <w:pPr>
        <w:pStyle w:val="SingleTxtG"/>
      </w:pPr>
      <w:r w:rsidRPr="00331231">
        <w:t>5.</w:t>
      </w:r>
      <w:r w:rsidRPr="00331231">
        <w:tab/>
        <w:t>Комитет отмечает усилия государства-участника по выполнению своих обязательств по Пакту, однако обеспокоен тем, что права, гарантируемые Пактом, не могут быть полностью включены во внутреннюю правовую базу. Комитет сожалеет, что уровень знаний о Пакте в государстве-участнике, в том числе о механизме рассмотрения жалоб в соответствии с первым Факультативным протоколом, представляется недостаточным</w:t>
      </w:r>
      <w:r>
        <w:t xml:space="preserve"> </w:t>
      </w:r>
      <w:r w:rsidRPr="00331231">
        <w:t xml:space="preserve">и что ссылки на Пакт содержатся лишь в ограниченном числе решений о применении или толковании внутреннего законодательства. Кроме того, он обеспокоен недостаточным участием гражданского общества в процессе подготовки докладов государства-участника. Сознавая существующие трудности, Комитет напоминает государству-участнику о его обязательстве по статье 2 Пакта и обращает его внимание на принятое Комитетом замечание общего порядка </w:t>
      </w:r>
      <w:r>
        <w:t>№ </w:t>
      </w:r>
      <w:r w:rsidRPr="00331231">
        <w:t>31 (2004) о характере общего юридического обязательства, налагаемого на государства</w:t>
      </w:r>
      <w:r>
        <w:t xml:space="preserve"> – </w:t>
      </w:r>
      <w:r w:rsidRPr="00331231">
        <w:t xml:space="preserve">участники Пакта (статья 2). </w:t>
      </w:r>
    </w:p>
    <w:p w14:paraId="5B59F818" w14:textId="77777777" w:rsidR="00331231" w:rsidRPr="00331231" w:rsidRDefault="00331231" w:rsidP="00331231">
      <w:pPr>
        <w:pStyle w:val="SingleTxtG"/>
        <w:rPr>
          <w:b/>
        </w:rPr>
      </w:pPr>
      <w:r w:rsidRPr="00331231">
        <w:t>6.</w:t>
      </w:r>
      <w:r w:rsidRPr="00331231">
        <w:tab/>
      </w:r>
      <w:r w:rsidRPr="00331231">
        <w:rPr>
          <w:b/>
          <w:bCs/>
        </w:rPr>
        <w:t>Государству-участнику следует:</w:t>
      </w:r>
    </w:p>
    <w:p w14:paraId="258FA3A9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а)</w:t>
      </w:r>
      <w:r w:rsidRPr="00331231">
        <w:rPr>
          <w:b/>
        </w:rPr>
        <w:tab/>
      </w:r>
      <w:r w:rsidRPr="00331231">
        <w:rPr>
          <w:b/>
          <w:bCs/>
        </w:rPr>
        <w:t>оценивать и при необходимости пересматривать положения внутреннего законодательства для обеспечения дальнейшего согласования с правами, гарантируемыми Пактом, и толкования и применения внутренних законов в соответствии с</w:t>
      </w:r>
      <w:r w:rsidR="007B6DC1">
        <w:rPr>
          <w:b/>
          <w:bCs/>
        </w:rPr>
        <w:t>о</w:t>
      </w:r>
      <w:r w:rsidRPr="00331231">
        <w:rPr>
          <w:b/>
          <w:bCs/>
        </w:rPr>
        <w:t xml:space="preserve"> своими обязательствами по Пакту;</w:t>
      </w:r>
    </w:p>
    <w:p w14:paraId="1286564D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b)</w:t>
      </w:r>
      <w:r w:rsidRPr="00331231">
        <w:rPr>
          <w:b/>
        </w:rPr>
        <w:tab/>
      </w:r>
      <w:r w:rsidRPr="00331231">
        <w:rPr>
          <w:b/>
          <w:bCs/>
        </w:rPr>
        <w:t>активизировать свои усилия по повышению осведомленности о Пакте и процедуре подачи жалоб в соответствии с первым Факультативным протоколом среди населения в целом, представителей гражданского общества, государственных служащих, адвокатов и таких представителей государства, как судьи и прокуроры;</w:t>
      </w:r>
    </w:p>
    <w:p w14:paraId="46A97B86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c)</w:t>
      </w:r>
      <w:r w:rsidRPr="00331231">
        <w:rPr>
          <w:b/>
        </w:rPr>
        <w:tab/>
      </w:r>
      <w:r w:rsidRPr="00331231">
        <w:rPr>
          <w:b/>
          <w:bCs/>
        </w:rPr>
        <w:t>выделить достаточные бюджетные ресурсы для осуществления всех предусмотренных Пактом прав.</w:t>
      </w:r>
      <w:r w:rsidRPr="00331231">
        <w:t xml:space="preserve"> </w:t>
      </w:r>
    </w:p>
    <w:p w14:paraId="6EF49C51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 xml:space="preserve">Национальное правозащитное учреждение </w:t>
      </w:r>
    </w:p>
    <w:p w14:paraId="391DCB0F" w14:textId="77777777" w:rsidR="00331231" w:rsidRPr="00331231" w:rsidRDefault="00331231" w:rsidP="00331231">
      <w:pPr>
        <w:pStyle w:val="SingleTxtG"/>
      </w:pPr>
      <w:r w:rsidRPr="00331231">
        <w:t>7.</w:t>
      </w:r>
      <w:r w:rsidRPr="00331231">
        <w:tab/>
        <w:t>Принимая во внимание текущий процесс разработки нового устава для Национальной комиссии по правам человека и гражданству и приветствуя информацию о средствах, которые государство-участник планирует выделить в 2020</w:t>
      </w:r>
      <w:r>
        <w:t> </w:t>
      </w:r>
      <w:r w:rsidRPr="00331231">
        <w:t xml:space="preserve">году на ее функционирование, Комитет выражает сожаление в связи с тем, что такой устав, направленный на создание национального правозащитного учреждения, полностью соответствующего принципам, касающимся статуса национальных учреждений по поощрению и защите прав человека (Парижским принципам), еще не утвержден. Комитет обеспокоен возможным участием министерства юстиции в будущем процессе назначения членов Комиссии и отсутствием информации от государства-участника о совместимости такого участия с полной независимостью этого учреждения. Комитет также обеспокоен сообщениями о том, что Комиссия поддерживает тесные связи с министерством юстиции, а также отсутствием информации о конкретных бюджетных ассигнованиях, имеющихся в распоряжении Комиссии. Отмечая усилия по назначению координаторов на различных островах, Комитет в то же время обеспокоен тем, что географический охват Комиссии, </w:t>
      </w:r>
      <w:r w:rsidRPr="00331231">
        <w:lastRenderedPageBreak/>
        <w:t xml:space="preserve">возможно, потребуется расширить, с тем чтобы она могла выполнять все свои функции на всей территории государства-участника (статья 2). </w:t>
      </w:r>
    </w:p>
    <w:p w14:paraId="4703CD33" w14:textId="77777777" w:rsidR="00331231" w:rsidRPr="00331231" w:rsidRDefault="00331231" w:rsidP="00331231">
      <w:pPr>
        <w:pStyle w:val="SingleTxtG"/>
        <w:rPr>
          <w:b/>
        </w:rPr>
      </w:pPr>
      <w:r w:rsidRPr="00331231">
        <w:t>8.</w:t>
      </w:r>
      <w:r w:rsidRPr="00331231">
        <w:tab/>
      </w:r>
      <w:r w:rsidRPr="00331231">
        <w:rPr>
          <w:b/>
          <w:bCs/>
        </w:rPr>
        <w:t>Комитет подтверждает свою рекомендацию государству-участнику укрепить Национальную комиссию по правам человека и гражданству для обеспечения ее полного соответствия Парижски</w:t>
      </w:r>
      <w:r w:rsidR="007B6DC1">
        <w:rPr>
          <w:b/>
          <w:bCs/>
        </w:rPr>
        <w:t xml:space="preserve">м </w:t>
      </w:r>
      <w:r w:rsidRPr="00331231">
        <w:rPr>
          <w:b/>
          <w:bCs/>
        </w:rPr>
        <w:t>принцип</w:t>
      </w:r>
      <w:r w:rsidR="007B6DC1">
        <w:rPr>
          <w:b/>
          <w:bCs/>
        </w:rPr>
        <w:t>ам</w:t>
      </w:r>
      <w:r w:rsidRPr="00331231">
        <w:rPr>
          <w:b/>
          <w:bCs/>
        </w:rPr>
        <w:t xml:space="preserve"> (</w:t>
      </w:r>
      <w:proofErr w:type="spellStart"/>
      <w:r w:rsidRPr="00331231">
        <w:rPr>
          <w:b/>
          <w:bCs/>
        </w:rPr>
        <w:t>CCPR</w:t>
      </w:r>
      <w:proofErr w:type="spellEnd"/>
      <w:r w:rsidRPr="00331231">
        <w:rPr>
          <w:b/>
          <w:bCs/>
        </w:rPr>
        <w:t>/C/</w:t>
      </w:r>
      <w:proofErr w:type="spellStart"/>
      <w:r w:rsidRPr="00331231">
        <w:rPr>
          <w:b/>
          <w:bCs/>
        </w:rPr>
        <w:t>CPV</w:t>
      </w:r>
      <w:proofErr w:type="spellEnd"/>
      <w:r w:rsidRPr="00331231">
        <w:rPr>
          <w:b/>
          <w:bCs/>
        </w:rPr>
        <w:t>/</w:t>
      </w:r>
      <w:proofErr w:type="spellStart"/>
      <w:r w:rsidRPr="00331231">
        <w:rPr>
          <w:b/>
          <w:bCs/>
        </w:rPr>
        <w:t>CO</w:t>
      </w:r>
      <w:proofErr w:type="spellEnd"/>
      <w:r w:rsidRPr="00331231">
        <w:rPr>
          <w:b/>
          <w:bCs/>
        </w:rPr>
        <w:t>/1, пункт 5).</w:t>
      </w:r>
      <w:r w:rsidRPr="00331231">
        <w:t xml:space="preserve"> </w:t>
      </w:r>
      <w:r w:rsidRPr="00331231">
        <w:rPr>
          <w:b/>
          <w:bCs/>
        </w:rPr>
        <w:t>В частности, государству-участнику следует:</w:t>
      </w:r>
    </w:p>
    <w:p w14:paraId="77E3F3B1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а)</w:t>
      </w:r>
      <w:r w:rsidRPr="00331231">
        <w:rPr>
          <w:b/>
        </w:rPr>
        <w:tab/>
      </w:r>
      <w:r w:rsidRPr="00331231">
        <w:rPr>
          <w:b/>
          <w:bCs/>
        </w:rPr>
        <w:t>обеспечить полностью независимый, транспарентный и основанный на широком участии процесс отбора и назначения членов Комиссии, с тем чтобы гарантировать их независимость;</w:t>
      </w:r>
    </w:p>
    <w:p w14:paraId="7F08C927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b)</w:t>
      </w:r>
      <w:r w:rsidRPr="00331231">
        <w:rPr>
          <w:b/>
        </w:rPr>
        <w:tab/>
      </w:r>
      <w:r w:rsidRPr="00331231">
        <w:rPr>
          <w:b/>
          <w:bCs/>
        </w:rPr>
        <w:t>повысить независимость Комиссии, в том числе путем устранения какого-либо надзора со стороны государственных органов;</w:t>
      </w:r>
    </w:p>
    <w:p w14:paraId="0F19E71D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c)</w:t>
      </w:r>
      <w:r w:rsidRPr="00331231">
        <w:rPr>
          <w:b/>
        </w:rPr>
        <w:tab/>
      </w:r>
      <w:r w:rsidRPr="00331231">
        <w:rPr>
          <w:b/>
          <w:bCs/>
        </w:rPr>
        <w:t>обеспечить Комиссию людскими и финансовыми ресурсами, необходимыми для эффективного выполнения ею своего мандата;</w:t>
      </w:r>
    </w:p>
    <w:p w14:paraId="6FC40672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d)</w:t>
      </w:r>
      <w:r w:rsidRPr="00331231">
        <w:rPr>
          <w:b/>
        </w:rPr>
        <w:tab/>
      </w:r>
      <w:r w:rsidRPr="00331231">
        <w:rPr>
          <w:b/>
          <w:bCs/>
        </w:rPr>
        <w:t>обеспечить расширение географического охвата деятельности Комиссии, с тем чтобы она могла выполнять свои функции на всей территории государства-участника.</w:t>
      </w:r>
    </w:p>
    <w:p w14:paraId="4E38251F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>Борьба с дискриминацией</w:t>
      </w:r>
    </w:p>
    <w:p w14:paraId="5AF4EAB4" w14:textId="77777777" w:rsidR="00331231" w:rsidRPr="00331231" w:rsidRDefault="00331231" w:rsidP="00331231">
      <w:pPr>
        <w:pStyle w:val="SingleTxtG"/>
      </w:pPr>
      <w:r w:rsidRPr="00331231">
        <w:t>9.</w:t>
      </w:r>
      <w:r w:rsidRPr="00331231">
        <w:tab/>
        <w:t>Признавая, что Конституция запрещает дискриминацию по определенным признакам, Комитет в то же время обеспокоен отсутствием всеобъемлющего антидискриминационного законодательства, охватывающего все запрещенные Пактом признаки, и отмечает отсутствие информации о том, существуют ли планы решения этой проблемы. Комитет обеспокоен сообщениями о том, что лица, принадлежащие к определенным группам, продолжают сталкиваться с дискриминацией, в частности лица, живущие с ВИЧ/СПИДом, инвалиды и лесбиянки, геи, бисексуалы и транссексуалы. Кроме того, он сожалеет об отсутствии информации о количестве жалоб, касающихся случаев дискриминации, и результатов их рассмотрения (статьи 2 и 26).</w:t>
      </w:r>
    </w:p>
    <w:p w14:paraId="00DCF06F" w14:textId="77777777" w:rsidR="00331231" w:rsidRPr="00331231" w:rsidRDefault="00331231" w:rsidP="00331231">
      <w:pPr>
        <w:pStyle w:val="SingleTxtG"/>
        <w:rPr>
          <w:b/>
        </w:rPr>
      </w:pPr>
      <w:r w:rsidRPr="00331231">
        <w:t>10.</w:t>
      </w:r>
      <w:r w:rsidRPr="00331231">
        <w:tab/>
      </w:r>
      <w:r w:rsidRPr="00331231">
        <w:rPr>
          <w:b/>
          <w:bCs/>
        </w:rPr>
        <w:t>Государству-участнику следует:</w:t>
      </w:r>
    </w:p>
    <w:p w14:paraId="37007B29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а)</w:t>
      </w:r>
      <w:r w:rsidRPr="00331231">
        <w:rPr>
          <w:b/>
        </w:rPr>
        <w:tab/>
      </w:r>
      <w:r w:rsidRPr="00331231">
        <w:rPr>
          <w:b/>
          <w:bCs/>
        </w:rPr>
        <w:t>обеспечить полную и эффективную защиту от дискриминации во всех сферах общественной и частной жизни и запретить прямую, косвенную и множественную дискриминацию;</w:t>
      </w:r>
    </w:p>
    <w:p w14:paraId="2881AD83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b)</w:t>
      </w:r>
      <w:r w:rsidRPr="00331231">
        <w:rPr>
          <w:b/>
        </w:rPr>
        <w:tab/>
      </w:r>
      <w:r w:rsidRPr="00331231">
        <w:rPr>
          <w:b/>
          <w:bCs/>
        </w:rPr>
        <w:t>принять законодательство, содержащее полный перечень оснований для дискриминации в соответствии с Пактом;</w:t>
      </w:r>
      <w:r w:rsidRPr="00331231">
        <w:rPr>
          <w:b/>
        </w:rPr>
        <w:t xml:space="preserve"> </w:t>
      </w:r>
    </w:p>
    <w:p w14:paraId="11EA42D3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c)</w:t>
      </w:r>
      <w:r w:rsidRPr="00331231">
        <w:rPr>
          <w:b/>
        </w:rPr>
        <w:tab/>
      </w:r>
      <w:r w:rsidRPr="00331231">
        <w:rPr>
          <w:b/>
          <w:bCs/>
        </w:rPr>
        <w:t>эффективно защищать и отстаивать основные права лиц, живущих с ВИЧ/СПИДом, инвалидов, лесбиянок, геев, бисексуалов и трансгендеров;</w:t>
      </w:r>
    </w:p>
    <w:p w14:paraId="63125006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d)</w:t>
      </w:r>
      <w:r w:rsidRPr="00331231">
        <w:rPr>
          <w:b/>
        </w:rPr>
        <w:tab/>
      </w:r>
      <w:r w:rsidRPr="00331231">
        <w:rPr>
          <w:b/>
          <w:bCs/>
        </w:rPr>
        <w:t>обеспечить наличие механизмов подачи жалоб и эффективных и доступных средств правовой защиты для всех форм дискриминации и собирать дезагрегированные данные о жалобах на дискриминацию и результатах их рассмотрения;</w:t>
      </w:r>
      <w:r w:rsidRPr="00331231">
        <w:rPr>
          <w:b/>
        </w:rPr>
        <w:t xml:space="preserve"> </w:t>
      </w:r>
    </w:p>
    <w:p w14:paraId="5094D8EF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e)</w:t>
      </w:r>
      <w:r w:rsidRPr="00331231">
        <w:rPr>
          <w:b/>
        </w:rPr>
        <w:tab/>
      </w:r>
      <w:r w:rsidRPr="00331231">
        <w:rPr>
          <w:b/>
          <w:bCs/>
        </w:rPr>
        <w:t>проводить широкие просветительские и информационно-разъяснительные кампании, пропагандирующие равенство, терпимость и уважение к многообразию.</w:t>
      </w:r>
    </w:p>
    <w:p w14:paraId="79533218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>Равенство мужчин и женщин</w:t>
      </w:r>
    </w:p>
    <w:p w14:paraId="07B5CACB" w14:textId="77777777" w:rsidR="00331231" w:rsidRPr="00331231" w:rsidRDefault="00331231" w:rsidP="00331231">
      <w:pPr>
        <w:pStyle w:val="SingleTxtG"/>
      </w:pPr>
      <w:r w:rsidRPr="00331231">
        <w:t>11.</w:t>
      </w:r>
      <w:r w:rsidRPr="00331231">
        <w:tab/>
        <w:t>Комитет признает, что государством-участником был принят ряд важных мер для достижения равенства мужчин и женщин, включая активизацию деятельности по учету гендерной проблематики в рамках Межведомственной комиссии по учету гендерной проблематики, создание Кабо-</w:t>
      </w:r>
      <w:proofErr w:type="spellStart"/>
      <w:r w:rsidRPr="00331231">
        <w:t>вердийского</w:t>
      </w:r>
      <w:proofErr w:type="spellEnd"/>
      <w:r w:rsidRPr="00331231">
        <w:t xml:space="preserve"> института гендерного равенства и справедливости и принятие последовательных национальных планов действий по обеспечению гендерного равенства. Вместе с тем он с обеспокоенностью отмечает отсутствие информации об эффективности и воздействии существующих мер по обеспечению равенства мужчин и женщин. Комитет обеспокоен недостаточной </w:t>
      </w:r>
      <w:r w:rsidRPr="00331231">
        <w:lastRenderedPageBreak/>
        <w:t xml:space="preserve">представленностью женщин в некоторых сферах общественной жизни, включая относительно низкую долю женщин-парламентариев, отсутствие женщин-мэров и сокращение доли женщин на министерских должностях. Отмечая в этой связи, что для улучшения представленности женщин был предложен законопроект о паритете, Комитет обеспокоен тем, что он еще не принят в качестве закона. Комитет также обеспокоен сохранением глубоко укоренившихся патриархальных взглядов и гендерных стереотипов, а также отсутствием конкретной информации о мерах, принятых государством-участником для их преодоления (статьи 2, 3, 25 и 26). </w:t>
      </w:r>
    </w:p>
    <w:p w14:paraId="64317BD3" w14:textId="77777777" w:rsidR="00331231" w:rsidRPr="00331231" w:rsidRDefault="00331231" w:rsidP="00331231">
      <w:pPr>
        <w:pStyle w:val="SingleTxtG"/>
        <w:rPr>
          <w:b/>
        </w:rPr>
      </w:pPr>
      <w:r w:rsidRPr="00331231">
        <w:t>12.</w:t>
      </w:r>
      <w:r w:rsidRPr="00331231">
        <w:tab/>
      </w:r>
      <w:r w:rsidRPr="00331231">
        <w:rPr>
          <w:b/>
          <w:bCs/>
        </w:rPr>
        <w:t>Государству-участнику следует:</w:t>
      </w:r>
    </w:p>
    <w:p w14:paraId="596842B0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а)</w:t>
      </w:r>
      <w:r w:rsidRPr="00331231">
        <w:rPr>
          <w:b/>
        </w:rPr>
        <w:tab/>
      </w:r>
      <w:r w:rsidRPr="00331231">
        <w:rPr>
          <w:b/>
          <w:bCs/>
        </w:rPr>
        <w:t>обеспечить</w:t>
      </w:r>
      <w:r w:rsidRPr="00331231">
        <w:rPr>
          <w:b/>
          <w:bCs/>
        </w:rPr>
        <w:t xml:space="preserve"> </w:t>
      </w:r>
      <w:r w:rsidRPr="00331231">
        <w:rPr>
          <w:b/>
          <w:bCs/>
        </w:rPr>
        <w:t>принятие законопроекта о гендерном равенстве в качестве закона и его эффективное осуществление в целях расширения участия женщин во всех сферах общественной и частной жизни;</w:t>
      </w:r>
    </w:p>
    <w:p w14:paraId="0FD34F81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b)</w:t>
      </w:r>
      <w:r w:rsidRPr="00331231">
        <w:rPr>
          <w:b/>
        </w:rPr>
        <w:tab/>
      </w:r>
      <w:r w:rsidRPr="00331231">
        <w:rPr>
          <w:b/>
          <w:bCs/>
        </w:rPr>
        <w:t>активизировать образовательные и информационно-просветительские инициативы для широкой общественности в целях ликвидации гендерных стереотипов, борьбы с подчиненностью женщин и поощрения уважения к равноценным ролям и обязанностям женщин и мужчин в семье и в обществе;</w:t>
      </w:r>
    </w:p>
    <w:p w14:paraId="389DBB1D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c)</w:t>
      </w:r>
      <w:r w:rsidRPr="00331231">
        <w:rPr>
          <w:b/>
        </w:rPr>
        <w:tab/>
      </w:r>
      <w:r w:rsidRPr="00331231">
        <w:rPr>
          <w:b/>
          <w:bCs/>
        </w:rPr>
        <w:t>собирать всеобъемлющие данные для мониторинга эффективности инициатив по достижению гендерного равенства.</w:t>
      </w:r>
    </w:p>
    <w:p w14:paraId="16202AAB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 xml:space="preserve">Насилие в отношении женщин </w:t>
      </w:r>
    </w:p>
    <w:p w14:paraId="6B11A182" w14:textId="77777777" w:rsidR="00331231" w:rsidRPr="00331231" w:rsidRDefault="00331231" w:rsidP="00331231">
      <w:pPr>
        <w:pStyle w:val="SingleTxtG"/>
      </w:pPr>
      <w:r w:rsidRPr="00331231">
        <w:t>13.</w:t>
      </w:r>
      <w:r w:rsidRPr="00331231">
        <w:tab/>
        <w:t>Комитет отмечает, что был</w:t>
      </w:r>
      <w:r>
        <w:t xml:space="preserve"> </w:t>
      </w:r>
      <w:r w:rsidRPr="00331231">
        <w:t xml:space="preserve">предпринят </w:t>
      </w:r>
      <w:r w:rsidR="007B6DC1" w:rsidRPr="00331231">
        <w:t>ряд</w:t>
      </w:r>
      <w:r w:rsidR="007B6DC1" w:rsidRPr="00331231">
        <w:t xml:space="preserve"> </w:t>
      </w:r>
      <w:r w:rsidRPr="00331231">
        <w:t xml:space="preserve">важных шагов для борьбы с насилием в отношении женщин, включая принятие в 2011 году закона о борьбе с гендерным насилием, проведение информационно-просветительских кампаний для персонала образовательных заведений, разработку учебных мероприятий для сотрудников полиции и различных групп общества и создание приютов. При этом он обеспокоен пробелами в принимаемых государством-участником мерах по борьбе с насилием в отношении женщин. В частности, он обеспокоен трудностями с подачей заявлений, в том числе из-за недостаточного числа соответствующих сотрудников полиции в пределах всей территории страны, страхом стигматизации и дискриминации среди женщин, наличием приютов не во всех 22 муниципалитетах и закрытием </w:t>
      </w:r>
      <w:r w:rsidR="00753B5C">
        <w:t>«</w:t>
      </w:r>
      <w:r w:rsidRPr="00331231">
        <w:t>горячей линии</w:t>
      </w:r>
      <w:r w:rsidR="00753B5C">
        <w:t>»</w:t>
      </w:r>
      <w:r w:rsidRPr="00331231">
        <w:t xml:space="preserve"> для жертв насилия в семье. Он также с обеспокоенностью отмечает отсутствие информации о расследовании случаев насилия в отношении женщин,</w:t>
      </w:r>
      <w:r>
        <w:t xml:space="preserve"> </w:t>
      </w:r>
      <w:r w:rsidRPr="00331231">
        <w:t xml:space="preserve">преследовании и осуждении виновных и о предоставлении жертвам средств правовой защиты (статьи 2, 3, 6, 7, 25 и 26). </w:t>
      </w:r>
    </w:p>
    <w:p w14:paraId="1E6DEBB2" w14:textId="77777777" w:rsidR="00331231" w:rsidRPr="00331231" w:rsidRDefault="00331231" w:rsidP="00331231">
      <w:pPr>
        <w:pStyle w:val="SingleTxtG"/>
        <w:rPr>
          <w:b/>
        </w:rPr>
      </w:pPr>
      <w:r w:rsidRPr="00331231">
        <w:t>14.</w:t>
      </w:r>
      <w:r w:rsidRPr="00331231">
        <w:tab/>
      </w:r>
      <w:r w:rsidRPr="00331231">
        <w:rPr>
          <w:b/>
          <w:bCs/>
        </w:rPr>
        <w:t>Государству-участнику следует:</w:t>
      </w:r>
    </w:p>
    <w:p w14:paraId="79F7BBB1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а)</w:t>
      </w:r>
      <w:r w:rsidRPr="00331231">
        <w:rPr>
          <w:b/>
        </w:rPr>
        <w:tab/>
      </w:r>
      <w:r w:rsidRPr="00331231">
        <w:rPr>
          <w:b/>
          <w:bCs/>
        </w:rPr>
        <w:t>продолжить изучение коренных причин и уровней распространенности насилия в отношении женщин, в том числе для выяснения масштабов этого явления и факторов, препятствующих подаче заявлений жертвами;</w:t>
      </w:r>
    </w:p>
    <w:p w14:paraId="2FE85FB3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b)</w:t>
      </w:r>
      <w:r w:rsidRPr="00331231">
        <w:rPr>
          <w:b/>
        </w:rPr>
        <w:tab/>
      </w:r>
      <w:r w:rsidRPr="00331231">
        <w:rPr>
          <w:b/>
          <w:bCs/>
        </w:rPr>
        <w:t>обеспечить, чтобы женщины, ставшие жертвами насилия, имели доступ к целому ряду механизмов подачи жалоб во всех частях страны;</w:t>
      </w:r>
    </w:p>
    <w:p w14:paraId="00AC2D2C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c)</w:t>
      </w:r>
      <w:r w:rsidRPr="00331231">
        <w:rPr>
          <w:b/>
        </w:rPr>
        <w:tab/>
      </w:r>
      <w:r w:rsidRPr="00331231">
        <w:rPr>
          <w:b/>
          <w:bCs/>
        </w:rPr>
        <w:t>обеспечить наличие приютов для</w:t>
      </w:r>
      <w:r w:rsidRPr="00331231">
        <w:rPr>
          <w:b/>
          <w:bCs/>
        </w:rPr>
        <w:t xml:space="preserve"> </w:t>
      </w:r>
      <w:r w:rsidRPr="00331231">
        <w:rPr>
          <w:b/>
          <w:bCs/>
        </w:rPr>
        <w:t>жертв насилия в отношении женщин на всей своей территории страны;</w:t>
      </w:r>
      <w:r w:rsidRPr="00331231">
        <w:rPr>
          <w:b/>
        </w:rPr>
        <w:t xml:space="preserve"> </w:t>
      </w:r>
    </w:p>
    <w:p w14:paraId="684DADF9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d)</w:t>
      </w:r>
      <w:r w:rsidRPr="00331231">
        <w:rPr>
          <w:b/>
        </w:rPr>
        <w:tab/>
      </w:r>
      <w:r w:rsidRPr="00331231">
        <w:rPr>
          <w:b/>
          <w:bCs/>
        </w:rPr>
        <w:t>продолжать повышать осведомленность о всех формах насилия в отношении женщин;</w:t>
      </w:r>
    </w:p>
    <w:p w14:paraId="0718241F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e)</w:t>
      </w:r>
      <w:r w:rsidRPr="00331231">
        <w:rPr>
          <w:b/>
        </w:rPr>
        <w:tab/>
      </w:r>
      <w:r w:rsidRPr="00331231">
        <w:rPr>
          <w:b/>
          <w:bCs/>
        </w:rPr>
        <w:t>обеспечить расследование всех зарегистрированных случаев насилия в отношении женщин, привлечение виновных к ответственности, осуждение их в соответствующих случаях и назначение им надлежащих наказаний, а также предоставление жертвам соответствующих средств правовой защиты.</w:t>
      </w:r>
      <w:r w:rsidRPr="00331231">
        <w:t xml:space="preserve"> </w:t>
      </w:r>
    </w:p>
    <w:p w14:paraId="442E5F1A" w14:textId="77777777" w:rsidR="00331231" w:rsidRPr="00331231" w:rsidRDefault="00331231" w:rsidP="00331231">
      <w:pPr>
        <w:pStyle w:val="H23G"/>
      </w:pPr>
      <w:r w:rsidRPr="00331231">
        <w:lastRenderedPageBreak/>
        <w:tab/>
      </w:r>
      <w:r w:rsidRPr="00331231">
        <w:tab/>
        <w:t xml:space="preserve">Сексуальные и репродуктивные права </w:t>
      </w:r>
    </w:p>
    <w:p w14:paraId="420337DF" w14:textId="77777777" w:rsidR="00331231" w:rsidRPr="00331231" w:rsidRDefault="00331231" w:rsidP="00331231">
      <w:pPr>
        <w:pStyle w:val="SingleTxtG"/>
      </w:pPr>
      <w:r w:rsidRPr="00331231">
        <w:t>15.</w:t>
      </w:r>
      <w:r w:rsidRPr="00331231">
        <w:tab/>
        <w:t>Комитет отмечает, что добровольное прерывание беременности является законным в государстве-участнике и что правительство предприняло шаги для обеспечения доступа к безопасным абортам, в том числе с помощью мобильных подразделений, обеспечивающих доступ к услугам в области сексуального и репродуктивного здоровья. При этом он обеспокоен тем, что подпольные и небезопасные аборты могут продолжаться, поскольку на практике доступ к безопасным, законным и эффективным абортам в пределах всей территории государства-участника не является гарантированным. Он также обеспокоен тем, что не все уязвимые группы населения могут получить доступ к информации и услугам в области сексуального и репродуктивного здоровья и что информация о программах сексуального просвещения в школах отсутствует</w:t>
      </w:r>
      <w:r>
        <w:t xml:space="preserve"> </w:t>
      </w:r>
      <w:r w:rsidRPr="00331231">
        <w:t>(статьи 3, 7 и 26).</w:t>
      </w:r>
    </w:p>
    <w:p w14:paraId="10832E2C" w14:textId="77777777" w:rsidR="00331231" w:rsidRPr="00331231" w:rsidRDefault="00331231" w:rsidP="00331231">
      <w:pPr>
        <w:pStyle w:val="SingleTxtG"/>
      </w:pPr>
      <w:r w:rsidRPr="00331231">
        <w:t>16.</w:t>
      </w:r>
      <w:r w:rsidRPr="00331231">
        <w:tab/>
      </w:r>
      <w:r w:rsidRPr="00331231">
        <w:rPr>
          <w:b/>
          <w:bCs/>
        </w:rPr>
        <w:t>Государству-участнику следует устранить любые препятствия на пути получения доступа для всех</w:t>
      </w:r>
      <w:r w:rsidRPr="00331231">
        <w:t xml:space="preserve"> </w:t>
      </w:r>
      <w:r w:rsidRPr="00331231">
        <w:rPr>
          <w:b/>
          <w:bCs/>
        </w:rPr>
        <w:t>к безопасным, законным и эффективным услугам по производству абортов и осуществлять сбор дезагрегированных данных о всех формах прерывания беременности.</w:t>
      </w:r>
      <w:r w:rsidRPr="00331231">
        <w:t xml:space="preserve"> </w:t>
      </w:r>
      <w:r w:rsidRPr="00331231">
        <w:rPr>
          <w:b/>
          <w:bCs/>
        </w:rPr>
        <w:t>Кроме того, ему следует организовать проведение информационно-просветительских программ, а также качественное и соответствующее возрасту просвещение по вопросам важности контрацепции и прав на сексуальное и репродуктивное здоровье.</w:t>
      </w:r>
    </w:p>
    <w:p w14:paraId="138EFE64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 xml:space="preserve">Право на жизнь и изменение климата </w:t>
      </w:r>
    </w:p>
    <w:p w14:paraId="6FC202D7" w14:textId="77777777" w:rsidR="00331231" w:rsidRPr="00331231" w:rsidRDefault="00331231" w:rsidP="00331231">
      <w:pPr>
        <w:pStyle w:val="SingleTxtG"/>
      </w:pPr>
      <w:r w:rsidRPr="00331231">
        <w:t>17.</w:t>
      </w:r>
      <w:r w:rsidRPr="00331231">
        <w:tab/>
        <w:t xml:space="preserve">Комитет приветствует приверженность государства-участника как малого островного государства, особенно уязвимого к изменению климата, мерам по адаптации к этому явлению и смягчению его последствий. Вместе с тем он обеспокоен недостаточностью информации об эффективности существующих механизмов и систем для </w:t>
      </w:r>
      <w:r w:rsidR="00753B5C" w:rsidRPr="00331231">
        <w:t>реализации</w:t>
      </w:r>
      <w:r w:rsidRPr="00331231">
        <w:t xml:space="preserve"> такой приверженности на практике, а также о мерах, принятых для обеспечения эффективного, значимого и осознанного участия всего населения в проектах, которые могут повлиять на устойчивое развитие и устойчивость к изменению климата (статья 6).</w:t>
      </w:r>
    </w:p>
    <w:p w14:paraId="00F3DB02" w14:textId="77777777" w:rsidR="00331231" w:rsidRPr="00331231" w:rsidRDefault="00331231" w:rsidP="00331231">
      <w:pPr>
        <w:pStyle w:val="SingleTxtG"/>
      </w:pPr>
      <w:r w:rsidRPr="00331231">
        <w:t>18.</w:t>
      </w:r>
      <w:r w:rsidRPr="00331231">
        <w:tab/>
      </w:r>
      <w:r w:rsidRPr="00331231">
        <w:rPr>
          <w:b/>
          <w:bCs/>
        </w:rPr>
        <w:t>Государству-участнику следует активизировать усилия по разработке механизмов и систем для обеспечения устойчивого использования природных ресурсов, разработки и осуществления экологических стандартов, проведения оценок воздействия на окружающую среду, обеспечения надлежащего доступа к информации об экологических опасностях и принятия превентивного подхода для защиты населения государства-участника, включая наиболее уязвимые группы, от негативных последствий изменения климата и стихийных бедствий.</w:t>
      </w:r>
      <w:r w:rsidRPr="00331231">
        <w:t xml:space="preserve"> </w:t>
      </w:r>
      <w:r w:rsidRPr="00331231">
        <w:rPr>
          <w:b/>
          <w:bCs/>
        </w:rPr>
        <w:t>Все проекты, влияющие на устойчивое развитие и устойчивость к изменению климата, должны разрабатываться при конструктивном и осознанном участии всего населения.</w:t>
      </w:r>
      <w:r w:rsidRPr="00331231">
        <w:t xml:space="preserve"> </w:t>
      </w:r>
      <w:r w:rsidRPr="00331231">
        <w:rPr>
          <w:b/>
          <w:bCs/>
        </w:rPr>
        <w:t xml:space="preserve">В этой связи Комитет обращает внимание государства-участника на пункт 62 замечания общего порядка </w:t>
      </w:r>
      <w:r>
        <w:rPr>
          <w:b/>
          <w:bCs/>
        </w:rPr>
        <w:t>№ </w:t>
      </w:r>
      <w:r w:rsidRPr="00331231">
        <w:rPr>
          <w:b/>
          <w:bCs/>
        </w:rPr>
        <w:t>36 (2018) о праве на жизнь.</w:t>
      </w:r>
      <w:r w:rsidRPr="00331231">
        <w:t xml:space="preserve"> </w:t>
      </w:r>
    </w:p>
    <w:p w14:paraId="26259A98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>Чрезмерное применение силы</w:t>
      </w:r>
    </w:p>
    <w:p w14:paraId="0BA87BE9" w14:textId="77777777" w:rsidR="00331231" w:rsidRPr="00331231" w:rsidRDefault="00331231" w:rsidP="00331231">
      <w:pPr>
        <w:pStyle w:val="SingleTxtG"/>
      </w:pPr>
      <w:r w:rsidRPr="00331231">
        <w:t>19.</w:t>
      </w:r>
      <w:r w:rsidRPr="00331231">
        <w:tab/>
        <w:t>Комитет по-прежнему обеспокоен возможным использованием полицейского произвола в качестве одной из форм внесудебного наказания в отношении несовершеннолетних, подозреваемых в участии в преступных бандах и причастности к подростковой преступности (</w:t>
      </w:r>
      <w:proofErr w:type="spellStart"/>
      <w:r w:rsidRPr="00331231">
        <w:t>CCPR</w:t>
      </w:r>
      <w:proofErr w:type="spellEnd"/>
      <w:r w:rsidRPr="00331231">
        <w:t>/C/</w:t>
      </w:r>
      <w:proofErr w:type="spellStart"/>
      <w:r w:rsidRPr="00331231">
        <w:t>CPV</w:t>
      </w:r>
      <w:proofErr w:type="spellEnd"/>
      <w:r w:rsidRPr="00331231">
        <w:t>/</w:t>
      </w:r>
      <w:proofErr w:type="spellStart"/>
      <w:r w:rsidRPr="00331231">
        <w:t>CO</w:t>
      </w:r>
      <w:proofErr w:type="spellEnd"/>
      <w:r w:rsidRPr="00331231">
        <w:t xml:space="preserve">/1, пункт 11). Он также обеспокоен сообщениями о чрезмерном применении силы и агрессии в отношении лиц, арестованных и задержанных полицией, а также тем, что средства массовой информации и участники общественных дискуссий, как представляется, терпимо относятся к насилию со стороны сотрудников полиции. Отмечая усилия государства-участника по расследованию жалоб, он вместе с тем обеспокоен отсутствием информации о мерах, принятых для предотвращения насилия, и сообщениями о том, что значительное число дел закрывается или влечет за собой такие незначительные административные наказания, как штрафы. Он также обеспокоен отсутствием информации о независимом мониторинге полицейских участков, средствах правовой защиты, имеющихся в распоряжении жертв, и мерах, принимаемых в связи с </w:t>
      </w:r>
      <w:r w:rsidRPr="00331231">
        <w:lastRenderedPageBreak/>
        <w:t xml:space="preserve">общественными дискуссиями, в которых может поощряться насилие со стороны полиции (статьи 7 и 24). </w:t>
      </w:r>
    </w:p>
    <w:p w14:paraId="59A64B95" w14:textId="77777777" w:rsidR="00331231" w:rsidRPr="00331231" w:rsidRDefault="00331231" w:rsidP="00331231">
      <w:pPr>
        <w:pStyle w:val="SingleTxtG"/>
        <w:rPr>
          <w:b/>
        </w:rPr>
      </w:pPr>
      <w:r w:rsidRPr="00331231">
        <w:t>20.</w:t>
      </w:r>
      <w:r w:rsidRPr="00331231">
        <w:tab/>
      </w:r>
      <w:r w:rsidRPr="00331231">
        <w:rPr>
          <w:b/>
          <w:bCs/>
        </w:rPr>
        <w:t>Государству-участнику следует:</w:t>
      </w:r>
    </w:p>
    <w:p w14:paraId="5BAE8295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а)</w:t>
      </w:r>
      <w:r w:rsidRPr="00331231">
        <w:rPr>
          <w:b/>
        </w:rPr>
        <w:tab/>
      </w:r>
      <w:r w:rsidRPr="00331231">
        <w:rPr>
          <w:b/>
          <w:bCs/>
        </w:rPr>
        <w:t>продолжить подготовку сотрудников полиции по изучению их обязанностей в области прав человека и создать механизмы для оценки эффективности такой подготовки;</w:t>
      </w:r>
      <w:r w:rsidRPr="00331231">
        <w:rPr>
          <w:b/>
        </w:rPr>
        <w:t xml:space="preserve"> </w:t>
      </w:r>
    </w:p>
    <w:p w14:paraId="50D4826B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b)</w:t>
      </w:r>
      <w:r w:rsidRPr="00331231">
        <w:rPr>
          <w:b/>
        </w:rPr>
        <w:tab/>
      </w:r>
      <w:r w:rsidRPr="00331231">
        <w:rPr>
          <w:b/>
          <w:bCs/>
        </w:rPr>
        <w:t>обеспечить осуществление Основных принципов применения силы и огнестрельного оружия должностными лицами по поддержанию правопорядка посредством принятия мер по недопущению чрезмерного применения силы сотрудниками правоохранительных органов;</w:t>
      </w:r>
    </w:p>
    <w:p w14:paraId="039C191E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c)</w:t>
      </w:r>
      <w:r w:rsidRPr="00331231">
        <w:rPr>
          <w:b/>
        </w:rPr>
        <w:tab/>
      </w:r>
      <w:r w:rsidRPr="00331231">
        <w:rPr>
          <w:b/>
          <w:bCs/>
        </w:rPr>
        <w:t>продолжать осуществлять и расширять меры по устранению коренных причин вовлечения несовершеннолетних в антиобщественное и преступное поведение;</w:t>
      </w:r>
    </w:p>
    <w:p w14:paraId="167C4A00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d)</w:t>
      </w:r>
      <w:r w:rsidRPr="00331231">
        <w:rPr>
          <w:b/>
        </w:rPr>
        <w:tab/>
      </w:r>
      <w:r w:rsidRPr="00331231">
        <w:rPr>
          <w:b/>
          <w:bCs/>
        </w:rPr>
        <w:t>обеспечить наличие доступных механизмов подачи жалоб, тщательное расследование всех сообщений о насилии и применение соразмерных мер наказания по результатам таких расследований, когда это оправданно;</w:t>
      </w:r>
      <w:r w:rsidRPr="00331231">
        <w:rPr>
          <w:b/>
        </w:rPr>
        <w:t xml:space="preserve"> </w:t>
      </w:r>
    </w:p>
    <w:p w14:paraId="392F9B05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e)</w:t>
      </w:r>
      <w:r w:rsidRPr="00331231">
        <w:rPr>
          <w:b/>
        </w:rPr>
        <w:tab/>
      </w:r>
      <w:r w:rsidRPr="00331231">
        <w:rPr>
          <w:b/>
          <w:bCs/>
        </w:rPr>
        <w:t xml:space="preserve">предоставить средства правовой защиты всем жертвам насилия со стороны полиции, включая компенсацию и гарантии </w:t>
      </w:r>
      <w:proofErr w:type="spellStart"/>
      <w:r w:rsidRPr="00331231">
        <w:rPr>
          <w:b/>
          <w:bCs/>
        </w:rPr>
        <w:t>неповторения</w:t>
      </w:r>
      <w:proofErr w:type="spellEnd"/>
      <w:r w:rsidRPr="00331231">
        <w:rPr>
          <w:b/>
          <w:bCs/>
        </w:rPr>
        <w:t>;</w:t>
      </w:r>
    </w:p>
    <w:p w14:paraId="725AF16B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f)</w:t>
      </w:r>
      <w:r w:rsidRPr="00331231">
        <w:rPr>
          <w:b/>
        </w:rPr>
        <w:tab/>
      </w:r>
      <w:r w:rsidRPr="00331231">
        <w:rPr>
          <w:b/>
          <w:bCs/>
        </w:rPr>
        <w:t>усилить независимый мониторинг полицейских участков Национальной комиссией по правам человека и гражданству и другими надзорными органами;</w:t>
      </w:r>
      <w:r w:rsidRPr="00331231">
        <w:rPr>
          <w:b/>
        </w:rPr>
        <w:t xml:space="preserve"> </w:t>
      </w:r>
    </w:p>
    <w:p w14:paraId="25EC9793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g)</w:t>
      </w:r>
      <w:r w:rsidRPr="00331231">
        <w:rPr>
          <w:b/>
        </w:rPr>
        <w:tab/>
      </w:r>
      <w:r w:rsidRPr="00331231">
        <w:rPr>
          <w:b/>
          <w:bCs/>
        </w:rPr>
        <w:t>разработать мероприятия по повышению осведомленности для решения проблем, связанных с общественными дискуссиями, в которых может поощряться насилие со стороны полиции.</w:t>
      </w:r>
      <w:r w:rsidRPr="00331231">
        <w:t xml:space="preserve"> </w:t>
      </w:r>
    </w:p>
    <w:p w14:paraId="007FA611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>Предупреждение преступности и борьба с ней</w:t>
      </w:r>
    </w:p>
    <w:p w14:paraId="3C128E7A" w14:textId="77777777" w:rsidR="00331231" w:rsidRPr="00331231" w:rsidRDefault="00331231" w:rsidP="00331231">
      <w:pPr>
        <w:pStyle w:val="SingleTxtG"/>
      </w:pPr>
      <w:r w:rsidRPr="00331231">
        <w:t>21.</w:t>
      </w:r>
      <w:r w:rsidRPr="00331231">
        <w:tab/>
        <w:t xml:space="preserve">Несмотря на значительное сокращение числа убийств в стране, Комитет обеспокоен сохраняющимися случаями насильственной преступности и отсутствия безопасности, а также ограниченностью возможностей полиции по борьбе с этими явлениями. Он с обеспокоенностью отмечает отсутствие информации о тенденциях в отношении распространенности таких преступлений и размерах бюджетных ассигнований на нужды полиции. Комитет принимает к сведению информацию о шагах, предпринятых для улучшения оснащения полиции оборудованием и средствами проведения судебно-медицинской экспертизы, но по-прежнему обеспокоен тем, является ли ее общий потенциал достаточным для эффективного выполнения своих обязанностей по обеспечению безопасности лиц в государстве-участнике (статья 9). </w:t>
      </w:r>
    </w:p>
    <w:p w14:paraId="2EF0AFEB" w14:textId="77777777" w:rsidR="00331231" w:rsidRPr="00331231" w:rsidRDefault="00331231" w:rsidP="00331231">
      <w:pPr>
        <w:pStyle w:val="SingleTxtG"/>
        <w:rPr>
          <w:b/>
        </w:rPr>
      </w:pPr>
      <w:r w:rsidRPr="00331231">
        <w:t>22.</w:t>
      </w:r>
      <w:r w:rsidRPr="00331231">
        <w:tab/>
      </w:r>
      <w:r w:rsidRPr="00331231">
        <w:rPr>
          <w:b/>
          <w:bCs/>
        </w:rPr>
        <w:t>Государству-участнику следует расширить возможности полиции по борьбе с преступностью и отсутствием безопасности в стране путем обеспечения надлежащего финансирования, в том числе путем инвестирования в оборудование и средства проведения судебно-медицинской экспертизы.</w:t>
      </w:r>
      <w:r w:rsidRPr="00331231">
        <w:t xml:space="preserve"> </w:t>
      </w:r>
    </w:p>
    <w:p w14:paraId="6299A841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>Досудебное содержание под стражей</w:t>
      </w:r>
    </w:p>
    <w:p w14:paraId="3BD8B64E" w14:textId="77777777" w:rsidR="00331231" w:rsidRPr="00331231" w:rsidRDefault="00331231" w:rsidP="00331231">
      <w:pPr>
        <w:pStyle w:val="SingleTxtG"/>
      </w:pPr>
      <w:r w:rsidRPr="00331231">
        <w:t>23.</w:t>
      </w:r>
      <w:r w:rsidRPr="00331231">
        <w:tab/>
        <w:t>Комитет обеспокоен сообщениями о том, что установленный законом 48</w:t>
      </w:r>
      <w:r w:rsidR="006B0B01">
        <w:noBreakHyphen/>
      </w:r>
      <w:r w:rsidRPr="00331231">
        <w:t>часовой срок содержания под стражей без доставки к судье не может применяться на регулярной основе, и отмечает отсутствие подробной информации о мерах, принятых для обеспечения его соблюдения. Он также обеспокоен сообщениями о том, что задержанные могут проводить продолжительное время в предварительном заключении, несмотря на законодательные положения, устанавливающие предельные сроки такого содержания под стражей. Он отмечает отсутствие информации о случаях освобождения из-под стражи до суда и о дополнительных мерах пресечения, применяемых судьями по истечении первоначального шестимесячного срока предварительного заключения, установленного законодательством (статья 9).</w:t>
      </w:r>
    </w:p>
    <w:p w14:paraId="03D6AF5F" w14:textId="77777777" w:rsidR="00331231" w:rsidRPr="00331231" w:rsidRDefault="00331231" w:rsidP="00331231">
      <w:pPr>
        <w:pStyle w:val="SingleTxtG"/>
        <w:rPr>
          <w:b/>
        </w:rPr>
      </w:pPr>
      <w:r w:rsidRPr="00331231">
        <w:lastRenderedPageBreak/>
        <w:t>24.</w:t>
      </w:r>
      <w:r w:rsidRPr="00331231">
        <w:tab/>
      </w:r>
      <w:r w:rsidRPr="00331231">
        <w:rPr>
          <w:b/>
          <w:bCs/>
        </w:rPr>
        <w:t>Государству-участнику следует последовательно обеспечивать применение действующих правовых норм в отношении досудебного содержания под стражей, отстаивать свободу лиц, обвиняемых в совершении преступлений, и гарантировать право на судебное разбирательство в разумные сроки.</w:t>
      </w:r>
      <w:r w:rsidRPr="00331231">
        <w:t xml:space="preserve"> </w:t>
      </w:r>
      <w:r w:rsidRPr="00331231">
        <w:rPr>
          <w:b/>
          <w:bCs/>
        </w:rPr>
        <w:t xml:space="preserve">Ему следует продолжать сокращать продолжительность досудебного содержания под стражей и расширять использование альтернативных мер, не связанных с лишением свободы, принимая во внимание свои обязательства по статье 9 Пакта в том толковании, которое Комитет дал в своем замечании общего порядка </w:t>
      </w:r>
      <w:r>
        <w:rPr>
          <w:b/>
          <w:bCs/>
        </w:rPr>
        <w:t>№ </w:t>
      </w:r>
      <w:r w:rsidRPr="00331231">
        <w:rPr>
          <w:b/>
          <w:bCs/>
        </w:rPr>
        <w:t>35 (2014) о свободе и личной неприкосновенности.</w:t>
      </w:r>
    </w:p>
    <w:p w14:paraId="5E128B9A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>Торговля людьми, ликвидация рабства и подневольного состояния и домашние работники</w:t>
      </w:r>
    </w:p>
    <w:p w14:paraId="088286B7" w14:textId="77777777" w:rsidR="00331231" w:rsidRPr="00331231" w:rsidRDefault="00331231" w:rsidP="00331231">
      <w:pPr>
        <w:pStyle w:val="SingleTxtG"/>
      </w:pPr>
      <w:r w:rsidRPr="00331231">
        <w:t>25.</w:t>
      </w:r>
      <w:r w:rsidRPr="00331231">
        <w:tab/>
        <w:t>Комитет по-прежнему обеспокоен торговлей людьми, особенно женщинами и детьми, и использованием территории государства-участника для целей транзита (</w:t>
      </w:r>
      <w:proofErr w:type="spellStart"/>
      <w:r w:rsidRPr="00331231">
        <w:t>CCPR</w:t>
      </w:r>
      <w:proofErr w:type="spellEnd"/>
      <w:r w:rsidRPr="00331231">
        <w:t>/C/</w:t>
      </w:r>
      <w:proofErr w:type="spellStart"/>
      <w:r w:rsidRPr="00331231">
        <w:t>CPV</w:t>
      </w:r>
      <w:proofErr w:type="spellEnd"/>
      <w:r w:rsidRPr="00331231">
        <w:t>/</w:t>
      </w:r>
      <w:proofErr w:type="spellStart"/>
      <w:r w:rsidRPr="00331231">
        <w:t>CO</w:t>
      </w:r>
      <w:proofErr w:type="spellEnd"/>
      <w:r w:rsidRPr="00331231">
        <w:t>/1, пункт 13). Принимая во внимание Национальный план действий по борьбе с торговлей людьми на 2018</w:t>
      </w:r>
      <w:r w:rsidR="006B0B01" w:rsidRPr="006B0B01">
        <w:t>−</w:t>
      </w:r>
      <w:r w:rsidRPr="00331231">
        <w:t>2021 годы и тот факт, что государство-участник приняло участие в целом ряде важных мероприятий по подготовке кадров, повышению осведомленности и обмену знаниями, Комитет с обеспокоенностью отмечает отсутствие достаточной информации о расследованиях, преследовании и осуждении лиц, причастных к торговле людьми. Он также обеспокоен отсутствием информации о предоставлении жертвам всеобъемлющей помощи, средств правовой защиты и реабилитации. Кроме того, Комитет обеспокоен другими формами эксплуатации в государстве-участнике, включая работу в качестве домашней прислуги в условиях эксплуатации и детский труд, в том числе в сельском хозяйстве и в форме попрошайничества и продажи товаров на улицах, а также сексуальную эксплуатацию в коммерческих целях, в том числе в контексте туризма (статьи 6, 7, 8 и 24).</w:t>
      </w:r>
    </w:p>
    <w:p w14:paraId="1276BFF3" w14:textId="77777777" w:rsidR="00331231" w:rsidRPr="00331231" w:rsidRDefault="00331231" w:rsidP="00331231">
      <w:pPr>
        <w:pStyle w:val="SingleTxtG"/>
        <w:rPr>
          <w:b/>
        </w:rPr>
      </w:pPr>
      <w:r w:rsidRPr="00331231">
        <w:t>26.</w:t>
      </w:r>
      <w:r w:rsidRPr="00331231">
        <w:tab/>
      </w:r>
      <w:r w:rsidRPr="00331231">
        <w:rPr>
          <w:b/>
          <w:bCs/>
        </w:rPr>
        <w:t>Государству-участнику следует значительно активизировать усилия по борьбе с безнаказанностью за торговлю людьми, в том числе путем создания доступных и эффективных механизмов подачи жалоб и предоставления гарантий того, что деяния всех лиц, обвиняемых в торговле людьми, будут расследованы, а сами они</w:t>
      </w:r>
      <w:r>
        <w:rPr>
          <w:b/>
          <w:bCs/>
        </w:rPr>
        <w:t xml:space="preserve"> </w:t>
      </w:r>
      <w:r w:rsidRPr="00331231">
        <w:rPr>
          <w:b/>
          <w:bCs/>
        </w:rPr>
        <w:t>привлечены к ответственности и в случае осуждения подвергнуты надлежащему наказанию.</w:t>
      </w:r>
      <w:r w:rsidRPr="00331231">
        <w:t xml:space="preserve"> </w:t>
      </w:r>
      <w:r w:rsidRPr="00331231">
        <w:rPr>
          <w:b/>
          <w:bCs/>
        </w:rPr>
        <w:t xml:space="preserve">Государству-участнику следует также предоставить дополнительную поддержку для реабилитации и интеграции жертв торговли людьми, включая эффективные средства правовой защиты, предусматривающие компенсацию и гарантии </w:t>
      </w:r>
      <w:proofErr w:type="spellStart"/>
      <w:r w:rsidRPr="00331231">
        <w:rPr>
          <w:b/>
          <w:bCs/>
        </w:rPr>
        <w:t>неповторения</w:t>
      </w:r>
      <w:proofErr w:type="spellEnd"/>
      <w:r w:rsidRPr="00331231">
        <w:rPr>
          <w:b/>
          <w:bCs/>
        </w:rPr>
        <w:t xml:space="preserve"> подобных случаев.</w:t>
      </w:r>
      <w:r w:rsidRPr="00331231">
        <w:t xml:space="preserve"> </w:t>
      </w:r>
      <w:r w:rsidRPr="00331231">
        <w:rPr>
          <w:b/>
          <w:bCs/>
        </w:rPr>
        <w:t>Государству-участнику следует также обеспечить надлежащую криминализацию других форм эксплуатации, включая домашний труд и наихудшие формы детского труда, удвоить усилия по предупреждению таких форм эксплуатации, активизировать усилия по расследованию, судебному преследованию и осуждению виновных и предоставлению помощи, реабилитации и компенсации всем жертвам.</w:t>
      </w:r>
      <w:r w:rsidRPr="00331231">
        <w:t xml:space="preserve"> </w:t>
      </w:r>
    </w:p>
    <w:p w14:paraId="70AE79DB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 xml:space="preserve">Условия содержания под стражей </w:t>
      </w:r>
    </w:p>
    <w:p w14:paraId="7085C9AE" w14:textId="77777777" w:rsidR="00331231" w:rsidRPr="00331231" w:rsidRDefault="00331231" w:rsidP="00331231">
      <w:pPr>
        <w:pStyle w:val="SingleTxtG"/>
      </w:pPr>
      <w:r w:rsidRPr="00331231">
        <w:t>27.</w:t>
      </w:r>
      <w:r w:rsidRPr="00331231">
        <w:tab/>
        <w:t>Комитет приветствует усилия государства-участника по инвестированию средств в пенитенциарную систему и решению проблемы переполненности тюрем, в</w:t>
      </w:r>
      <w:r w:rsidR="00B15C35">
        <w:rPr>
          <w:lang w:val="en-US"/>
        </w:rPr>
        <w:t> </w:t>
      </w:r>
      <w:r w:rsidRPr="00331231">
        <w:t>том числе путем перераспределения заключенных между местами содержания под стражей и разработки альтернатив тюремному заключению в результате реформы системы уголовного правосудия 2015 года. Однако он обеспокоен тем, что некоторые тюрьмы по-прежнему переполнены и что значительная часть лиц, включенных в представленные государством-участником данные, содержатся в тюрьмах за ненасильственные преступления, в том числе за кражи, которые, как сообщается, в</w:t>
      </w:r>
      <w:r w:rsidR="00B15C35">
        <w:rPr>
          <w:lang w:val="en-US"/>
        </w:rPr>
        <w:t> </w:t>
      </w:r>
      <w:r w:rsidRPr="00331231">
        <w:t>некоторых случаях были совершены по причине нищеты. Комитет ссылается на свои предыдущие заключительные замечания (</w:t>
      </w:r>
      <w:proofErr w:type="spellStart"/>
      <w:r w:rsidRPr="00331231">
        <w:t>CCPR</w:t>
      </w:r>
      <w:proofErr w:type="spellEnd"/>
      <w:r w:rsidRPr="00331231">
        <w:t>/C/</w:t>
      </w:r>
      <w:proofErr w:type="spellStart"/>
      <w:r w:rsidRPr="00331231">
        <w:t>CPV</w:t>
      </w:r>
      <w:proofErr w:type="spellEnd"/>
      <w:r w:rsidRPr="00331231">
        <w:t>/</w:t>
      </w:r>
      <w:proofErr w:type="spellStart"/>
      <w:r w:rsidRPr="00331231">
        <w:t>CO</w:t>
      </w:r>
      <w:proofErr w:type="spellEnd"/>
      <w:r w:rsidRPr="00331231">
        <w:t>/1, пункт 14) и сожалеет о том, что в тюрьмах дети по-прежнему содержатся вместе со взрослыми. Кроме того, он сожалеет об отсутствии надлежащей информации о конкретных положениях, касающихся лиц с умственными и психосоциальными расстройствами, и о результатах рассмотрения жалоб, поданных в прокуратуру (статьи 6, 7, 9 и 10).</w:t>
      </w:r>
    </w:p>
    <w:p w14:paraId="5797139E" w14:textId="77777777" w:rsidR="00331231" w:rsidRPr="00331231" w:rsidRDefault="00331231" w:rsidP="00331231">
      <w:pPr>
        <w:pStyle w:val="SingleTxtG"/>
        <w:keepNext/>
        <w:rPr>
          <w:b/>
        </w:rPr>
      </w:pPr>
      <w:r w:rsidRPr="00331231">
        <w:lastRenderedPageBreak/>
        <w:t>28.</w:t>
      </w:r>
      <w:r w:rsidRPr="00331231">
        <w:tab/>
      </w:r>
      <w:r w:rsidRPr="00331231">
        <w:rPr>
          <w:b/>
          <w:bCs/>
        </w:rPr>
        <w:t>Государству-участнику следует:</w:t>
      </w:r>
    </w:p>
    <w:p w14:paraId="59D87488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а)</w:t>
      </w:r>
      <w:r w:rsidRPr="00331231">
        <w:rPr>
          <w:b/>
        </w:rPr>
        <w:tab/>
      </w:r>
      <w:r w:rsidRPr="00331231">
        <w:rPr>
          <w:b/>
          <w:bCs/>
        </w:rPr>
        <w:t>в срочном порядке создать систему раздельного содержания несовершеннолетних и взрослых заключенных;</w:t>
      </w:r>
    </w:p>
    <w:p w14:paraId="5FFB60F8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b)</w:t>
      </w:r>
      <w:r w:rsidRPr="00331231">
        <w:rPr>
          <w:b/>
        </w:rPr>
        <w:tab/>
      </w:r>
      <w:r w:rsidRPr="00331231">
        <w:rPr>
          <w:b/>
          <w:bCs/>
        </w:rPr>
        <w:t>расширить использование альтернатив тюремному заключению, особенно за ненасильственные преступления, в соответствии со статьей 9 Пакта;</w:t>
      </w:r>
    </w:p>
    <w:p w14:paraId="49C3E295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c)</w:t>
      </w:r>
      <w:r w:rsidRPr="00331231">
        <w:rPr>
          <w:b/>
        </w:rPr>
        <w:tab/>
      </w:r>
      <w:r w:rsidRPr="00331231">
        <w:rPr>
          <w:b/>
          <w:bCs/>
        </w:rPr>
        <w:t>инвестировать средства в пенитенциарную систему в целях решения проблемы переполненности тюрем и улучшения условий содержания заключенных, в том числе путем принятия конкретных мер в интересах лиц с нарушениями интеллекта и психосоциального развития;</w:t>
      </w:r>
    </w:p>
    <w:p w14:paraId="7AD85BD2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d)</w:t>
      </w:r>
      <w:r w:rsidRPr="00331231">
        <w:rPr>
          <w:b/>
        </w:rPr>
        <w:tab/>
      </w:r>
      <w:r w:rsidRPr="00331231">
        <w:rPr>
          <w:b/>
          <w:bCs/>
        </w:rPr>
        <w:t>гарантировать право всех лиц, лишенных свободы, на гуманное и достойное обращение и обеспечить, чтобы условия содержания во всех местах лишения свободы соответствовали Минимальным стандартным правилам обращения с заключенными Организации Объединенных Наций (Правила Нельсона Манделы), в том числе в отношении доступа к медицинскому обслуживанию, санитарии и питанию.</w:t>
      </w:r>
    </w:p>
    <w:p w14:paraId="5947847E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 xml:space="preserve">Одиночное заключение </w:t>
      </w:r>
    </w:p>
    <w:p w14:paraId="27B2C3B2" w14:textId="77777777" w:rsidR="00331231" w:rsidRPr="00331231" w:rsidRDefault="00331231" w:rsidP="00331231">
      <w:pPr>
        <w:pStyle w:val="SingleTxtG"/>
      </w:pPr>
      <w:r w:rsidRPr="00331231">
        <w:t>29.</w:t>
      </w:r>
      <w:r w:rsidRPr="00331231">
        <w:tab/>
        <w:t>Комитет отмечает меры, принятые для использования одиночного заключения только в качестве дисциплинарной меры краткосрочного характера и только в отношении взрослых, как это предусмотрено Кодексом об исполнении обычных уголовных наказаний, но выражает обеспокоенность в связи с отсутствием информации о том, как соблюдаются такие стандарты, а также в связи с нечастыми контрольными посещениями некоторых тюрем (статьи 7 и 10).</w:t>
      </w:r>
    </w:p>
    <w:p w14:paraId="100A490D" w14:textId="77777777" w:rsidR="00331231" w:rsidRPr="00331231" w:rsidRDefault="00331231" w:rsidP="00331231">
      <w:pPr>
        <w:pStyle w:val="SingleTxtG"/>
      </w:pPr>
      <w:r w:rsidRPr="00331231">
        <w:t>30.</w:t>
      </w:r>
      <w:r w:rsidRPr="00331231">
        <w:tab/>
      </w:r>
      <w:r w:rsidRPr="00331231">
        <w:rPr>
          <w:b/>
          <w:bCs/>
        </w:rPr>
        <w:t>Государству-участнику следует обеспечить, чтобы все сотрудники пенитенциарных учреждений проходили подготовку по их обязательствам в области прав человека, в том числе по правовым положениям Кодекса об исполнении обычных уголовных наказаний, ограничивающим применение одиночного заключения.</w:t>
      </w:r>
      <w:r w:rsidRPr="00331231">
        <w:t xml:space="preserve"> </w:t>
      </w:r>
      <w:r w:rsidRPr="00331231">
        <w:rPr>
          <w:b/>
          <w:bCs/>
        </w:rPr>
        <w:t>Ему следует также обеспечить всеобъемлющий и регулярный надзор за пенитенциарной системой со стороны компетентных служб в рамках Главного управления тюрем и служб социальной реинтеграции, прокуратуры и Национальной комиссии по правам человека и гражданству.</w:t>
      </w:r>
    </w:p>
    <w:p w14:paraId="75A132D7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>Обращение с иностранцами, включая беженцев и просителей убежища</w:t>
      </w:r>
    </w:p>
    <w:p w14:paraId="44284802" w14:textId="77777777" w:rsidR="00331231" w:rsidRPr="00331231" w:rsidRDefault="00331231" w:rsidP="00331231">
      <w:pPr>
        <w:pStyle w:val="SingleTxtG"/>
      </w:pPr>
      <w:r w:rsidRPr="00331231">
        <w:t>31.</w:t>
      </w:r>
      <w:r w:rsidRPr="00331231">
        <w:tab/>
        <w:t xml:space="preserve">Комитет сожалеет об отсутствии информации о мерах, принятых для улучшения сбора данных о беженцах и просителях убежища, а также о предполагаемых сроках принятия постановления о правовом режиме для просителей убежища и статусе беженцев в соответствии с Законом </w:t>
      </w:r>
      <w:r>
        <w:t>№ </w:t>
      </w:r>
      <w:r w:rsidRPr="00331231">
        <w:t xml:space="preserve">99/V/99. Он также обеспокоен сообщениями о том, что правила, касающиеся законного въезда в страну, судя по всему, применяются без должной оценки статуса беженца и права на убежище и без учета принципа </w:t>
      </w:r>
      <w:proofErr w:type="spellStart"/>
      <w:r w:rsidRPr="00331231">
        <w:t>невыдворения</w:t>
      </w:r>
      <w:proofErr w:type="spellEnd"/>
      <w:r w:rsidRPr="00331231">
        <w:t xml:space="preserve">. Он также обеспокоен сообщениями об отсутствии судебного надзора за такими решениями (статьи 9, 10 и 13). </w:t>
      </w:r>
    </w:p>
    <w:p w14:paraId="585F4FC3" w14:textId="77777777" w:rsidR="00331231" w:rsidRPr="00331231" w:rsidRDefault="00331231" w:rsidP="00331231">
      <w:pPr>
        <w:pStyle w:val="SingleTxtG"/>
      </w:pPr>
      <w:r w:rsidRPr="00331231">
        <w:t>32.</w:t>
      </w:r>
      <w:r w:rsidRPr="00331231">
        <w:tab/>
      </w:r>
      <w:r w:rsidRPr="00331231">
        <w:rPr>
          <w:b/>
          <w:bCs/>
        </w:rPr>
        <w:t>Государству-участнику следует улучшить сбор данных о беженцах и просителях убежища и обеспечить эффективное осуществление соответствующих законодательных положений.</w:t>
      </w:r>
      <w:r w:rsidRPr="00331231">
        <w:t xml:space="preserve"> </w:t>
      </w:r>
      <w:r w:rsidRPr="00331231">
        <w:rPr>
          <w:b/>
          <w:bCs/>
        </w:rPr>
        <w:t xml:space="preserve">Ему следует провести тщательный обзор процедур пограничного контроля для обеспечения того, чтобы оценка статуса беженца и права на убежище проводилась без исключений в соответствии с принципом </w:t>
      </w:r>
      <w:proofErr w:type="spellStart"/>
      <w:r w:rsidRPr="00331231">
        <w:rPr>
          <w:b/>
          <w:bCs/>
        </w:rPr>
        <w:t>невыдворения</w:t>
      </w:r>
      <w:proofErr w:type="spellEnd"/>
      <w:r w:rsidRPr="00331231">
        <w:rPr>
          <w:b/>
          <w:bCs/>
        </w:rPr>
        <w:t>.</w:t>
      </w:r>
      <w:r w:rsidRPr="00331231">
        <w:t xml:space="preserve"> </w:t>
      </w:r>
      <w:r w:rsidRPr="00331231">
        <w:rPr>
          <w:b/>
          <w:bCs/>
        </w:rPr>
        <w:t>Во всех случаях отказа в предоставлении права на убежища и статуса беженца соответствующим лицам должно быть разрешено обжалование в судебном порядке.</w:t>
      </w:r>
    </w:p>
    <w:p w14:paraId="5B83E047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 xml:space="preserve">Отправление правосудия </w:t>
      </w:r>
    </w:p>
    <w:p w14:paraId="6D3FE7F8" w14:textId="77777777" w:rsidR="00331231" w:rsidRPr="00331231" w:rsidRDefault="00331231" w:rsidP="00331231">
      <w:pPr>
        <w:pStyle w:val="SingleTxtG"/>
      </w:pPr>
      <w:r w:rsidRPr="00331231">
        <w:t>33.</w:t>
      </w:r>
      <w:r w:rsidRPr="00331231">
        <w:tab/>
        <w:t xml:space="preserve">Комитет признает, что в последние годы бюджетные ассигнования, выделяемые судебной системе, увеличились и что были приняты многочисленные меры, включенные в стратегический план Высшего совета магистратуры, в целях укрепления потенциала судебной системы и решения системных проблем. Вместе с тем он </w:t>
      </w:r>
      <w:r w:rsidRPr="00331231">
        <w:lastRenderedPageBreak/>
        <w:t>по</w:t>
      </w:r>
      <w:r w:rsidR="00B15C35">
        <w:noBreakHyphen/>
      </w:r>
      <w:r w:rsidRPr="00331231">
        <w:t>прежнему обеспокоен утверждениями о том, что большое число дел все еще находятся на рассмотрении, а судебные разбирательства затягиваются надолго (статья</w:t>
      </w:r>
      <w:r w:rsidR="00B15C35">
        <w:rPr>
          <w:lang w:val="en-US"/>
        </w:rPr>
        <w:t> </w:t>
      </w:r>
      <w:r w:rsidRPr="00331231">
        <w:t xml:space="preserve">14). </w:t>
      </w:r>
    </w:p>
    <w:p w14:paraId="47B30FAD" w14:textId="77777777" w:rsidR="00331231" w:rsidRPr="00331231" w:rsidRDefault="00331231" w:rsidP="00331231">
      <w:pPr>
        <w:pStyle w:val="SingleTxtG"/>
        <w:rPr>
          <w:b/>
        </w:rPr>
      </w:pPr>
      <w:r w:rsidRPr="00331231">
        <w:t>34.</w:t>
      </w:r>
      <w:r w:rsidRPr="00331231">
        <w:tab/>
      </w:r>
      <w:r w:rsidRPr="00331231">
        <w:rPr>
          <w:b/>
          <w:bCs/>
        </w:rPr>
        <w:t>Комитет рекомендует государству-участнику эффективно осуществлять свои планы по наращиванию потенциала судебной системы и активизировать меры, направленные на сокращение числа дел, находящихся на рассмотрении судов и органов прокуратуры, а также сроков ожидания в каждом случае.</w:t>
      </w:r>
    </w:p>
    <w:p w14:paraId="3B6D3FFB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 xml:space="preserve">Принудительные выселения </w:t>
      </w:r>
    </w:p>
    <w:p w14:paraId="693C5BBE" w14:textId="77777777" w:rsidR="00331231" w:rsidRPr="00331231" w:rsidRDefault="00331231" w:rsidP="00331231">
      <w:pPr>
        <w:pStyle w:val="SingleTxtG"/>
      </w:pPr>
      <w:r w:rsidRPr="00331231">
        <w:t>35.</w:t>
      </w:r>
      <w:r w:rsidRPr="00331231">
        <w:tab/>
        <w:t xml:space="preserve">Комитет обеспокоен сообщениями о принудительных выселениях после увеличения числа неформальных и незапланированных поселений. Признавая, что были приняты меры по обеспечению процедурных гарантий, Комитет отмечает отсутствие информации о мерах, принятых для сбора данных о сносе домов и принудительных выселениях и об участии затрагиваемого населения в этом процессе. Он отмечает усилия по предоставлению альтернативного жилья, но выражает обеспокоенность в связи с тем, что такое жилье недоступно для всех, что, когда оно имеется, оно предоставляется только на срок от трех до шести месяцев и что Комитету было неясно, какая помощь оказывается по прошествии этого срока для обеспечения того, чтобы люди оставались в надежном жилище (статьи 12 и 17). </w:t>
      </w:r>
    </w:p>
    <w:p w14:paraId="4B9886E0" w14:textId="77777777" w:rsidR="00331231" w:rsidRPr="00331231" w:rsidRDefault="00331231" w:rsidP="00331231">
      <w:pPr>
        <w:pStyle w:val="SingleTxtG"/>
        <w:rPr>
          <w:b/>
        </w:rPr>
      </w:pPr>
      <w:r w:rsidRPr="00331231">
        <w:t>36.</w:t>
      </w:r>
      <w:r w:rsidRPr="00331231">
        <w:tab/>
      </w:r>
      <w:r w:rsidRPr="00331231">
        <w:rPr>
          <w:b/>
          <w:bCs/>
        </w:rPr>
        <w:t>Государству-участнику следует принять все возможные меры для недопущения принудительных выселений и обеспечить, чтобы в случае их совершения пострадавшие лица и общины имели доступ к правовой защите и в случае необходимости получали достаточное альтернативное жилье.</w:t>
      </w:r>
      <w:r w:rsidRPr="00331231">
        <w:t xml:space="preserve"> </w:t>
      </w:r>
      <w:r w:rsidRPr="00331231">
        <w:rPr>
          <w:b/>
          <w:bCs/>
        </w:rPr>
        <w:t>Государству-участнику следует также проводить сбор данных о сносе домов и принудительных выселениях и принимать меры для обеспечения эффективного участия затрагиваемого населения в принятии касающихся его решений.</w:t>
      </w:r>
      <w:r w:rsidRPr="00331231">
        <w:t xml:space="preserve"> </w:t>
      </w:r>
    </w:p>
    <w:p w14:paraId="357B2D12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>Свобода выражения мнений и собраний</w:t>
      </w:r>
    </w:p>
    <w:p w14:paraId="517CE261" w14:textId="77777777" w:rsidR="00331231" w:rsidRPr="00331231" w:rsidRDefault="00331231" w:rsidP="00331231">
      <w:pPr>
        <w:pStyle w:val="SingleTxtG"/>
      </w:pPr>
      <w:r w:rsidRPr="00331231">
        <w:t>37.</w:t>
      </w:r>
      <w:r w:rsidRPr="00331231">
        <w:tab/>
        <w:t>Комитет обеспокоен тем, что в соответствии со статьей 166 Уголовного кодекса отдельные лица могут быть лишены свободы на 18 месяцев за диффамацию. Он</w:t>
      </w:r>
      <w:r w:rsidR="0085725F">
        <w:t> </w:t>
      </w:r>
      <w:r w:rsidRPr="00331231">
        <w:t>принимает к сведению представленную государством-участником информацию о необходимости обеспечения баланса между свободой выражения мнений и защитой других прав, а также о мерах, принятых для обеспечения свободы выражения мнений, в том числе в средствах массовой информации, однако выражает обеспокоенность по поводу того, что период, в течение которого люди могут подвергаться тюремному заключению за диффамацию, носит несоразмерно карательный характер и может иметь сдерживающий эффект в гражданском пространстве. Он отмечает отсутствие информации о применении таких положений в течение последних пяти лет. Комитет также обеспокоен сообщениями об использовании правительством официального требования о возобновлении работы в случае забастовки, хотя и в качестве исключительной меры, что ограничивает право профсоюзов и трудящихся на свободу ассоциации (статьи 2, 9, 19 и 21).</w:t>
      </w:r>
    </w:p>
    <w:p w14:paraId="3F059115" w14:textId="77777777" w:rsidR="00331231" w:rsidRPr="00331231" w:rsidRDefault="00331231" w:rsidP="00331231">
      <w:pPr>
        <w:pStyle w:val="SingleTxtG"/>
      </w:pPr>
      <w:r w:rsidRPr="00331231">
        <w:t>38.</w:t>
      </w:r>
      <w:r w:rsidRPr="00331231">
        <w:tab/>
      </w:r>
      <w:r w:rsidRPr="00331231">
        <w:rPr>
          <w:b/>
          <w:bCs/>
        </w:rPr>
        <w:t>Государству-участнику следует рассмотреть вопрос о декриминализации диффамации и в любом случае пересмотреть статью 166 Уголовного кодекса для обеспечения того, чтобы диффамация не наказывалась лишением свободы.</w:t>
      </w:r>
      <w:r w:rsidRPr="00331231">
        <w:t xml:space="preserve"> </w:t>
      </w:r>
      <w:r w:rsidRPr="00331231">
        <w:rPr>
          <w:b/>
          <w:bCs/>
        </w:rPr>
        <w:t xml:space="preserve">Государству-участнику следует обеспечить, чтобы все лица в полной мере пользовались своими правами на свободу выражения мнений, ассоциации и мирных собраний и чтобы любые ограничения на осуществление таких прав соответствовали строгим требованиям, изложенным в статье 19 Пакта, как они толкуются в замечании общего порядка </w:t>
      </w:r>
      <w:r>
        <w:rPr>
          <w:b/>
          <w:bCs/>
        </w:rPr>
        <w:t>№ </w:t>
      </w:r>
      <w:r w:rsidRPr="00331231">
        <w:rPr>
          <w:b/>
          <w:bCs/>
        </w:rPr>
        <w:t>34 (2011) Комитета о свободе мнений и</w:t>
      </w:r>
      <w:r>
        <w:rPr>
          <w:b/>
          <w:bCs/>
        </w:rPr>
        <w:t xml:space="preserve"> </w:t>
      </w:r>
      <w:r w:rsidRPr="00331231">
        <w:rPr>
          <w:b/>
          <w:bCs/>
        </w:rPr>
        <w:t>свободе их выражения и в статье 21 и пункте 2 статьи 22 Пакта.</w:t>
      </w:r>
      <w:r w:rsidRPr="00331231">
        <w:t xml:space="preserve"> </w:t>
      </w:r>
    </w:p>
    <w:p w14:paraId="539BB768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 xml:space="preserve">Права ребенка </w:t>
      </w:r>
    </w:p>
    <w:p w14:paraId="17D7F663" w14:textId="77777777" w:rsidR="00331231" w:rsidRPr="00331231" w:rsidRDefault="00331231" w:rsidP="00331231">
      <w:pPr>
        <w:pStyle w:val="SingleTxtG"/>
      </w:pPr>
      <w:r w:rsidRPr="00331231">
        <w:t>39.</w:t>
      </w:r>
      <w:r w:rsidRPr="00331231">
        <w:tab/>
        <w:t>Комитет отмечает важные шаги, предпринятые государством-участником для защиты прав детей, такие как принятие Национального плана действий по борьбе с сексуальным насилием в отношении детей и подростков на 2017</w:t>
      </w:r>
      <w:r w:rsidR="00B15C35" w:rsidRPr="00B15C35">
        <w:t>−</w:t>
      </w:r>
      <w:r w:rsidRPr="00331231">
        <w:t xml:space="preserve">2019 годы, но </w:t>
      </w:r>
      <w:r w:rsidRPr="00331231">
        <w:lastRenderedPageBreak/>
        <w:t>по</w:t>
      </w:r>
      <w:r w:rsidR="00B15C35">
        <w:noBreakHyphen/>
      </w:r>
      <w:r w:rsidRPr="00331231">
        <w:t>прежнему обеспокоен сообщениями о тревожных масштабах насилия в отношении детей, в том числе о насилии и отсутствии заботы в семье и коммерческой сексуальной эксплуатации, включая злоупотребления в Интернете и детскую проституцию. Он</w:t>
      </w:r>
      <w:r w:rsidR="00B15C35">
        <w:rPr>
          <w:lang w:val="en-US"/>
        </w:rPr>
        <w:t> </w:t>
      </w:r>
      <w:r w:rsidRPr="00331231">
        <w:t>также обеспокоен тем, что, хотя детские браки являются незаконными, значительная доля девочек в возрасте до 18 лет находятся в фактических браках и что имели место</w:t>
      </w:r>
      <w:r>
        <w:t xml:space="preserve"> </w:t>
      </w:r>
      <w:r w:rsidRPr="00331231">
        <w:t xml:space="preserve">сообщения о случаях </w:t>
      </w:r>
      <w:proofErr w:type="spellStart"/>
      <w:r w:rsidRPr="00331231">
        <w:t>калечения</w:t>
      </w:r>
      <w:proofErr w:type="spellEnd"/>
      <w:r w:rsidRPr="00331231">
        <w:t xml:space="preserve"> женских половых органов в общинах мигрантов. Комитет отмечает меры, принятые для решения проблемы практики телесных наказаний, но выражает обеспокоенность в связи с тем, что такая практика сохраняется в государстве-участнике, особенно в семье (статьи 7, 24 и 26). </w:t>
      </w:r>
    </w:p>
    <w:p w14:paraId="5313F321" w14:textId="77777777" w:rsidR="00331231" w:rsidRPr="00331231" w:rsidRDefault="00331231" w:rsidP="00331231">
      <w:pPr>
        <w:pStyle w:val="SingleTxtG"/>
        <w:rPr>
          <w:b/>
        </w:rPr>
      </w:pPr>
      <w:r w:rsidRPr="00331231">
        <w:t>40.</w:t>
      </w:r>
      <w:r w:rsidRPr="00331231">
        <w:tab/>
      </w:r>
      <w:r w:rsidRPr="00331231">
        <w:rPr>
          <w:b/>
          <w:bCs/>
        </w:rPr>
        <w:t>Государству-участнику следует:</w:t>
      </w:r>
    </w:p>
    <w:p w14:paraId="3F63178C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а)</w:t>
      </w:r>
      <w:r w:rsidRPr="00331231">
        <w:rPr>
          <w:b/>
        </w:rPr>
        <w:tab/>
      </w:r>
      <w:r w:rsidRPr="00331231">
        <w:rPr>
          <w:b/>
          <w:bCs/>
        </w:rPr>
        <w:t>обеспечить криминализацию всех форм злоупотреблений, насилия и эксплуатации в рамках национальной правовой базы;</w:t>
      </w:r>
    </w:p>
    <w:p w14:paraId="578B388A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b)</w:t>
      </w:r>
      <w:r w:rsidRPr="00331231">
        <w:rPr>
          <w:b/>
        </w:rPr>
        <w:tab/>
      </w:r>
      <w:r w:rsidRPr="00331231">
        <w:rPr>
          <w:b/>
          <w:bCs/>
        </w:rPr>
        <w:t>создать удобные для детей механизмы подачи жалоб и обеспечить расследование всех жалоб, судебное преследование обвиняемых и при необходимости соразмерное наказание виновных, а также доступ детей-жертв к помощи и средствам правовой защиты;</w:t>
      </w:r>
      <w:r w:rsidRPr="00331231">
        <w:rPr>
          <w:b/>
        </w:rPr>
        <w:t xml:space="preserve"> </w:t>
      </w:r>
    </w:p>
    <w:p w14:paraId="1304E871" w14:textId="77777777" w:rsidR="00331231" w:rsidRPr="00331231" w:rsidRDefault="00331231" w:rsidP="00331231">
      <w:pPr>
        <w:pStyle w:val="SingleTxtG"/>
        <w:rPr>
          <w:b/>
        </w:rPr>
      </w:pPr>
      <w:r>
        <w:rPr>
          <w:b/>
        </w:rPr>
        <w:tab/>
      </w:r>
      <w:r>
        <w:rPr>
          <w:b/>
        </w:rPr>
        <w:tab/>
      </w:r>
      <w:r w:rsidRPr="00331231">
        <w:rPr>
          <w:b/>
        </w:rPr>
        <w:t>c)</w:t>
      </w:r>
      <w:r w:rsidRPr="00331231">
        <w:rPr>
          <w:b/>
        </w:rPr>
        <w:tab/>
      </w:r>
      <w:r w:rsidRPr="00331231">
        <w:rPr>
          <w:b/>
          <w:bCs/>
        </w:rPr>
        <w:t>проводить информационно-просветительские и учебные мероприятия среди населения в целом, представителей гражданского общества, государственных служащих и должностных лиц в целях усиления защиты детей.</w:t>
      </w:r>
      <w:r w:rsidRPr="00331231">
        <w:t xml:space="preserve"> </w:t>
      </w:r>
    </w:p>
    <w:p w14:paraId="3E55F684" w14:textId="77777777" w:rsidR="00331231" w:rsidRPr="00331231" w:rsidRDefault="00331231" w:rsidP="00331231">
      <w:pPr>
        <w:pStyle w:val="H23G"/>
      </w:pPr>
      <w:r w:rsidRPr="00331231">
        <w:tab/>
      </w:r>
      <w:r w:rsidRPr="00331231">
        <w:tab/>
        <w:t>Участие в ведении государственных дел</w:t>
      </w:r>
    </w:p>
    <w:p w14:paraId="02DEFA07" w14:textId="77777777" w:rsidR="00331231" w:rsidRPr="00331231" w:rsidRDefault="00331231" w:rsidP="00331231">
      <w:pPr>
        <w:pStyle w:val="SingleTxtG"/>
      </w:pPr>
      <w:r w:rsidRPr="00331231">
        <w:t>41.</w:t>
      </w:r>
      <w:r w:rsidRPr="00331231">
        <w:tab/>
        <w:t xml:space="preserve">Комитет обеспокоен сообщениями о семейственности и коррупции, в том числе среди выборных должностных лиц, в государстве-участнике и сожалеет, что законопроект о борьбе с семейственностью не был принят парламентом. Он принимает к сведению представленную государством-участником информацию о мерах, принятых для борьбы с такими явлениями и обеспечения транспарентности и подотчетности в сфере государственного управления, но проблемы еще сохраняются. Комитет также обеспокоен отсутствием законодательства о доступе к общественной информации (статья 25). </w:t>
      </w:r>
    </w:p>
    <w:p w14:paraId="3F2A8A60" w14:textId="77777777" w:rsidR="00331231" w:rsidRPr="00331231" w:rsidRDefault="00331231" w:rsidP="00331231">
      <w:pPr>
        <w:pStyle w:val="SingleTxtG"/>
      </w:pPr>
      <w:r w:rsidRPr="00331231">
        <w:t>42.</w:t>
      </w:r>
      <w:r w:rsidRPr="00331231">
        <w:tab/>
      </w:r>
      <w:r w:rsidRPr="00331231">
        <w:rPr>
          <w:b/>
          <w:bCs/>
        </w:rPr>
        <w:t>Государству-участнику следует активизировать свои усилия по повышению транспарентности и подотчетности в государственной администрации и среди государственных должностных лиц и рассмотреть вопрос о принятии законодательства о доступе к общественной информации.</w:t>
      </w:r>
      <w:r w:rsidRPr="00331231">
        <w:t xml:space="preserve"> </w:t>
      </w:r>
    </w:p>
    <w:p w14:paraId="5E0B68AE" w14:textId="77777777" w:rsidR="00331231" w:rsidRPr="00331231" w:rsidRDefault="00331231" w:rsidP="00331231">
      <w:pPr>
        <w:pStyle w:val="SingleTxtG"/>
      </w:pPr>
      <w:r w:rsidRPr="00331231">
        <w:t>43.</w:t>
      </w:r>
      <w:r w:rsidRPr="00331231">
        <w:tab/>
        <w:t>Комитет отмечает значительные усилия по децентрализации, приложенные правительством. При этом он обеспокоен отсутствием достаточной информации о процессе и результатах прилагаемых усилий, в том числе в плане сокращения фактического регионального неравенства, особенно в плане доступа к услугам и инфраструктуре.</w:t>
      </w:r>
    </w:p>
    <w:p w14:paraId="76BBC9F4" w14:textId="77777777" w:rsidR="00331231" w:rsidRPr="00331231" w:rsidRDefault="00331231" w:rsidP="00331231">
      <w:pPr>
        <w:pStyle w:val="SingleTxtG"/>
      </w:pPr>
      <w:r w:rsidRPr="00331231">
        <w:t>44.</w:t>
      </w:r>
      <w:r w:rsidRPr="00331231">
        <w:tab/>
      </w:r>
      <w:r w:rsidRPr="00331231">
        <w:rPr>
          <w:b/>
          <w:bCs/>
        </w:rPr>
        <w:t>Государству-участнику следует принять меры для обеспечения активного участия общественности в процессе принятия решений в рамках усилий по децентрализации.</w:t>
      </w:r>
    </w:p>
    <w:p w14:paraId="1D3F8151" w14:textId="77777777" w:rsidR="00331231" w:rsidRPr="00331231" w:rsidRDefault="00331231" w:rsidP="00331231">
      <w:pPr>
        <w:pStyle w:val="H1G"/>
      </w:pPr>
      <w:r>
        <w:tab/>
      </w:r>
      <w:r w:rsidRPr="00331231">
        <w:t>D.</w:t>
      </w:r>
      <w:r w:rsidRPr="00331231">
        <w:tab/>
        <w:t>Распространение информации и последующая деятельность</w:t>
      </w:r>
    </w:p>
    <w:p w14:paraId="2850B4A7" w14:textId="77777777" w:rsidR="00331231" w:rsidRPr="00331231" w:rsidRDefault="00331231" w:rsidP="00331231">
      <w:pPr>
        <w:pStyle w:val="SingleTxtG"/>
        <w:rPr>
          <w:b/>
        </w:rPr>
      </w:pPr>
      <w:r w:rsidRPr="00331231">
        <w:t>45.</w:t>
      </w:r>
      <w:r w:rsidRPr="00331231">
        <w:tab/>
      </w:r>
      <w:r w:rsidRPr="00331231">
        <w:rPr>
          <w:b/>
          <w:bCs/>
        </w:rPr>
        <w:t>Государству-участнику следует обеспечить широкое распространение Пакта, Факультативного протокола к нему, своего первоначального доклада и настоящих заключительных замечаний, с тем чтобы повысить осведомленность о</w:t>
      </w:r>
      <w:r>
        <w:rPr>
          <w:b/>
          <w:bCs/>
        </w:rPr>
        <w:t xml:space="preserve"> </w:t>
      </w:r>
      <w:r w:rsidRPr="00331231">
        <w:rPr>
          <w:b/>
          <w:bCs/>
        </w:rPr>
        <w:t>закрепленных в Пакте правах среди представителей судебных, законодательных и административных органов, гражданского общества и действующих в стране неправительственных организаций, а также широкой общественности.</w:t>
      </w:r>
      <w:r w:rsidRPr="00331231">
        <w:t xml:space="preserve"> </w:t>
      </w:r>
      <w:r w:rsidRPr="00331231">
        <w:rPr>
          <w:b/>
          <w:bCs/>
        </w:rPr>
        <w:t>Государству-участнику следует обеспечить, чтобы доклад и настоящие заключительные замечания были переведены на его официальный язык.</w:t>
      </w:r>
    </w:p>
    <w:p w14:paraId="3B2F354C" w14:textId="77777777" w:rsidR="00331231" w:rsidRPr="00331231" w:rsidRDefault="00331231" w:rsidP="00331231">
      <w:pPr>
        <w:pStyle w:val="SingleTxtG"/>
        <w:rPr>
          <w:b/>
        </w:rPr>
      </w:pPr>
      <w:r w:rsidRPr="00331231">
        <w:lastRenderedPageBreak/>
        <w:t>46.</w:t>
      </w:r>
      <w:r w:rsidRPr="00331231">
        <w:tab/>
      </w:r>
      <w:r w:rsidRPr="00331231">
        <w:rPr>
          <w:b/>
          <w:bCs/>
        </w:rPr>
        <w:t>В соответствии с пунктом 1 правила 75 правил процедуры Комитета государству-участнику предлагается представить к 8 ноября 2021 года информацию о выполнении рекомендаций, вынесенных Комитетом в пунктах 8 (национальное правозащитное учреждение), 12 (равенство мужчин и женщин) и 44 (децентрализация) выше.</w:t>
      </w:r>
    </w:p>
    <w:p w14:paraId="1D1C7B27" w14:textId="77777777" w:rsidR="00331231" w:rsidRPr="00331231" w:rsidRDefault="00331231" w:rsidP="00331231">
      <w:pPr>
        <w:pStyle w:val="SingleTxtG"/>
        <w:rPr>
          <w:b/>
        </w:rPr>
      </w:pPr>
      <w:r w:rsidRPr="00331231">
        <w:t>47.</w:t>
      </w:r>
      <w:r w:rsidRPr="00331231">
        <w:tab/>
      </w:r>
      <w:r w:rsidRPr="00331231">
        <w:rPr>
          <w:b/>
          <w:bCs/>
        </w:rPr>
        <w:t>В соответствии с прогнозируемым циклом обзора Комитета государство-участник получит в 2025 году перечень вопросов Комитета до представления доклада и должно будет представить в течение одного года свои ответы на перечень вопросов, которые и буд</w:t>
      </w:r>
      <w:r w:rsidR="00C3074F">
        <w:rPr>
          <w:b/>
          <w:bCs/>
        </w:rPr>
        <w:t>у</w:t>
      </w:r>
      <w:r w:rsidRPr="00331231">
        <w:rPr>
          <w:b/>
          <w:bCs/>
        </w:rPr>
        <w:t>т представлять собой его второй периодический доклад.</w:t>
      </w:r>
      <w:r w:rsidRPr="00331231">
        <w:t xml:space="preserve"> </w:t>
      </w:r>
      <w:r w:rsidRPr="00331231">
        <w:rPr>
          <w:b/>
          <w:bCs/>
        </w:rPr>
        <w:t>Комитет также просит государство-участник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организаций.</w:t>
      </w:r>
      <w:r w:rsidRPr="00331231">
        <w:t xml:space="preserve"> </w:t>
      </w:r>
      <w:r w:rsidRPr="00331231">
        <w:rPr>
          <w:b/>
          <w:bCs/>
        </w:rPr>
        <w:t>В соответствии с резолюцией 68/268 Генеральной Ассамблеи объем доклада не должен превышать 21</w:t>
      </w:r>
      <w:r w:rsidR="00C3074F">
        <w:rPr>
          <w:b/>
          <w:bCs/>
        </w:rPr>
        <w:t> </w:t>
      </w:r>
      <w:r w:rsidRPr="00331231">
        <w:rPr>
          <w:b/>
          <w:bCs/>
        </w:rPr>
        <w:t>200 слов.</w:t>
      </w:r>
      <w:r w:rsidRPr="00331231">
        <w:t xml:space="preserve"> </w:t>
      </w:r>
      <w:r w:rsidRPr="00331231">
        <w:rPr>
          <w:b/>
          <w:bCs/>
        </w:rPr>
        <w:t>Следующий конструктивный диалог с государством-участником состоится в 2027 году в Женеве.</w:t>
      </w:r>
      <w:r w:rsidRPr="00331231">
        <w:t xml:space="preserve"> </w:t>
      </w:r>
    </w:p>
    <w:p w14:paraId="68AD5923" w14:textId="77777777" w:rsidR="00381C24" w:rsidRPr="00331231" w:rsidRDefault="00331231" w:rsidP="003312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31231" w:rsidSect="0033123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3BBD" w14:textId="77777777" w:rsidR="00E0478B" w:rsidRPr="00A312BC" w:rsidRDefault="00E0478B" w:rsidP="00A312BC"/>
  </w:endnote>
  <w:endnote w:type="continuationSeparator" w:id="0">
    <w:p w14:paraId="5EEB79E4" w14:textId="77777777" w:rsidR="00E0478B" w:rsidRPr="00A312BC" w:rsidRDefault="00E047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004E" w14:textId="77777777" w:rsidR="00331231" w:rsidRPr="00331231" w:rsidRDefault="00331231">
    <w:pPr>
      <w:pStyle w:val="a8"/>
    </w:pPr>
    <w:r w:rsidRPr="00331231">
      <w:rPr>
        <w:b/>
        <w:sz w:val="18"/>
      </w:rPr>
      <w:fldChar w:fldCharType="begin"/>
    </w:r>
    <w:r w:rsidRPr="00331231">
      <w:rPr>
        <w:b/>
        <w:sz w:val="18"/>
      </w:rPr>
      <w:instrText xml:space="preserve"> PAGE  \* MERGEFORMAT </w:instrText>
    </w:r>
    <w:r w:rsidRPr="00331231">
      <w:rPr>
        <w:b/>
        <w:sz w:val="18"/>
      </w:rPr>
      <w:fldChar w:fldCharType="separate"/>
    </w:r>
    <w:r w:rsidRPr="00331231">
      <w:rPr>
        <w:b/>
        <w:noProof/>
        <w:sz w:val="18"/>
      </w:rPr>
      <w:t>2</w:t>
    </w:r>
    <w:r w:rsidRPr="00331231">
      <w:rPr>
        <w:b/>
        <w:sz w:val="18"/>
      </w:rPr>
      <w:fldChar w:fldCharType="end"/>
    </w:r>
    <w:r>
      <w:rPr>
        <w:b/>
        <w:sz w:val="18"/>
      </w:rPr>
      <w:tab/>
    </w:r>
    <w:r>
      <w:t>GE.19-20779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51C0" w14:textId="77777777" w:rsidR="00331231" w:rsidRPr="00331231" w:rsidRDefault="00331231" w:rsidP="00331231">
    <w:pPr>
      <w:pStyle w:val="a8"/>
      <w:tabs>
        <w:tab w:val="clear" w:pos="9639"/>
        <w:tab w:val="right" w:pos="9638"/>
      </w:tabs>
      <w:rPr>
        <w:b/>
        <w:sz w:val="18"/>
      </w:rPr>
    </w:pPr>
    <w:r>
      <w:t>GE.19-20779</w:t>
    </w:r>
    <w:r>
      <w:tab/>
    </w:r>
    <w:r w:rsidRPr="00331231">
      <w:rPr>
        <w:b/>
        <w:sz w:val="18"/>
      </w:rPr>
      <w:fldChar w:fldCharType="begin"/>
    </w:r>
    <w:r w:rsidRPr="00331231">
      <w:rPr>
        <w:b/>
        <w:sz w:val="18"/>
      </w:rPr>
      <w:instrText xml:space="preserve"> PAGE  \* MERGEFORMAT </w:instrText>
    </w:r>
    <w:r w:rsidRPr="00331231">
      <w:rPr>
        <w:b/>
        <w:sz w:val="18"/>
      </w:rPr>
      <w:fldChar w:fldCharType="separate"/>
    </w:r>
    <w:r w:rsidRPr="00331231">
      <w:rPr>
        <w:b/>
        <w:noProof/>
        <w:sz w:val="18"/>
      </w:rPr>
      <w:t>3</w:t>
    </w:r>
    <w:r w:rsidRPr="003312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AB20" w14:textId="77777777" w:rsidR="00042B72" w:rsidRPr="00331231" w:rsidRDefault="00331231" w:rsidP="0033123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67DAA1" wp14:editId="403B1F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19-20779 (</w:t>
    </w:r>
    <w:proofErr w:type="gramStart"/>
    <w:r>
      <w:t>R)</w:t>
    </w:r>
    <w:r>
      <w:rPr>
        <w:lang w:val="en-US"/>
      </w:rPr>
      <w:t xml:space="preserve">   </w:t>
    </w:r>
    <w:proofErr w:type="gramEnd"/>
    <w:r>
      <w:rPr>
        <w:lang w:val="en-US"/>
      </w:rPr>
      <w:t>131219   161219</w:t>
    </w:r>
    <w:r>
      <w:br/>
    </w:r>
    <w:r w:rsidRPr="00331231">
      <w:rPr>
        <w:rFonts w:ascii="C39T30Lfz" w:hAnsi="C39T30Lfz"/>
        <w:kern w:val="14"/>
        <w:sz w:val="56"/>
      </w:rPr>
      <w:t></w:t>
    </w:r>
    <w:r w:rsidRPr="00331231">
      <w:rPr>
        <w:rFonts w:ascii="C39T30Lfz" w:hAnsi="C39T30Lfz"/>
        <w:kern w:val="14"/>
        <w:sz w:val="56"/>
      </w:rPr>
      <w:t></w:t>
    </w:r>
    <w:r w:rsidRPr="00331231">
      <w:rPr>
        <w:rFonts w:ascii="C39T30Lfz" w:hAnsi="C39T30Lfz"/>
        <w:kern w:val="14"/>
        <w:sz w:val="56"/>
      </w:rPr>
      <w:t></w:t>
    </w:r>
    <w:r w:rsidRPr="00331231">
      <w:rPr>
        <w:rFonts w:ascii="C39T30Lfz" w:hAnsi="C39T30Lfz"/>
        <w:kern w:val="14"/>
        <w:sz w:val="56"/>
      </w:rPr>
      <w:t></w:t>
    </w:r>
    <w:r w:rsidRPr="00331231">
      <w:rPr>
        <w:rFonts w:ascii="C39T30Lfz" w:hAnsi="C39T30Lfz"/>
        <w:kern w:val="14"/>
        <w:sz w:val="56"/>
      </w:rPr>
      <w:t></w:t>
    </w:r>
    <w:r w:rsidRPr="00331231">
      <w:rPr>
        <w:rFonts w:ascii="C39T30Lfz" w:hAnsi="C39T30Lfz"/>
        <w:kern w:val="14"/>
        <w:sz w:val="56"/>
      </w:rPr>
      <w:t></w:t>
    </w:r>
    <w:r w:rsidRPr="00331231">
      <w:rPr>
        <w:rFonts w:ascii="C39T30Lfz" w:hAnsi="C39T30Lfz"/>
        <w:kern w:val="14"/>
        <w:sz w:val="56"/>
      </w:rPr>
      <w:t></w:t>
    </w:r>
    <w:r w:rsidRPr="00331231">
      <w:rPr>
        <w:rFonts w:ascii="C39T30Lfz" w:hAnsi="C39T30Lfz"/>
        <w:kern w:val="14"/>
        <w:sz w:val="56"/>
      </w:rPr>
      <w:t></w:t>
    </w:r>
    <w:r w:rsidRPr="0033123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2C34B9" wp14:editId="11EF761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CPR/C/CPV/CO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CPV/CO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8269" w14:textId="77777777" w:rsidR="00E0478B" w:rsidRPr="001075E9" w:rsidRDefault="00E047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E2BDDF" w14:textId="77777777" w:rsidR="00E0478B" w:rsidRDefault="00E047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917AB7" w14:textId="77777777" w:rsidR="00331231" w:rsidRPr="00326CDF" w:rsidRDefault="00331231" w:rsidP="00331231">
      <w:pPr>
        <w:pStyle w:val="ad"/>
      </w:pPr>
      <w:r>
        <w:tab/>
      </w:r>
      <w:r w:rsidRPr="00331231">
        <w:rPr>
          <w:sz w:val="20"/>
        </w:rPr>
        <w:t>*</w:t>
      </w:r>
      <w:r>
        <w:tab/>
        <w:t>Приняты Комитетом на его 127-й сессии (14 октября – 8 ноября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74D2" w14:textId="72422705" w:rsidR="00331231" w:rsidRPr="00331231" w:rsidRDefault="0033123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014F1A">
      <w:t>CCPR</w:t>
    </w:r>
    <w:proofErr w:type="spellEnd"/>
    <w:r w:rsidR="00014F1A">
      <w:t>/C/</w:t>
    </w:r>
    <w:proofErr w:type="spellStart"/>
    <w:r w:rsidR="00014F1A">
      <w:t>CPV</w:t>
    </w:r>
    <w:proofErr w:type="spellEnd"/>
    <w:r w:rsidR="00014F1A">
      <w:t>/CO/1/Add.1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4021" w14:textId="1BC9F8B6" w:rsidR="00331231" w:rsidRPr="00331231" w:rsidRDefault="00331231" w:rsidP="0033123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014F1A">
      <w:t>CCPR</w:t>
    </w:r>
    <w:proofErr w:type="spellEnd"/>
    <w:r w:rsidR="00014F1A">
      <w:t>/C/</w:t>
    </w:r>
    <w:proofErr w:type="spellStart"/>
    <w:r w:rsidR="00014F1A">
      <w:t>CPV</w:t>
    </w:r>
    <w:proofErr w:type="spellEnd"/>
    <w:r w:rsidR="00014F1A">
      <w:t>/CO/1/Add.1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8B"/>
    <w:rsid w:val="00014F1A"/>
    <w:rsid w:val="00033EE1"/>
    <w:rsid w:val="00042B72"/>
    <w:rsid w:val="000558B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481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26A"/>
    <w:rsid w:val="00331231"/>
    <w:rsid w:val="003402C2"/>
    <w:rsid w:val="00375F01"/>
    <w:rsid w:val="00381C24"/>
    <w:rsid w:val="003958D0"/>
    <w:rsid w:val="003B00E5"/>
    <w:rsid w:val="00407B78"/>
    <w:rsid w:val="00424203"/>
    <w:rsid w:val="00452493"/>
    <w:rsid w:val="00454E07"/>
    <w:rsid w:val="00472C5C"/>
    <w:rsid w:val="004933C9"/>
    <w:rsid w:val="004969B2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66B97"/>
    <w:rsid w:val="00681A10"/>
    <w:rsid w:val="006A1ED8"/>
    <w:rsid w:val="006B0B01"/>
    <w:rsid w:val="006C2031"/>
    <w:rsid w:val="006D461A"/>
    <w:rsid w:val="006F35EE"/>
    <w:rsid w:val="007021FF"/>
    <w:rsid w:val="00712895"/>
    <w:rsid w:val="00753B5C"/>
    <w:rsid w:val="0075523D"/>
    <w:rsid w:val="00757357"/>
    <w:rsid w:val="00787D3A"/>
    <w:rsid w:val="00791B9D"/>
    <w:rsid w:val="007B6DC1"/>
    <w:rsid w:val="00825F8D"/>
    <w:rsid w:val="00834B71"/>
    <w:rsid w:val="0085725F"/>
    <w:rsid w:val="0086445C"/>
    <w:rsid w:val="00894693"/>
    <w:rsid w:val="008A08D7"/>
    <w:rsid w:val="008B6909"/>
    <w:rsid w:val="00906890"/>
    <w:rsid w:val="00911BE4"/>
    <w:rsid w:val="00931A71"/>
    <w:rsid w:val="00951972"/>
    <w:rsid w:val="009608F3"/>
    <w:rsid w:val="009918E2"/>
    <w:rsid w:val="009A24AC"/>
    <w:rsid w:val="009D21FD"/>
    <w:rsid w:val="00A14DA8"/>
    <w:rsid w:val="00A312BC"/>
    <w:rsid w:val="00A34D07"/>
    <w:rsid w:val="00A84021"/>
    <w:rsid w:val="00A84D35"/>
    <w:rsid w:val="00A917B3"/>
    <w:rsid w:val="00AB4B51"/>
    <w:rsid w:val="00AC13EB"/>
    <w:rsid w:val="00AD6F87"/>
    <w:rsid w:val="00B10CC7"/>
    <w:rsid w:val="00B136DB"/>
    <w:rsid w:val="00B15C35"/>
    <w:rsid w:val="00B539E7"/>
    <w:rsid w:val="00B62458"/>
    <w:rsid w:val="00BC18B2"/>
    <w:rsid w:val="00BC3629"/>
    <w:rsid w:val="00BD33EE"/>
    <w:rsid w:val="00BF1A04"/>
    <w:rsid w:val="00C0177C"/>
    <w:rsid w:val="00C106D6"/>
    <w:rsid w:val="00C3074F"/>
    <w:rsid w:val="00C46D5A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9090B"/>
    <w:rsid w:val="00DD78D1"/>
    <w:rsid w:val="00DE32CD"/>
    <w:rsid w:val="00DF71B9"/>
    <w:rsid w:val="00E005F7"/>
    <w:rsid w:val="00E0478B"/>
    <w:rsid w:val="00E06BEE"/>
    <w:rsid w:val="00E46656"/>
    <w:rsid w:val="00E73F76"/>
    <w:rsid w:val="00EA2C9F"/>
    <w:rsid w:val="00EA420E"/>
    <w:rsid w:val="00ED0BDA"/>
    <w:rsid w:val="00EF1360"/>
    <w:rsid w:val="00EF3220"/>
    <w:rsid w:val="00F43903"/>
    <w:rsid w:val="00F94155"/>
    <w:rsid w:val="00F9783F"/>
    <w:rsid w:val="00FC63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B1D9E7"/>
  <w15:docId w15:val="{7D3EFAA7-7F11-4E30-8E77-78FE599A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523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AD6F8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BF1A04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BF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BF1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BF1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BF1A04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BF1A0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BF1A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BF1A04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BF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31A7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AD6F8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AD6F8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AD6F8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931A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AD6F8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AD6F8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AD6F8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AD6F8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AD6F8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31A7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AD6F8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AD6F8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AD6F8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AD6F8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AD6F8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AD6F8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AD6F8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AD6F8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AD6F8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75523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AD6F8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AD6F8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AD6F87"/>
  </w:style>
  <w:style w:type="character" w:customStyle="1" w:styleId="af0">
    <w:name w:val="Текст концевой сноски Знак"/>
    <w:aliases w:val="2_G Знак"/>
    <w:basedOn w:val="a0"/>
    <w:link w:val="af"/>
    <w:rsid w:val="00AD6F8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AD6F8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AD6F87"/>
    <w:rPr>
      <w:color w:val="0000FF" w:themeColor="hyperlink"/>
      <w:u w:val="none"/>
    </w:rPr>
  </w:style>
  <w:style w:type="character" w:styleId="af2">
    <w:name w:val="FollowedHyperlink"/>
    <w:basedOn w:val="a0"/>
    <w:rsid w:val="00AD6F8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CP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1</TotalTime>
  <Pages>11</Pages>
  <Words>4256</Words>
  <Characters>29587</Characters>
  <Application>Microsoft Office Word</Application>
  <DocSecurity>0</DocSecurity>
  <Lines>537</Lines>
  <Paragraphs>137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CCPR/C/CPV/CO/1/Add.1</vt:lpstr>
      <vt:lpstr>A/</vt:lpstr>
      <vt:lpstr>A/</vt:lpstr>
    </vt:vector>
  </TitlesOfParts>
  <Company>DCM</Company>
  <LinksUpToDate>false</LinksUpToDate>
  <CharactersWithSpaces>33706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CCPR/C/CPV/CO/1/Add.1</dc:title>
  <dc:subject/>
  <dc:creator>Larisa MAYKOVSKAYA</dc:creator>
  <cp:keywords/>
  <cp:lastModifiedBy>Larisa Maykovskaya</cp:lastModifiedBy>
  <cp:revision>3</cp:revision>
  <cp:lastPrinted>2019-12-16T10:09:00Z</cp:lastPrinted>
  <dcterms:created xsi:type="dcterms:W3CDTF">2019-12-16T10:09:00Z</dcterms:created>
  <dcterms:modified xsi:type="dcterms:W3CDTF">2019-12-16T10:10:00Z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