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420"/>
        <w:gridCol w:w="2619"/>
      </w:tblGrid>
      <w:tr w:rsidR="00F90607" w:rsidRPr="0083262E" w:rsidTr="00A325A9">
        <w:trPr>
          <w:cnfStyle w:val="100000000000"/>
          <w:trHeight w:hRule="exact" w:val="851"/>
        </w:trPr>
        <w:tc>
          <w:tcPr>
            <w:tcW w:w="4600" w:type="dxa"/>
            <w:gridSpan w:val="2"/>
            <w:tcBorders>
              <w:bottom w:val="single" w:sz="4" w:space="0" w:color="auto"/>
            </w:tcBorders>
            <w:vAlign w:val="bottom"/>
          </w:tcPr>
          <w:p w:rsidR="00F90607" w:rsidRPr="0083262E" w:rsidRDefault="00F90607" w:rsidP="00A325A9">
            <w:pPr>
              <w:spacing w:after="80" w:line="300" w:lineRule="exact"/>
              <w:rPr>
                <w:sz w:val="28"/>
              </w:rPr>
            </w:pPr>
            <w:r w:rsidRPr="0083262E">
              <w:rPr>
                <w:sz w:val="28"/>
              </w:rPr>
              <w:t>Организация Объединенных Н</w:t>
            </w:r>
            <w:r w:rsidRPr="0083262E">
              <w:rPr>
                <w:sz w:val="28"/>
              </w:rPr>
              <w:t>а</w:t>
            </w:r>
            <w:r w:rsidRPr="0083262E">
              <w:rPr>
                <w:sz w:val="28"/>
              </w:rPr>
              <w:t>ций</w:t>
            </w:r>
          </w:p>
        </w:tc>
        <w:tc>
          <w:tcPr>
            <w:tcW w:w="5039" w:type="dxa"/>
            <w:gridSpan w:val="2"/>
            <w:tcBorders>
              <w:bottom w:val="single" w:sz="4" w:space="0" w:color="auto"/>
            </w:tcBorders>
            <w:vAlign w:val="bottom"/>
          </w:tcPr>
          <w:p w:rsidR="00F90607" w:rsidRPr="0083262E" w:rsidRDefault="00F90607" w:rsidP="00A325A9">
            <w:pPr>
              <w:jc w:val="right"/>
              <w:rPr>
                <w:sz w:val="20"/>
              </w:rPr>
            </w:pPr>
            <w:r w:rsidRPr="0083262E">
              <w:rPr>
                <w:sz w:val="40"/>
                <w:szCs w:val="40"/>
              </w:rPr>
              <w:t>CAT</w:t>
            </w:r>
            <w:r w:rsidRPr="0083262E">
              <w:rPr>
                <w:sz w:val="20"/>
              </w:rPr>
              <w:t>/</w:t>
            </w:r>
            <w:fldSimple w:instr=" FILLIN  &quot;Введите часть символа после CAT/&quot;  \* MERGEFORMAT ">
              <w:r w:rsidR="000D4DDF" w:rsidRPr="0083262E">
                <w:rPr>
                  <w:sz w:val="20"/>
                </w:rPr>
                <w:t>C/52/2</w:t>
              </w:r>
            </w:fldSimple>
          </w:p>
        </w:tc>
      </w:tr>
      <w:tr w:rsidR="00F90607" w:rsidRPr="0083262E" w:rsidTr="00A325A9">
        <w:trPr>
          <w:trHeight w:hRule="exact" w:val="2835"/>
        </w:trPr>
        <w:tc>
          <w:tcPr>
            <w:tcW w:w="1280" w:type="dxa"/>
            <w:tcBorders>
              <w:top w:val="single" w:sz="4" w:space="0" w:color="auto"/>
              <w:bottom w:val="single" w:sz="12" w:space="0" w:color="auto"/>
            </w:tcBorders>
          </w:tcPr>
          <w:p w:rsidR="00F90607" w:rsidRPr="0083262E" w:rsidRDefault="00F90607" w:rsidP="00A325A9">
            <w:pPr>
              <w:spacing w:before="120"/>
              <w:jc w:val="center"/>
            </w:pPr>
            <w:r w:rsidRPr="008326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83262E" w:rsidRDefault="00F90607" w:rsidP="00F90607">
            <w:pPr>
              <w:suppressAutoHyphens/>
              <w:spacing w:before="120" w:line="360" w:lineRule="exact"/>
              <w:rPr>
                <w:b/>
                <w:spacing w:val="-4"/>
                <w:w w:val="100"/>
                <w:sz w:val="34"/>
                <w:szCs w:val="34"/>
              </w:rPr>
            </w:pPr>
            <w:r w:rsidRPr="0083262E">
              <w:rPr>
                <w:b/>
                <w:spacing w:val="-4"/>
                <w:w w:val="100"/>
                <w:sz w:val="34"/>
                <w:szCs w:val="34"/>
              </w:rPr>
              <w:t xml:space="preserve">Конвенция против пыток и </w:t>
            </w:r>
            <w:r w:rsidRPr="0083262E">
              <w:rPr>
                <w:b/>
                <w:spacing w:val="-4"/>
                <w:w w:val="100"/>
                <w:sz w:val="34"/>
                <w:szCs w:val="34"/>
              </w:rPr>
              <w:br/>
              <w:t xml:space="preserve">других жестоких, бесчеловечных </w:t>
            </w:r>
            <w:r w:rsidRPr="0083262E">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83262E" w:rsidRDefault="00F90607" w:rsidP="00A325A9">
            <w:pPr>
              <w:spacing w:before="240" w:after="0"/>
              <w:rPr>
                <w:sz w:val="20"/>
              </w:rPr>
            </w:pPr>
            <w:r w:rsidRPr="0083262E">
              <w:rPr>
                <w:sz w:val="20"/>
              </w:rPr>
              <w:t xml:space="preserve">Distr.: </w:t>
            </w:r>
            <w:bookmarkStart w:id="0" w:name="ПолеСоСписком1"/>
            <w:r w:rsidRPr="0083262E">
              <w:rPr>
                <w:sz w:val="20"/>
              </w:rPr>
              <w:fldChar w:fldCharType="begin">
                <w:ffData>
                  <w:name w:val="ПолеСоСписком1"/>
                  <w:enabled/>
                  <w:calcOnExit w:val="0"/>
                  <w:ddList>
                    <w:listEntry w:val="General"/>
                    <w:listEntry w:val="Limited"/>
                    <w:listEntry w:val="Restricted"/>
                  </w:ddList>
                </w:ffData>
              </w:fldChar>
            </w:r>
            <w:r w:rsidRPr="0083262E">
              <w:rPr>
                <w:sz w:val="20"/>
              </w:rPr>
              <w:instrText xml:space="preserve"> FORMDROPDOWN </w:instrText>
            </w:r>
            <w:r w:rsidRPr="0083262E">
              <w:rPr>
                <w:sz w:val="20"/>
              </w:rPr>
            </w:r>
            <w:r w:rsidRPr="0083262E">
              <w:rPr>
                <w:sz w:val="20"/>
              </w:rPr>
              <w:fldChar w:fldCharType="end"/>
            </w:r>
            <w:bookmarkEnd w:id="0"/>
          </w:p>
          <w:p w:rsidR="00F90607" w:rsidRPr="0083262E" w:rsidRDefault="00F90607" w:rsidP="00A325A9">
            <w:pPr>
              <w:spacing w:before="0" w:after="0"/>
              <w:rPr>
                <w:sz w:val="20"/>
              </w:rPr>
            </w:pPr>
            <w:fldSimple w:instr=" FILLIN  &quot;Введите дату документа&quot; \* MERGEFORMAT ">
              <w:r w:rsidR="000D4DDF" w:rsidRPr="0083262E">
                <w:rPr>
                  <w:sz w:val="20"/>
                </w:rPr>
                <w:t>20 March 2014</w:t>
              </w:r>
            </w:fldSimple>
          </w:p>
          <w:p w:rsidR="00F90607" w:rsidRPr="0083262E" w:rsidRDefault="00F90607" w:rsidP="00A325A9">
            <w:pPr>
              <w:spacing w:before="0" w:after="0"/>
              <w:rPr>
                <w:sz w:val="20"/>
              </w:rPr>
            </w:pPr>
            <w:r w:rsidRPr="0083262E">
              <w:rPr>
                <w:sz w:val="20"/>
              </w:rPr>
              <w:t>Russian</w:t>
            </w:r>
          </w:p>
          <w:p w:rsidR="00F90607" w:rsidRPr="0083262E" w:rsidRDefault="00F90607" w:rsidP="00A325A9">
            <w:pPr>
              <w:spacing w:before="0" w:after="0"/>
              <w:rPr>
                <w:sz w:val="20"/>
              </w:rPr>
            </w:pPr>
            <w:r w:rsidRPr="0083262E">
              <w:rPr>
                <w:sz w:val="20"/>
              </w:rPr>
              <w:t xml:space="preserve">Original: </w:t>
            </w:r>
            <w:bookmarkStart w:id="1" w:name="ПолеСоСписком2"/>
            <w:r w:rsidRPr="0083262E">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3262E">
              <w:rPr>
                <w:sz w:val="20"/>
              </w:rPr>
              <w:instrText xml:space="preserve"> FORMDROPDOWN </w:instrText>
            </w:r>
            <w:r w:rsidRPr="0083262E">
              <w:rPr>
                <w:sz w:val="20"/>
              </w:rPr>
            </w:r>
            <w:r w:rsidRPr="0083262E">
              <w:rPr>
                <w:sz w:val="20"/>
              </w:rPr>
              <w:fldChar w:fldCharType="end"/>
            </w:r>
            <w:bookmarkEnd w:id="1"/>
          </w:p>
          <w:p w:rsidR="00F90607" w:rsidRPr="0083262E" w:rsidRDefault="00F90607" w:rsidP="00A325A9"/>
        </w:tc>
      </w:tr>
    </w:tbl>
    <w:p w:rsidR="000D4DDF" w:rsidRPr="0083262E" w:rsidRDefault="000D4DDF" w:rsidP="00AE0EA7">
      <w:pPr>
        <w:spacing w:before="120" w:line="240" w:lineRule="exact"/>
        <w:rPr>
          <w:b/>
          <w:sz w:val="24"/>
        </w:rPr>
      </w:pPr>
      <w:r w:rsidRPr="0083262E">
        <w:rPr>
          <w:b/>
          <w:sz w:val="24"/>
        </w:rPr>
        <w:t>Комитет против пыток</w:t>
      </w:r>
    </w:p>
    <w:p w:rsidR="000D4DDF" w:rsidRPr="00AE0EA7" w:rsidRDefault="000D4DDF" w:rsidP="00F816B3">
      <w:pPr>
        <w:spacing w:line="240" w:lineRule="exact"/>
        <w:rPr>
          <w:b/>
        </w:rPr>
      </w:pPr>
      <w:r w:rsidRPr="00AE0EA7">
        <w:rPr>
          <w:b/>
        </w:rPr>
        <w:t>Пятьдесят вторая сессия</w:t>
      </w:r>
    </w:p>
    <w:p w:rsidR="000D4DDF" w:rsidRPr="00AE0EA7" w:rsidRDefault="000D4DDF" w:rsidP="00AE0EA7">
      <w:pPr>
        <w:spacing w:line="240" w:lineRule="exact"/>
      </w:pPr>
      <w:r w:rsidRPr="00AE0EA7">
        <w:t>28 апреля − 23 мая 2014 года</w:t>
      </w:r>
    </w:p>
    <w:p w:rsidR="000D4DDF" w:rsidRPr="00AE0EA7" w:rsidRDefault="000D4DDF" w:rsidP="00AE0EA7">
      <w:pPr>
        <w:spacing w:line="240" w:lineRule="exact"/>
      </w:pPr>
      <w:r w:rsidRPr="00AE0EA7">
        <w:t>Пункт 5 предварительной повестки дня</w:t>
      </w:r>
    </w:p>
    <w:p w:rsidR="000D4DDF" w:rsidRPr="00AE0EA7" w:rsidRDefault="000D4DDF" w:rsidP="00AE0EA7">
      <w:pPr>
        <w:spacing w:line="240" w:lineRule="exact"/>
        <w:rPr>
          <w:b/>
        </w:rPr>
      </w:pPr>
      <w:r w:rsidRPr="00AE0EA7">
        <w:rPr>
          <w:b/>
        </w:rPr>
        <w:t>Организационные и другие вопросы</w:t>
      </w:r>
    </w:p>
    <w:p w:rsidR="003E04F9" w:rsidRDefault="00AE0EA7" w:rsidP="003E04F9">
      <w:pPr>
        <w:pStyle w:val="HChGR"/>
      </w:pPr>
      <w:r>
        <w:tab/>
      </w:r>
      <w:r>
        <w:tab/>
      </w:r>
      <w:r w:rsidR="000D4DDF" w:rsidRPr="0083262E">
        <w:t>Седьмой ежегодный доклад Подкомитета по</w:t>
      </w:r>
      <w:r>
        <w:t> </w:t>
      </w:r>
      <w:r w:rsidR="000D4DDF" w:rsidRPr="0083262E">
        <w:t xml:space="preserve">предупреждению пыток и других жестоких, бесчеловечных или унижающих достоинство </w:t>
      </w:r>
      <w:r w:rsidR="00273BED">
        <w:br/>
      </w:r>
      <w:r w:rsidR="000D4DDF" w:rsidRPr="0083262E">
        <w:t>видов обращения и наказания</w:t>
      </w:r>
    </w:p>
    <w:p w:rsidR="003E04F9" w:rsidRPr="003E04F9" w:rsidRDefault="003E04F9" w:rsidP="003E04F9">
      <w:pPr>
        <w:rPr>
          <w:lang w:eastAsia="ru-RU"/>
        </w:rPr>
      </w:pPr>
    </w:p>
    <w:tbl>
      <w:tblPr>
        <w:tblStyle w:val="TableGrid"/>
        <w:tblW w:w="0" w:type="auto"/>
        <w:tblBorders>
          <w:left w:val="single" w:sz="4" w:space="0" w:color="auto"/>
          <w:right w:val="single" w:sz="4" w:space="0" w:color="auto"/>
          <w:insideV w:val="single" w:sz="4" w:space="0" w:color="auto"/>
        </w:tblBorders>
        <w:tblLook w:val="01E0"/>
      </w:tblPr>
      <w:tblGrid>
        <w:gridCol w:w="9855"/>
      </w:tblGrid>
      <w:tr w:rsidR="000D4DDF" w:rsidRPr="0083262E" w:rsidTr="003F374B">
        <w:trPr>
          <w:cnfStyle w:val="100000000000"/>
        </w:trPr>
        <w:tc>
          <w:tcPr>
            <w:tcW w:w="9855" w:type="dxa"/>
            <w:shd w:val="clear" w:color="auto" w:fill="auto"/>
          </w:tcPr>
          <w:p w:rsidR="000D4DDF" w:rsidRPr="0083262E" w:rsidRDefault="000D4DDF" w:rsidP="003F374B">
            <w:pPr>
              <w:suppressAutoHyphens/>
              <w:spacing w:before="240" w:after="120"/>
              <w:ind w:left="255"/>
              <w:rPr>
                <w:i/>
                <w:sz w:val="24"/>
              </w:rPr>
            </w:pPr>
            <w:r w:rsidRPr="0083262E">
              <w:rPr>
                <w:i/>
                <w:sz w:val="24"/>
              </w:rPr>
              <w:t>Резюме</w:t>
            </w:r>
          </w:p>
        </w:tc>
      </w:tr>
      <w:tr w:rsidR="000D4DDF" w:rsidRPr="0083262E" w:rsidTr="003F374B">
        <w:tc>
          <w:tcPr>
            <w:tcW w:w="9855" w:type="dxa"/>
            <w:shd w:val="clear" w:color="auto" w:fill="auto"/>
          </w:tcPr>
          <w:p w:rsidR="000D4DDF" w:rsidRPr="005B01EC" w:rsidRDefault="000D4DDF" w:rsidP="003E04F9">
            <w:pPr>
              <w:pStyle w:val="SingleTxtGR"/>
              <w:rPr>
                <w:sz w:val="20"/>
              </w:rPr>
            </w:pPr>
            <w:r w:rsidRPr="005B01EC">
              <w:rPr>
                <w:sz w:val="20"/>
              </w:rPr>
              <w:tab/>
              <w:t>Седьмой ежегодный доклад Подкомитета по предупреждению пыток и других жестоких, бесчеловечных или унижающих достоинство видов обращ</w:t>
            </w:r>
            <w:r w:rsidRPr="005B01EC">
              <w:rPr>
                <w:sz w:val="20"/>
              </w:rPr>
              <w:t>е</w:t>
            </w:r>
            <w:r w:rsidRPr="005B01EC">
              <w:rPr>
                <w:sz w:val="20"/>
              </w:rPr>
              <w:t>ния и наказания охватывает работу Комитета в 2013 году.</w:t>
            </w:r>
          </w:p>
        </w:tc>
      </w:tr>
      <w:tr w:rsidR="000D4DDF" w:rsidRPr="0083262E" w:rsidTr="003F374B">
        <w:tc>
          <w:tcPr>
            <w:tcW w:w="9855" w:type="dxa"/>
            <w:shd w:val="clear" w:color="auto" w:fill="auto"/>
          </w:tcPr>
          <w:p w:rsidR="000D4DDF" w:rsidRPr="005B01EC" w:rsidRDefault="000D4DDF" w:rsidP="003E04F9">
            <w:pPr>
              <w:pStyle w:val="SingleTxtGR"/>
              <w:rPr>
                <w:sz w:val="20"/>
              </w:rPr>
            </w:pPr>
            <w:r w:rsidRPr="005B01EC">
              <w:rPr>
                <w:sz w:val="20"/>
              </w:rPr>
              <w:tab/>
              <w:t>После краткого введения в разделе II приводится фактическая обновле</w:t>
            </w:r>
            <w:r w:rsidRPr="005B01EC">
              <w:rPr>
                <w:sz w:val="20"/>
              </w:rPr>
              <w:t>н</w:t>
            </w:r>
            <w:r w:rsidRPr="005B01EC">
              <w:rPr>
                <w:sz w:val="20"/>
              </w:rPr>
              <w:t>ная информация о подвижках, связанных с системой Факультативного проток</w:t>
            </w:r>
            <w:r w:rsidRPr="005B01EC">
              <w:rPr>
                <w:sz w:val="20"/>
              </w:rPr>
              <w:t>о</w:t>
            </w:r>
            <w:r w:rsidRPr="005B01EC">
              <w:rPr>
                <w:sz w:val="20"/>
              </w:rPr>
              <w:t>ла к Конвенции против пыток, включая увеличение числа государств-участников и назначенных национальных превентивных механизмов, а также содержатся данные, касающиеся функционирования Специального фонда, у</w:t>
            </w:r>
            <w:r w:rsidRPr="005B01EC">
              <w:rPr>
                <w:sz w:val="20"/>
              </w:rPr>
              <w:t>ч</w:t>
            </w:r>
            <w:r w:rsidRPr="005B01EC">
              <w:rPr>
                <w:sz w:val="20"/>
              </w:rPr>
              <w:t>режденного в соответствии с Факультативным пр</w:t>
            </w:r>
            <w:r w:rsidRPr="005B01EC">
              <w:rPr>
                <w:sz w:val="20"/>
              </w:rPr>
              <w:t>о</w:t>
            </w:r>
            <w:r w:rsidRPr="005B01EC">
              <w:rPr>
                <w:sz w:val="20"/>
              </w:rPr>
              <w:t>токолом.</w:t>
            </w:r>
          </w:p>
        </w:tc>
      </w:tr>
      <w:tr w:rsidR="000D4DDF" w:rsidRPr="0083262E" w:rsidTr="003F374B">
        <w:tc>
          <w:tcPr>
            <w:tcW w:w="9855" w:type="dxa"/>
            <w:shd w:val="clear" w:color="auto" w:fill="auto"/>
          </w:tcPr>
          <w:p w:rsidR="000D4DDF" w:rsidRPr="005B01EC" w:rsidRDefault="000D4DDF" w:rsidP="003E04F9">
            <w:pPr>
              <w:pStyle w:val="SingleTxtGR"/>
              <w:rPr>
                <w:sz w:val="20"/>
              </w:rPr>
            </w:pPr>
            <w:r w:rsidRPr="005B01EC">
              <w:rPr>
                <w:sz w:val="20"/>
              </w:rPr>
              <w:tab/>
              <w:t>В разделе III рассматриваются области сотрудничества между Подком</w:t>
            </w:r>
            <w:r w:rsidRPr="005B01EC">
              <w:rPr>
                <w:sz w:val="20"/>
              </w:rPr>
              <w:t>и</w:t>
            </w:r>
            <w:r w:rsidRPr="005B01EC">
              <w:rPr>
                <w:sz w:val="20"/>
              </w:rPr>
              <w:t>тетом и другими международными и региональными органами и гражданским обществом и п</w:t>
            </w:r>
            <w:r w:rsidRPr="005B01EC">
              <w:rPr>
                <w:sz w:val="20"/>
              </w:rPr>
              <w:t>о</w:t>
            </w:r>
            <w:r w:rsidRPr="005B01EC">
              <w:rPr>
                <w:sz w:val="20"/>
              </w:rPr>
              <w:t>дытоживается проделанная ими совместная работа.</w:t>
            </w:r>
          </w:p>
        </w:tc>
      </w:tr>
      <w:tr w:rsidR="000D4DDF" w:rsidRPr="0083262E" w:rsidTr="00904C6D">
        <w:tc>
          <w:tcPr>
            <w:tcW w:w="9855" w:type="dxa"/>
            <w:tcBorders>
              <w:bottom w:val="nil"/>
            </w:tcBorders>
            <w:shd w:val="clear" w:color="auto" w:fill="auto"/>
          </w:tcPr>
          <w:p w:rsidR="000D4DDF" w:rsidRPr="005B01EC" w:rsidRDefault="000D4DDF" w:rsidP="003E04F9">
            <w:pPr>
              <w:pStyle w:val="SingleTxtGR"/>
              <w:rPr>
                <w:sz w:val="20"/>
              </w:rPr>
            </w:pPr>
            <w:r w:rsidRPr="005B01EC">
              <w:rPr>
                <w:sz w:val="20"/>
              </w:rPr>
              <w:tab/>
              <w:t>В разделе IV представлена основная информация в отношении изменений в практических методах работы Комитета и излагаются некоторые предвар</w:t>
            </w:r>
            <w:r w:rsidRPr="005B01EC">
              <w:rPr>
                <w:sz w:val="20"/>
              </w:rPr>
              <w:t>и</w:t>
            </w:r>
            <w:r w:rsidRPr="005B01EC">
              <w:rPr>
                <w:sz w:val="20"/>
              </w:rPr>
              <w:t>тельные выводы по ряду вопросов существа, в том числе применительно к М</w:t>
            </w:r>
            <w:r w:rsidRPr="005B01EC">
              <w:rPr>
                <w:sz w:val="20"/>
              </w:rPr>
              <w:t>и</w:t>
            </w:r>
            <w:r w:rsidRPr="005B01EC">
              <w:rPr>
                <w:sz w:val="20"/>
              </w:rPr>
              <w:t>нимальным стандартным правилам обращения с заключенными, и вопросам, имеющим отношение к репрессал</w:t>
            </w:r>
            <w:r w:rsidRPr="005B01EC">
              <w:rPr>
                <w:sz w:val="20"/>
              </w:rPr>
              <w:t>и</w:t>
            </w:r>
            <w:r w:rsidRPr="005B01EC">
              <w:rPr>
                <w:sz w:val="20"/>
              </w:rPr>
              <w:t xml:space="preserve">ям. </w:t>
            </w:r>
          </w:p>
        </w:tc>
      </w:tr>
      <w:tr w:rsidR="000D4DDF" w:rsidRPr="0083262E" w:rsidTr="00904C6D">
        <w:tc>
          <w:tcPr>
            <w:tcW w:w="9855" w:type="dxa"/>
            <w:tcBorders>
              <w:top w:val="nil"/>
              <w:left w:val="single" w:sz="4" w:space="0" w:color="auto"/>
              <w:bottom w:val="nil"/>
              <w:right w:val="single" w:sz="4" w:space="0" w:color="auto"/>
            </w:tcBorders>
            <w:shd w:val="clear" w:color="auto" w:fill="auto"/>
          </w:tcPr>
          <w:p w:rsidR="000D4DDF" w:rsidRPr="005B01EC" w:rsidRDefault="000D4DDF" w:rsidP="006102C2">
            <w:pPr>
              <w:pStyle w:val="SingleTxtGR"/>
              <w:pageBreakBefore/>
              <w:rPr>
                <w:sz w:val="20"/>
              </w:rPr>
            </w:pPr>
            <w:r w:rsidRPr="005B01EC">
              <w:rPr>
                <w:sz w:val="20"/>
              </w:rPr>
              <w:tab/>
              <w:t>В разделе V излагаются мнения Подкомитета по поводу взаимосвязи м</w:t>
            </w:r>
            <w:r w:rsidRPr="005B01EC">
              <w:rPr>
                <w:sz w:val="20"/>
              </w:rPr>
              <w:t>е</w:t>
            </w:r>
            <w:r w:rsidRPr="005B01EC">
              <w:rPr>
                <w:sz w:val="20"/>
              </w:rPr>
              <w:t>жду пр</w:t>
            </w:r>
            <w:r w:rsidRPr="005B01EC">
              <w:rPr>
                <w:sz w:val="20"/>
              </w:rPr>
              <w:t>е</w:t>
            </w:r>
            <w:r w:rsidRPr="005B01EC">
              <w:rPr>
                <w:sz w:val="20"/>
              </w:rPr>
              <w:t>дупреждением пыток и коррупцией.</w:t>
            </w:r>
          </w:p>
        </w:tc>
      </w:tr>
      <w:tr w:rsidR="000D4DDF" w:rsidRPr="0083262E" w:rsidTr="00904C6D">
        <w:tc>
          <w:tcPr>
            <w:tcW w:w="9855" w:type="dxa"/>
            <w:tcBorders>
              <w:top w:val="nil"/>
            </w:tcBorders>
            <w:shd w:val="clear" w:color="auto" w:fill="auto"/>
          </w:tcPr>
          <w:p w:rsidR="000D4DDF" w:rsidRPr="0083262E" w:rsidRDefault="000D4DDF" w:rsidP="003E04F9">
            <w:pPr>
              <w:pStyle w:val="SingleTxtGR"/>
            </w:pPr>
            <w:r w:rsidRPr="0083262E">
              <w:tab/>
              <w:t>В разделе VI анализируются программа работы Подкомитета на 2014 год и пра</w:t>
            </w:r>
            <w:r w:rsidRPr="0083262E">
              <w:t>к</w:t>
            </w:r>
            <w:r w:rsidRPr="0083262E">
              <w:t>тические проблемы, подлежащие решению с целью дальнейшего развития и соверше</w:t>
            </w:r>
            <w:r w:rsidRPr="0083262E">
              <w:t>н</w:t>
            </w:r>
            <w:r w:rsidRPr="0083262E">
              <w:t>ствования работы Подкомитета.</w:t>
            </w:r>
          </w:p>
        </w:tc>
      </w:tr>
      <w:tr w:rsidR="000D4DDF" w:rsidRPr="0083262E" w:rsidTr="003F374B">
        <w:tc>
          <w:tcPr>
            <w:tcW w:w="9855" w:type="dxa"/>
            <w:shd w:val="clear" w:color="auto" w:fill="auto"/>
          </w:tcPr>
          <w:p w:rsidR="000D4DDF" w:rsidRPr="0083262E" w:rsidRDefault="000D4DDF" w:rsidP="003F374B"/>
        </w:tc>
      </w:tr>
    </w:tbl>
    <w:p w:rsidR="000D4DDF" w:rsidRPr="0083262E" w:rsidRDefault="000D4DDF" w:rsidP="003F374B"/>
    <w:p w:rsidR="00C33267" w:rsidRPr="0083262E" w:rsidRDefault="000D4DDF" w:rsidP="00BC454F">
      <w:pPr>
        <w:tabs>
          <w:tab w:val="right" w:pos="8929"/>
          <w:tab w:val="right" w:pos="9638"/>
        </w:tabs>
        <w:suppressAutoHyphens/>
        <w:spacing w:after="80"/>
        <w:rPr>
          <w:sz w:val="28"/>
        </w:rPr>
      </w:pPr>
      <w:r w:rsidRPr="0083262E">
        <w:br w:type="page"/>
      </w:r>
      <w:r w:rsidR="00C33267" w:rsidRPr="0083262E">
        <w:rPr>
          <w:sz w:val="28"/>
        </w:rPr>
        <w:t>Содержание</w:t>
      </w:r>
    </w:p>
    <w:p w:rsidR="00C33267" w:rsidRPr="0083262E" w:rsidRDefault="00C33267" w:rsidP="00C33267">
      <w:pPr>
        <w:tabs>
          <w:tab w:val="right" w:pos="8929"/>
          <w:tab w:val="right" w:pos="9638"/>
        </w:tabs>
        <w:suppressAutoHyphens/>
        <w:spacing w:after="120"/>
        <w:ind w:left="283"/>
      </w:pPr>
      <w:r w:rsidRPr="0083262E">
        <w:rPr>
          <w:i/>
          <w:sz w:val="18"/>
        </w:rPr>
        <w:tab/>
        <w:t>Пункты</w:t>
      </w:r>
      <w:r w:rsidRPr="0083262E">
        <w:rPr>
          <w:i/>
          <w:sz w:val="18"/>
        </w:rPr>
        <w:tab/>
        <w:t>Стр.</w:t>
      </w:r>
    </w:p>
    <w:p w:rsidR="001D5D08" w:rsidRDefault="00C33267" w:rsidP="00BC454F">
      <w:pPr>
        <w:tabs>
          <w:tab w:val="right" w:pos="850"/>
          <w:tab w:val="left" w:pos="1134"/>
          <w:tab w:val="left" w:pos="1559"/>
          <w:tab w:val="left" w:pos="1984"/>
          <w:tab w:val="left" w:leader="dot" w:pos="7654"/>
          <w:tab w:val="right" w:pos="8929"/>
          <w:tab w:val="right" w:pos="9638"/>
        </w:tabs>
        <w:suppressAutoHyphens/>
        <w:spacing w:after="100"/>
        <w:rPr>
          <w:lang w:val="en-US"/>
        </w:rPr>
      </w:pPr>
      <w:r w:rsidRPr="0083262E">
        <w:tab/>
        <w:t>I.</w:t>
      </w:r>
      <w:r w:rsidRPr="0083262E">
        <w:tab/>
        <w:t>Введение</w:t>
      </w:r>
      <w:r w:rsidRPr="0083262E">
        <w:tab/>
      </w:r>
      <w:r w:rsidRPr="0083262E">
        <w:tab/>
      </w:r>
      <w:r w:rsidR="00B86431" w:rsidRPr="0083262E">
        <w:t>1</w:t>
      </w:r>
      <w:r w:rsidR="00730293">
        <w:rPr>
          <w:lang w:val="en-US"/>
        </w:rPr>
        <w:tab/>
        <w:t>4</w:t>
      </w:r>
    </w:p>
    <w:p w:rsidR="000D4DDF" w:rsidRPr="0083262E" w:rsidRDefault="00C33267" w:rsidP="00BC454F">
      <w:pPr>
        <w:tabs>
          <w:tab w:val="right" w:pos="850"/>
          <w:tab w:val="left" w:pos="1134"/>
          <w:tab w:val="left" w:pos="1559"/>
          <w:tab w:val="left" w:pos="1984"/>
          <w:tab w:val="left" w:leader="dot" w:pos="7654"/>
          <w:tab w:val="right" w:pos="8929"/>
          <w:tab w:val="right" w:pos="9638"/>
        </w:tabs>
        <w:suppressAutoHyphens/>
        <w:spacing w:after="100"/>
      </w:pPr>
      <w:r w:rsidRPr="0083262E">
        <w:tab/>
      </w:r>
      <w:r w:rsidRPr="0083262E">
        <w:tab/>
        <w:t>II.</w:t>
      </w:r>
      <w:r w:rsidRPr="0083262E">
        <w:tab/>
        <w:t>Обзор истекшего года</w:t>
      </w:r>
      <w:r w:rsidRPr="0083262E">
        <w:tab/>
      </w:r>
      <w:r w:rsidRPr="0083262E">
        <w:tab/>
      </w:r>
      <w:r w:rsidR="00B86431" w:rsidRPr="0083262E">
        <w:t>2−32</w:t>
      </w:r>
      <w:r w:rsidR="00730293">
        <w:tab/>
        <w:t>4</w:t>
      </w:r>
    </w:p>
    <w:p w:rsidR="00C33267" w:rsidRPr="0083262E" w:rsidRDefault="00C33267" w:rsidP="00BC454F">
      <w:pPr>
        <w:tabs>
          <w:tab w:val="right" w:pos="850"/>
          <w:tab w:val="left" w:pos="1134"/>
          <w:tab w:val="left" w:pos="1559"/>
          <w:tab w:val="left" w:pos="1984"/>
          <w:tab w:val="left" w:leader="dot" w:pos="7654"/>
          <w:tab w:val="right" w:pos="8929"/>
          <w:tab w:val="right" w:pos="9638"/>
        </w:tabs>
        <w:suppressAutoHyphens/>
        <w:spacing w:after="100"/>
      </w:pPr>
      <w:r w:rsidRPr="0083262E">
        <w:tab/>
      </w:r>
      <w:r w:rsidR="00B86431" w:rsidRPr="0083262E">
        <w:tab/>
        <w:t>А.</w:t>
      </w:r>
      <w:r w:rsidR="00B86431" w:rsidRPr="0083262E">
        <w:tab/>
        <w:t>Участие в системе Факультативного протокола</w:t>
      </w:r>
      <w:r w:rsidR="00B86431" w:rsidRPr="0083262E">
        <w:tab/>
      </w:r>
      <w:r w:rsidR="00B86431" w:rsidRPr="0083262E">
        <w:tab/>
        <w:t>2−4</w:t>
      </w:r>
      <w:r w:rsidR="00730293">
        <w:tab/>
        <w:t>4</w:t>
      </w:r>
    </w:p>
    <w:p w:rsidR="00B86431" w:rsidRDefault="00B86431" w:rsidP="00BC454F">
      <w:pPr>
        <w:tabs>
          <w:tab w:val="right" w:pos="850"/>
          <w:tab w:val="left" w:pos="1134"/>
          <w:tab w:val="left" w:pos="1559"/>
          <w:tab w:val="left" w:pos="1984"/>
          <w:tab w:val="left" w:leader="dot" w:pos="7654"/>
          <w:tab w:val="right" w:pos="8929"/>
          <w:tab w:val="right" w:pos="9638"/>
        </w:tabs>
        <w:suppressAutoHyphens/>
        <w:spacing w:after="100"/>
      </w:pPr>
      <w:r w:rsidRPr="0083262E">
        <w:tab/>
      </w:r>
      <w:r w:rsidRPr="0083262E">
        <w:tab/>
        <w:t>В.</w:t>
      </w:r>
      <w:r w:rsidRPr="0083262E">
        <w:tab/>
        <w:t>Организационные вопросы</w:t>
      </w:r>
      <w:r w:rsidR="0098496A">
        <w:t xml:space="preserve"> и вопросы членского состава</w:t>
      </w:r>
      <w:r w:rsidRPr="0083262E">
        <w:tab/>
      </w:r>
      <w:r w:rsidRPr="0083262E">
        <w:tab/>
        <w:t>5−10</w:t>
      </w:r>
      <w:r w:rsidR="00730293">
        <w:tab/>
        <w:t>5</w:t>
      </w:r>
    </w:p>
    <w:p w:rsidR="006102C2" w:rsidRDefault="006102C2" w:rsidP="00BC454F">
      <w:pPr>
        <w:tabs>
          <w:tab w:val="right" w:pos="850"/>
          <w:tab w:val="left" w:pos="1134"/>
          <w:tab w:val="left" w:pos="1559"/>
          <w:tab w:val="left" w:pos="1984"/>
          <w:tab w:val="left" w:leader="dot" w:pos="7654"/>
          <w:tab w:val="right" w:pos="8929"/>
          <w:tab w:val="right" w:pos="9638"/>
        </w:tabs>
        <w:suppressAutoHyphens/>
        <w:spacing w:after="100"/>
      </w:pPr>
      <w:r>
        <w:tab/>
      </w:r>
      <w:r>
        <w:tab/>
        <w:t>С.</w:t>
      </w:r>
      <w:r>
        <w:tab/>
        <w:t>Посещения, проведенные за отчетный период</w:t>
      </w:r>
      <w:r>
        <w:tab/>
      </w:r>
      <w:r>
        <w:tab/>
        <w:t>11−15</w:t>
      </w:r>
      <w:r>
        <w:tab/>
      </w:r>
      <w:r w:rsidR="00730293">
        <w:t>6</w:t>
      </w:r>
    </w:p>
    <w:p w:rsidR="006102C2" w:rsidRDefault="006102C2" w:rsidP="00BC454F">
      <w:pPr>
        <w:tabs>
          <w:tab w:val="right" w:pos="850"/>
          <w:tab w:val="left" w:pos="1134"/>
          <w:tab w:val="left" w:pos="1559"/>
          <w:tab w:val="left" w:pos="1984"/>
          <w:tab w:val="left" w:leader="dot" w:pos="7654"/>
          <w:tab w:val="right" w:pos="8929"/>
          <w:tab w:val="right" w:pos="9638"/>
        </w:tabs>
        <w:suppressAutoHyphens/>
        <w:spacing w:after="100"/>
      </w:pPr>
      <w:r>
        <w:tab/>
      </w:r>
      <w:r>
        <w:tab/>
      </w:r>
      <w:r>
        <w:rPr>
          <w:lang w:val="en-US"/>
        </w:rPr>
        <w:t>D</w:t>
      </w:r>
      <w:r>
        <w:t>.</w:t>
      </w:r>
      <w:r>
        <w:tab/>
        <w:t>Диалог в связи с посещениями, включая публикацию докладов</w:t>
      </w:r>
      <w:r>
        <w:br/>
      </w:r>
      <w:r>
        <w:tab/>
      </w:r>
      <w:r>
        <w:tab/>
      </w:r>
      <w:r>
        <w:tab/>
        <w:t>Подкомитета государствами-участниками и национальными</w:t>
      </w:r>
      <w:r>
        <w:br/>
      </w:r>
      <w:r>
        <w:tab/>
      </w:r>
      <w:r>
        <w:tab/>
      </w:r>
      <w:r>
        <w:tab/>
        <w:t>превентивными механизмами</w:t>
      </w:r>
      <w:r>
        <w:tab/>
      </w:r>
      <w:r>
        <w:tab/>
        <w:t>16−20</w:t>
      </w:r>
      <w:r>
        <w:tab/>
      </w:r>
      <w:r w:rsidR="00730293">
        <w:t>6</w:t>
      </w:r>
    </w:p>
    <w:p w:rsidR="006102C2" w:rsidRDefault="006102C2" w:rsidP="00BC454F">
      <w:pPr>
        <w:tabs>
          <w:tab w:val="right" w:pos="850"/>
          <w:tab w:val="left" w:pos="1134"/>
          <w:tab w:val="left" w:pos="1559"/>
          <w:tab w:val="left" w:pos="1984"/>
          <w:tab w:val="left" w:leader="dot" w:pos="7654"/>
          <w:tab w:val="right" w:pos="8929"/>
          <w:tab w:val="right" w:pos="9638"/>
        </w:tabs>
        <w:suppressAutoHyphens/>
        <w:spacing w:after="100"/>
      </w:pPr>
      <w:r>
        <w:tab/>
      </w:r>
      <w:r w:rsidR="006457B6">
        <w:tab/>
        <w:t>Е.</w:t>
      </w:r>
      <w:r w:rsidR="006457B6">
        <w:tab/>
        <w:t>Подвижки в деле создания национальных превентивных</w:t>
      </w:r>
      <w:r w:rsidR="006457B6">
        <w:br/>
      </w:r>
      <w:r w:rsidR="006457B6">
        <w:tab/>
      </w:r>
      <w:r w:rsidR="006457B6">
        <w:tab/>
      </w:r>
      <w:r w:rsidR="006457B6">
        <w:tab/>
        <w:t>механизмов</w:t>
      </w:r>
      <w:r w:rsidR="006457B6">
        <w:tab/>
      </w:r>
      <w:r w:rsidR="006457B6">
        <w:tab/>
        <w:t>21−28</w:t>
      </w:r>
      <w:r w:rsidR="006457B6">
        <w:tab/>
      </w:r>
      <w:r w:rsidR="00730293">
        <w:t>7</w:t>
      </w:r>
    </w:p>
    <w:p w:rsidR="006457B6" w:rsidRDefault="006457B6" w:rsidP="00BC454F">
      <w:pPr>
        <w:tabs>
          <w:tab w:val="right" w:pos="850"/>
          <w:tab w:val="left" w:pos="1134"/>
          <w:tab w:val="left" w:pos="1559"/>
          <w:tab w:val="left" w:pos="1984"/>
          <w:tab w:val="left" w:leader="dot" w:pos="7654"/>
          <w:tab w:val="right" w:pos="8929"/>
          <w:tab w:val="right" w:pos="9638"/>
        </w:tabs>
        <w:suppressAutoHyphens/>
        <w:spacing w:after="100"/>
      </w:pPr>
      <w:r>
        <w:tab/>
      </w:r>
      <w:r>
        <w:tab/>
      </w:r>
      <w:r>
        <w:rPr>
          <w:lang w:val="en-US"/>
        </w:rPr>
        <w:t>F</w:t>
      </w:r>
      <w:r>
        <w:t>.</w:t>
      </w:r>
      <w:r>
        <w:tab/>
        <w:t>Специальный фонд, созданный согласно статье 26</w:t>
      </w:r>
      <w:r>
        <w:br/>
      </w:r>
      <w:r>
        <w:tab/>
      </w:r>
      <w:r>
        <w:tab/>
      </w:r>
      <w:r>
        <w:tab/>
        <w:t>Факультативного протокола</w:t>
      </w:r>
      <w:r>
        <w:tab/>
      </w:r>
      <w:r>
        <w:tab/>
        <w:t>29−32</w:t>
      </w:r>
      <w:r>
        <w:tab/>
      </w:r>
      <w:r w:rsidR="00730293">
        <w:t>10</w:t>
      </w:r>
    </w:p>
    <w:p w:rsidR="006457B6" w:rsidRDefault="006457B6" w:rsidP="00BC454F">
      <w:pPr>
        <w:tabs>
          <w:tab w:val="right" w:pos="850"/>
          <w:tab w:val="left" w:pos="1134"/>
          <w:tab w:val="left" w:pos="1559"/>
          <w:tab w:val="left" w:leader="dot" w:pos="7654"/>
          <w:tab w:val="right" w:pos="8929"/>
          <w:tab w:val="right" w:pos="9638"/>
        </w:tabs>
        <w:suppressAutoHyphens/>
        <w:spacing w:after="100"/>
      </w:pPr>
      <w:r>
        <w:tab/>
        <w:t>III.</w:t>
      </w:r>
      <w:r>
        <w:tab/>
        <w:t>Взаимодействие с другими органами в области предупреждения</w:t>
      </w:r>
      <w:r>
        <w:br/>
      </w:r>
      <w:r>
        <w:tab/>
      </w:r>
      <w:r>
        <w:tab/>
        <w:t>пыток</w:t>
      </w:r>
      <w:r>
        <w:tab/>
      </w:r>
      <w:r>
        <w:tab/>
        <w:t>33−41</w:t>
      </w:r>
      <w:r>
        <w:tab/>
      </w:r>
      <w:r w:rsidR="00730293">
        <w:t>11</w:t>
      </w:r>
    </w:p>
    <w:p w:rsidR="006457B6" w:rsidRDefault="006457B6" w:rsidP="00BC454F">
      <w:pPr>
        <w:tabs>
          <w:tab w:val="right" w:pos="850"/>
          <w:tab w:val="left" w:pos="1134"/>
          <w:tab w:val="left" w:pos="1559"/>
          <w:tab w:val="left" w:leader="dot" w:pos="7654"/>
          <w:tab w:val="right" w:pos="8929"/>
          <w:tab w:val="right" w:pos="9638"/>
        </w:tabs>
        <w:suppressAutoHyphens/>
        <w:spacing w:after="100"/>
      </w:pPr>
      <w:r>
        <w:tab/>
      </w:r>
      <w:r>
        <w:tab/>
        <w:t>А.</w:t>
      </w:r>
      <w:r>
        <w:tab/>
        <w:t>Международное сотрудничество</w:t>
      </w:r>
      <w:r>
        <w:tab/>
      </w:r>
      <w:r>
        <w:tab/>
      </w:r>
      <w:r w:rsidR="00442ED2">
        <w:t>33−39</w:t>
      </w:r>
      <w:r w:rsidR="00442ED2">
        <w:tab/>
      </w:r>
      <w:r w:rsidR="00730293">
        <w:t>11</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r>
      <w:r>
        <w:tab/>
        <w:t>В.</w:t>
      </w:r>
      <w:r>
        <w:tab/>
        <w:t>Региональное сотрудничество</w:t>
      </w:r>
      <w:r>
        <w:tab/>
      </w:r>
      <w:r>
        <w:tab/>
        <w:t>40</w:t>
      </w:r>
      <w:r>
        <w:tab/>
      </w:r>
      <w:r w:rsidR="00730293">
        <w:t>12</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r>
      <w:r>
        <w:tab/>
        <w:t>С.</w:t>
      </w:r>
      <w:r>
        <w:tab/>
        <w:t>Гражданское общество</w:t>
      </w:r>
      <w:r>
        <w:tab/>
      </w:r>
      <w:r>
        <w:tab/>
        <w:t>41</w:t>
      </w:r>
      <w:r>
        <w:tab/>
      </w:r>
      <w:r w:rsidR="00730293">
        <w:t>12</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t>IV.</w:t>
      </w:r>
      <w:r>
        <w:tab/>
        <w:t>Заслуживающие внимания вопросы, которые возникли в связи</w:t>
      </w:r>
      <w:r>
        <w:br/>
      </w:r>
      <w:r>
        <w:tab/>
      </w:r>
      <w:r>
        <w:tab/>
        <w:t>с работой Подкомитета за обзорный период</w:t>
      </w:r>
      <w:r>
        <w:tab/>
      </w:r>
      <w:r>
        <w:tab/>
        <w:t>42−71</w:t>
      </w:r>
      <w:r>
        <w:tab/>
      </w:r>
      <w:r w:rsidR="00DB5746">
        <w:t>13</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r>
      <w:r>
        <w:tab/>
        <w:t>А.</w:t>
      </w:r>
      <w:r>
        <w:tab/>
        <w:t>Новый членский состав</w:t>
      </w:r>
      <w:r>
        <w:tab/>
      </w:r>
      <w:r>
        <w:tab/>
        <w:t>42−43</w:t>
      </w:r>
      <w:r>
        <w:tab/>
      </w:r>
      <w:r w:rsidR="00DB5746">
        <w:t>13</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r>
      <w:r>
        <w:tab/>
        <w:t>В.</w:t>
      </w:r>
      <w:r>
        <w:tab/>
        <w:t>Развитие практических методов работы</w:t>
      </w:r>
      <w:r>
        <w:tab/>
      </w:r>
      <w:r>
        <w:tab/>
        <w:t>44−71</w:t>
      </w:r>
      <w:r>
        <w:tab/>
      </w:r>
      <w:r w:rsidR="00DB5746">
        <w:t>13</w:t>
      </w:r>
    </w:p>
    <w:p w:rsidR="00442ED2" w:rsidRDefault="00442ED2" w:rsidP="00BC454F">
      <w:pPr>
        <w:tabs>
          <w:tab w:val="right" w:pos="850"/>
          <w:tab w:val="left" w:pos="1134"/>
          <w:tab w:val="left" w:pos="1559"/>
          <w:tab w:val="left" w:leader="dot" w:pos="7654"/>
          <w:tab w:val="right" w:pos="8929"/>
          <w:tab w:val="right" w:pos="9638"/>
        </w:tabs>
        <w:suppressAutoHyphens/>
        <w:spacing w:after="100"/>
      </w:pPr>
      <w:r>
        <w:tab/>
        <w:t>V.</w:t>
      </w:r>
      <w:r>
        <w:tab/>
      </w:r>
      <w:r w:rsidR="00FD5A3F">
        <w:t>Вопросы существа: коррупция и предупреждение пыток и другого</w:t>
      </w:r>
      <w:r w:rsidR="00FD5A3F">
        <w:br/>
      </w:r>
      <w:r w:rsidR="00FD5A3F">
        <w:tab/>
      </w:r>
      <w:r w:rsidR="00FD5A3F">
        <w:tab/>
        <w:t>неправомерного обращения</w:t>
      </w:r>
      <w:r w:rsidR="00FD5A3F">
        <w:tab/>
      </w:r>
      <w:r w:rsidR="00FD5A3F">
        <w:tab/>
        <w:t>72−100</w:t>
      </w:r>
      <w:r w:rsidR="00FD5A3F">
        <w:tab/>
      </w:r>
      <w:r w:rsidR="00DB5746">
        <w:t>19</w:t>
      </w:r>
    </w:p>
    <w:p w:rsidR="00FD5A3F" w:rsidRDefault="00FD5A3F" w:rsidP="00BC454F">
      <w:pPr>
        <w:tabs>
          <w:tab w:val="right" w:pos="850"/>
          <w:tab w:val="left" w:pos="1134"/>
          <w:tab w:val="left" w:pos="1559"/>
          <w:tab w:val="left" w:leader="dot" w:pos="7654"/>
          <w:tab w:val="right" w:pos="8929"/>
          <w:tab w:val="right" w:pos="9638"/>
        </w:tabs>
        <w:suppressAutoHyphens/>
        <w:spacing w:after="100"/>
      </w:pPr>
      <w:r>
        <w:tab/>
      </w:r>
      <w:r>
        <w:tab/>
        <w:t>А.</w:t>
      </w:r>
      <w:r>
        <w:tab/>
        <w:t>Введение</w:t>
      </w:r>
      <w:r>
        <w:tab/>
      </w:r>
      <w:r>
        <w:tab/>
        <w:t>72</w:t>
      </w:r>
      <w:r>
        <w:tab/>
      </w:r>
      <w:r w:rsidR="00DB5746">
        <w:t>19</w:t>
      </w:r>
    </w:p>
    <w:p w:rsidR="00FD5A3F" w:rsidRDefault="00FD5A3F" w:rsidP="00BC454F">
      <w:pPr>
        <w:tabs>
          <w:tab w:val="right" w:pos="850"/>
          <w:tab w:val="left" w:pos="1134"/>
          <w:tab w:val="left" w:pos="1559"/>
          <w:tab w:val="left" w:leader="dot" w:pos="7654"/>
          <w:tab w:val="right" w:pos="8929"/>
          <w:tab w:val="right" w:pos="9638"/>
        </w:tabs>
        <w:suppressAutoHyphens/>
        <w:spacing w:after="100"/>
      </w:pPr>
      <w:r>
        <w:tab/>
      </w:r>
      <w:r>
        <w:tab/>
        <w:t>В.</w:t>
      </w:r>
      <w:r>
        <w:tab/>
        <w:t>Определение коррупции</w:t>
      </w:r>
      <w:r>
        <w:tab/>
      </w:r>
      <w:r>
        <w:tab/>
        <w:t>73−75</w:t>
      </w:r>
      <w:r>
        <w:tab/>
      </w:r>
      <w:r w:rsidR="00DB5746">
        <w:t>19</w:t>
      </w:r>
    </w:p>
    <w:p w:rsidR="00FD5A3F" w:rsidRDefault="00FD5A3F" w:rsidP="00BC454F">
      <w:pPr>
        <w:tabs>
          <w:tab w:val="right" w:pos="850"/>
          <w:tab w:val="left" w:pos="1134"/>
          <w:tab w:val="left" w:pos="1559"/>
          <w:tab w:val="left" w:leader="dot" w:pos="7654"/>
          <w:tab w:val="right" w:pos="8929"/>
          <w:tab w:val="right" w:pos="9638"/>
        </w:tabs>
        <w:suppressAutoHyphens/>
        <w:spacing w:after="100"/>
      </w:pPr>
      <w:r>
        <w:tab/>
      </w:r>
      <w:r>
        <w:tab/>
        <w:t>С.</w:t>
      </w:r>
      <w:r>
        <w:tab/>
        <w:t>Более широкая связь между правами человека, демократией</w:t>
      </w:r>
      <w:r>
        <w:br/>
      </w:r>
      <w:r>
        <w:tab/>
      </w:r>
      <w:r>
        <w:tab/>
      </w:r>
      <w:r>
        <w:tab/>
        <w:t>с коррупцией</w:t>
      </w:r>
      <w:r>
        <w:tab/>
      </w:r>
      <w:r>
        <w:tab/>
        <w:t>76−79</w:t>
      </w:r>
      <w:r>
        <w:tab/>
      </w:r>
      <w:r w:rsidR="00DB5746">
        <w:t>20</w:t>
      </w:r>
    </w:p>
    <w:p w:rsidR="00FD5A3F" w:rsidRDefault="00FD5A3F" w:rsidP="00BC454F">
      <w:pPr>
        <w:tabs>
          <w:tab w:val="right" w:pos="850"/>
          <w:tab w:val="left" w:pos="1134"/>
          <w:tab w:val="left" w:pos="1559"/>
          <w:tab w:val="left" w:leader="dot" w:pos="7654"/>
          <w:tab w:val="right" w:pos="8929"/>
          <w:tab w:val="right" w:pos="9638"/>
        </w:tabs>
        <w:suppressAutoHyphens/>
        <w:spacing w:after="100"/>
      </w:pPr>
      <w:r>
        <w:tab/>
      </w:r>
      <w:r>
        <w:tab/>
      </w:r>
      <w:r>
        <w:rPr>
          <w:lang w:val="en-US"/>
        </w:rPr>
        <w:t>D</w:t>
      </w:r>
      <w:r>
        <w:t>.</w:t>
      </w:r>
      <w:r>
        <w:tab/>
        <w:t>Корреляция между коррупцией и пытками и неправомерным</w:t>
      </w:r>
      <w:r>
        <w:br/>
      </w:r>
      <w:r>
        <w:tab/>
      </w:r>
      <w:r>
        <w:tab/>
      </w:r>
      <w:r>
        <w:tab/>
        <w:t>обращением</w:t>
      </w:r>
      <w:r>
        <w:tab/>
      </w:r>
      <w:r>
        <w:tab/>
        <w:t>80−82</w:t>
      </w:r>
      <w:r w:rsidR="007E4828">
        <w:tab/>
      </w:r>
      <w:r w:rsidR="00DB5746">
        <w:t>21</w:t>
      </w:r>
    </w:p>
    <w:p w:rsidR="008319BC" w:rsidRDefault="008319BC" w:rsidP="00BC454F">
      <w:pPr>
        <w:tabs>
          <w:tab w:val="right" w:pos="850"/>
          <w:tab w:val="left" w:pos="1134"/>
          <w:tab w:val="left" w:pos="1559"/>
          <w:tab w:val="left" w:leader="dot" w:pos="7654"/>
          <w:tab w:val="right" w:pos="8929"/>
          <w:tab w:val="right" w:pos="9638"/>
        </w:tabs>
        <w:suppressAutoHyphens/>
        <w:spacing w:after="100"/>
      </w:pPr>
      <w:r>
        <w:tab/>
      </w:r>
      <w:r>
        <w:tab/>
        <w:t>Е.</w:t>
      </w:r>
      <w:r>
        <w:tab/>
        <w:t>Благодатная почва для процветания коррупции</w:t>
      </w:r>
      <w:r>
        <w:tab/>
      </w:r>
      <w:r>
        <w:tab/>
        <w:t>83−86</w:t>
      </w:r>
      <w:r>
        <w:tab/>
      </w:r>
      <w:r w:rsidR="00DB5746">
        <w:t>22</w:t>
      </w:r>
    </w:p>
    <w:p w:rsidR="008319BC" w:rsidRDefault="008319BC" w:rsidP="00BC454F">
      <w:pPr>
        <w:tabs>
          <w:tab w:val="right" w:pos="850"/>
          <w:tab w:val="left" w:pos="1134"/>
          <w:tab w:val="left" w:pos="1559"/>
          <w:tab w:val="left" w:leader="dot" w:pos="7654"/>
          <w:tab w:val="right" w:pos="8929"/>
          <w:tab w:val="right" w:pos="9638"/>
        </w:tabs>
        <w:suppressAutoHyphens/>
        <w:spacing w:after="100"/>
      </w:pPr>
      <w:r>
        <w:tab/>
      </w:r>
      <w:r>
        <w:tab/>
      </w:r>
      <w:r>
        <w:rPr>
          <w:lang w:val="en-US"/>
        </w:rPr>
        <w:t>F</w:t>
      </w:r>
      <w:r>
        <w:t>.</w:t>
      </w:r>
      <w:r>
        <w:tab/>
        <w:t xml:space="preserve">Конфликт и политические репрессии: важность </w:t>
      </w:r>
      <w:r>
        <w:br/>
      </w:r>
      <w:r>
        <w:tab/>
      </w:r>
      <w:r>
        <w:tab/>
      </w:r>
      <w:r>
        <w:tab/>
        <w:t>демократических принципов и верховенства права</w:t>
      </w:r>
      <w:r>
        <w:tab/>
      </w:r>
      <w:r>
        <w:tab/>
        <w:t>87−88</w:t>
      </w:r>
      <w:r>
        <w:tab/>
      </w:r>
      <w:r w:rsidR="00DB5746">
        <w:t>24</w:t>
      </w:r>
    </w:p>
    <w:p w:rsidR="008319BC" w:rsidRDefault="008319BC" w:rsidP="00BC454F">
      <w:pPr>
        <w:tabs>
          <w:tab w:val="right" w:pos="850"/>
          <w:tab w:val="left" w:pos="1134"/>
          <w:tab w:val="left" w:pos="1559"/>
          <w:tab w:val="left" w:leader="dot" w:pos="7654"/>
          <w:tab w:val="right" w:pos="8929"/>
          <w:tab w:val="right" w:pos="9638"/>
        </w:tabs>
        <w:suppressAutoHyphens/>
        <w:spacing w:after="100"/>
      </w:pPr>
      <w:r>
        <w:tab/>
      </w:r>
      <w:r>
        <w:tab/>
      </w:r>
      <w:r>
        <w:rPr>
          <w:lang w:val="en-US"/>
        </w:rPr>
        <w:t>G</w:t>
      </w:r>
      <w:r>
        <w:t>.</w:t>
      </w:r>
      <w:r>
        <w:tab/>
        <w:t>Мелкая коррупция</w:t>
      </w:r>
      <w:r>
        <w:tab/>
      </w:r>
      <w:r>
        <w:tab/>
        <w:t>89−93</w:t>
      </w:r>
      <w:r>
        <w:tab/>
      </w:r>
      <w:r w:rsidR="00DB5746">
        <w:t>24</w:t>
      </w:r>
    </w:p>
    <w:p w:rsidR="008319BC" w:rsidRDefault="008319BC" w:rsidP="00BC454F">
      <w:pPr>
        <w:tabs>
          <w:tab w:val="right" w:pos="850"/>
          <w:tab w:val="left" w:pos="1134"/>
          <w:tab w:val="left" w:pos="1559"/>
          <w:tab w:val="left" w:leader="dot" w:pos="7654"/>
          <w:tab w:val="right" w:pos="8929"/>
          <w:tab w:val="right" w:pos="9638"/>
        </w:tabs>
        <w:suppressAutoHyphens/>
        <w:spacing w:after="100"/>
      </w:pPr>
      <w:r>
        <w:tab/>
      </w:r>
      <w:r>
        <w:tab/>
      </w:r>
      <w:r w:rsidR="00D37226">
        <w:rPr>
          <w:lang w:val="en-US"/>
        </w:rPr>
        <w:t>H</w:t>
      </w:r>
      <w:r w:rsidR="00D37226">
        <w:t>.</w:t>
      </w:r>
      <w:r w:rsidR="00D37226">
        <w:tab/>
        <w:t xml:space="preserve">Опыт Подкомитета в деле решения проблемы мелкой </w:t>
      </w:r>
      <w:r w:rsidR="00D37226">
        <w:br/>
      </w:r>
      <w:r w:rsidR="00D37226">
        <w:tab/>
      </w:r>
      <w:r w:rsidR="00D37226">
        <w:tab/>
      </w:r>
      <w:r w:rsidR="00D37226">
        <w:tab/>
        <w:t>коррупции и пыток и неправомерного обращения</w:t>
      </w:r>
      <w:r w:rsidR="00D37226">
        <w:tab/>
      </w:r>
      <w:r w:rsidR="00D37226">
        <w:tab/>
        <w:t>94−97</w:t>
      </w:r>
      <w:r w:rsidR="00D37226">
        <w:tab/>
      </w:r>
      <w:r w:rsidR="00DB5746">
        <w:t>25</w:t>
      </w:r>
    </w:p>
    <w:p w:rsidR="00D37226" w:rsidRDefault="00D37226" w:rsidP="00BC454F">
      <w:pPr>
        <w:tabs>
          <w:tab w:val="right" w:pos="850"/>
          <w:tab w:val="left" w:pos="1134"/>
          <w:tab w:val="left" w:pos="1559"/>
          <w:tab w:val="left" w:leader="dot" w:pos="7654"/>
          <w:tab w:val="right" w:pos="8929"/>
          <w:tab w:val="right" w:pos="9638"/>
        </w:tabs>
        <w:suppressAutoHyphens/>
        <w:spacing w:after="100"/>
      </w:pPr>
      <w:r>
        <w:tab/>
      </w:r>
      <w:r>
        <w:tab/>
        <w:t>I.</w:t>
      </w:r>
      <w:r>
        <w:tab/>
        <w:t>Заключительные замечания</w:t>
      </w:r>
      <w:r>
        <w:tab/>
      </w:r>
      <w:r>
        <w:tab/>
        <w:t>98−100</w:t>
      </w:r>
      <w:r>
        <w:tab/>
      </w:r>
      <w:r w:rsidR="00DB5746">
        <w:t>26</w:t>
      </w:r>
    </w:p>
    <w:p w:rsidR="00D37226" w:rsidRDefault="00D37226" w:rsidP="00BC454F">
      <w:pPr>
        <w:tabs>
          <w:tab w:val="right" w:pos="850"/>
          <w:tab w:val="left" w:pos="1134"/>
          <w:tab w:val="left" w:pos="1559"/>
          <w:tab w:val="left" w:leader="dot" w:pos="7654"/>
          <w:tab w:val="right" w:pos="8929"/>
          <w:tab w:val="right" w:pos="9638"/>
        </w:tabs>
        <w:suppressAutoHyphens/>
        <w:spacing w:after="100"/>
      </w:pPr>
      <w:r>
        <w:tab/>
        <w:t>VI.</w:t>
      </w:r>
      <w:r>
        <w:tab/>
        <w:t>Перспективы на будущее</w:t>
      </w:r>
      <w:r>
        <w:tab/>
      </w:r>
      <w:r>
        <w:tab/>
        <w:t>101</w:t>
      </w:r>
      <w:r w:rsidR="00841A98">
        <w:t>−106</w:t>
      </w:r>
      <w:r>
        <w:tab/>
      </w:r>
      <w:r w:rsidR="00DB5746">
        <w:t>27</w:t>
      </w:r>
    </w:p>
    <w:p w:rsidR="00D37226" w:rsidRDefault="00D37226" w:rsidP="00BC454F">
      <w:pPr>
        <w:tabs>
          <w:tab w:val="right" w:pos="850"/>
          <w:tab w:val="left" w:pos="1134"/>
          <w:tab w:val="left" w:pos="1559"/>
          <w:tab w:val="left" w:leader="dot" w:pos="7654"/>
          <w:tab w:val="right" w:pos="8929"/>
          <w:tab w:val="right" w:pos="9638"/>
        </w:tabs>
        <w:suppressAutoHyphens/>
        <w:spacing w:after="100"/>
      </w:pPr>
      <w:r>
        <w:tab/>
      </w:r>
      <w:r>
        <w:tab/>
        <w:t>А.</w:t>
      </w:r>
      <w:r>
        <w:tab/>
        <w:t>План работы на 2014 год</w:t>
      </w:r>
      <w:r>
        <w:tab/>
      </w:r>
      <w:r>
        <w:tab/>
        <w:t>102−103</w:t>
      </w:r>
      <w:r>
        <w:tab/>
      </w:r>
      <w:r w:rsidR="00DB5746">
        <w:t>27</w:t>
      </w:r>
    </w:p>
    <w:p w:rsidR="00D37226" w:rsidRDefault="00D37226" w:rsidP="00BC454F">
      <w:pPr>
        <w:tabs>
          <w:tab w:val="right" w:pos="850"/>
          <w:tab w:val="left" w:pos="1134"/>
          <w:tab w:val="left" w:pos="1559"/>
          <w:tab w:val="left" w:leader="dot" w:pos="7654"/>
          <w:tab w:val="right" w:pos="8929"/>
          <w:tab w:val="right" w:pos="9638"/>
        </w:tabs>
        <w:suppressAutoHyphens/>
        <w:spacing w:after="100"/>
      </w:pPr>
      <w:r>
        <w:tab/>
      </w:r>
      <w:r>
        <w:tab/>
        <w:t>В.</w:t>
      </w:r>
      <w:r>
        <w:tab/>
        <w:t>Проблема ресурсов</w:t>
      </w:r>
      <w:r>
        <w:tab/>
      </w:r>
      <w:r>
        <w:tab/>
        <w:t>104−106</w:t>
      </w:r>
      <w:r>
        <w:tab/>
      </w:r>
      <w:r w:rsidR="00DB5746">
        <w:t>28</w:t>
      </w:r>
    </w:p>
    <w:p w:rsidR="000D4DDF" w:rsidRPr="0083262E" w:rsidRDefault="000D4DDF" w:rsidP="00BC454F">
      <w:pPr>
        <w:pStyle w:val="HChGR"/>
      </w:pPr>
      <w:r w:rsidRPr="0083262E">
        <w:br w:type="page"/>
      </w:r>
      <w:r w:rsidR="007B4FD3">
        <w:tab/>
      </w:r>
      <w:r w:rsidRPr="0083262E">
        <w:t>I.</w:t>
      </w:r>
      <w:r w:rsidRPr="0083262E">
        <w:tab/>
        <w:t>Введение</w:t>
      </w:r>
    </w:p>
    <w:p w:rsidR="000D4DDF" w:rsidRPr="0083262E" w:rsidRDefault="000D4DDF" w:rsidP="007B4FD3">
      <w:pPr>
        <w:pStyle w:val="SingleTxtGR"/>
      </w:pPr>
      <w:r w:rsidRPr="0083262E">
        <w:t>1.</w:t>
      </w:r>
      <w:r w:rsidRPr="0083262E">
        <w:tab/>
        <w:t>Пункт 3 статьи 16 Факультативного протокола к Конвенции против пыток и других жестоких, бесчеловечных или унижающих достоинство видов обр</w:t>
      </w:r>
      <w:r w:rsidRPr="0083262E">
        <w:t>а</w:t>
      </w:r>
      <w:r w:rsidRPr="0083262E">
        <w:t>щения и наказания (далее "Факультативный протокол") предусматривает, что Подкомитет по предупреждению пыток и других жестоких, бесчеловечных или унижающих достоинство видов обращения и наказания представляет открытый ежегодный доклад о своей деятельности Комитету против пыток. В соответс</w:t>
      </w:r>
      <w:r w:rsidRPr="0083262E">
        <w:t>т</w:t>
      </w:r>
      <w:r w:rsidRPr="0083262E">
        <w:t>вии с этим положением проект доклада, охватывающий деятельность Подком</w:t>
      </w:r>
      <w:r w:rsidRPr="0083262E">
        <w:t>и</w:t>
      </w:r>
      <w:r w:rsidRPr="0083262E">
        <w:t xml:space="preserve">тета с 1 января 2013 года по 31 декабря 2013 года, был рассмотрен и утвержден Подкомитетом на его </w:t>
      </w:r>
      <w:r w:rsidR="000959C2">
        <w:t>двадцать второй</w:t>
      </w:r>
      <w:r w:rsidRPr="0083262E">
        <w:t xml:space="preserve"> сессии и будет представлен Комитету против пыток на пятьдесят второй сессии Комитета.</w:t>
      </w:r>
    </w:p>
    <w:p w:rsidR="000D4DDF" w:rsidRPr="0083262E" w:rsidRDefault="007B4FD3" w:rsidP="007B4FD3">
      <w:pPr>
        <w:pStyle w:val="HChGR"/>
      </w:pPr>
      <w:r>
        <w:tab/>
      </w:r>
      <w:r w:rsidR="000D4DDF" w:rsidRPr="0083262E">
        <w:t>II.</w:t>
      </w:r>
      <w:r w:rsidR="000D4DDF" w:rsidRPr="0083262E">
        <w:tab/>
        <w:t>Обзор</w:t>
      </w:r>
      <w:r w:rsidR="000959C2">
        <w:t xml:space="preserve"> истекшего года</w:t>
      </w:r>
    </w:p>
    <w:p w:rsidR="000D4DDF" w:rsidRPr="0083262E" w:rsidRDefault="007B4FD3" w:rsidP="007B4FD3">
      <w:pPr>
        <w:pStyle w:val="H1GR"/>
      </w:pPr>
      <w:r>
        <w:tab/>
      </w:r>
      <w:r w:rsidR="000D4DDF" w:rsidRPr="0083262E">
        <w:t>А.</w:t>
      </w:r>
      <w:r w:rsidR="000D4DDF" w:rsidRPr="0083262E">
        <w:tab/>
        <w:t>Участие в системе Факультативного протокола</w:t>
      </w:r>
    </w:p>
    <w:p w:rsidR="000D4DDF" w:rsidRPr="0083262E" w:rsidRDefault="000D4DDF" w:rsidP="007B4FD3">
      <w:pPr>
        <w:pStyle w:val="SingleTxtGR"/>
      </w:pPr>
      <w:r w:rsidRPr="0083262E">
        <w:t>2.</w:t>
      </w:r>
      <w:r w:rsidRPr="0083262E">
        <w:tab/>
        <w:t>По состоянию на 31 декабря 2013 года участниками Факультативного протокола являлись 70 государств</w:t>
      </w:r>
      <w:r w:rsidRPr="0083262E">
        <w:rPr>
          <w:rStyle w:val="FootnoteReference"/>
          <w:szCs w:val="24"/>
        </w:rPr>
        <w:footnoteReference w:id="1"/>
      </w:r>
      <w:r w:rsidRPr="0083262E">
        <w:t>. В 2013 году пять государств ратифициров</w:t>
      </w:r>
      <w:r w:rsidRPr="0083262E">
        <w:t>а</w:t>
      </w:r>
      <w:r w:rsidRPr="0083262E">
        <w:t>ли Факультативный протокол или присоединились к нему: Португалия (15</w:t>
      </w:r>
      <w:r w:rsidR="007C6DE6">
        <w:t> </w:t>
      </w:r>
      <w:r w:rsidRPr="0083262E">
        <w:t>я</w:t>
      </w:r>
      <w:r w:rsidRPr="0083262E">
        <w:t>н</w:t>
      </w:r>
      <w:r w:rsidRPr="0083262E">
        <w:t>варя), Науру (24 января), Италия (3 апреля), Норвегия (27 июня) и Бурунди (18</w:t>
      </w:r>
      <w:r w:rsidR="007C6DE6">
        <w:t> </w:t>
      </w:r>
      <w:r w:rsidRPr="0083262E">
        <w:t>октября).</w:t>
      </w:r>
    </w:p>
    <w:p w:rsidR="000D4DDF" w:rsidRPr="0083262E" w:rsidRDefault="000D4DDF" w:rsidP="007B4FD3">
      <w:pPr>
        <w:pStyle w:val="SingleTxtGR"/>
      </w:pPr>
      <w:r w:rsidRPr="0083262E">
        <w:rPr>
          <w:bCs/>
        </w:rPr>
        <w:t>3.</w:t>
      </w:r>
      <w:r w:rsidRPr="0083262E">
        <w:rPr>
          <w:bCs/>
        </w:rPr>
        <w:tab/>
      </w:r>
      <w:r w:rsidRPr="0083262E">
        <w:t>Схема регионального участия выглядела следующим образом:</w:t>
      </w:r>
    </w:p>
    <w:tbl>
      <w:tblPr>
        <w:tblStyle w:val="TabTxt"/>
        <w:tblW w:w="7370" w:type="dxa"/>
        <w:tblInd w:w="1134" w:type="dxa"/>
        <w:tblBorders>
          <w:top w:val="none" w:sz="0" w:space="0" w:color="auto"/>
          <w:bottom w:val="none" w:sz="0" w:space="0" w:color="auto"/>
        </w:tblBorders>
        <w:tblLayout w:type="fixed"/>
        <w:tblLook w:val="01E0"/>
      </w:tblPr>
      <w:tblGrid>
        <w:gridCol w:w="6817"/>
        <w:gridCol w:w="553"/>
      </w:tblGrid>
      <w:tr w:rsidR="000D4DDF" w:rsidRPr="005C174C" w:rsidTr="00395291">
        <w:tc>
          <w:tcPr>
            <w:tcW w:w="6817" w:type="dxa"/>
          </w:tcPr>
          <w:p w:rsidR="000D4DDF" w:rsidRPr="005C174C" w:rsidRDefault="000D4DDF" w:rsidP="00A56DA4">
            <w:pPr>
              <w:spacing w:line="240" w:lineRule="auto"/>
              <w:ind w:firstLine="1078"/>
            </w:pPr>
            <w:r w:rsidRPr="005C174C">
              <w:t>Африка</w:t>
            </w:r>
          </w:p>
        </w:tc>
        <w:tc>
          <w:tcPr>
            <w:cnfStyle w:val="000100000000"/>
            <w:tcW w:w="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13</w:t>
            </w:r>
          </w:p>
        </w:tc>
      </w:tr>
      <w:tr w:rsidR="000D4DDF" w:rsidRPr="005C174C" w:rsidTr="00395291">
        <w:tc>
          <w:tcPr>
            <w:tcW w:w="6817" w:type="dxa"/>
          </w:tcPr>
          <w:p w:rsidR="000D4DDF" w:rsidRPr="005C174C" w:rsidRDefault="000D4DDF" w:rsidP="00A56DA4">
            <w:pPr>
              <w:spacing w:line="240" w:lineRule="auto"/>
              <w:ind w:firstLine="1078"/>
            </w:pPr>
            <w:r w:rsidRPr="005C174C">
              <w:t>Азия и Тихий океан</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8</w:t>
            </w:r>
          </w:p>
        </w:tc>
      </w:tr>
      <w:tr w:rsidR="000D4DDF" w:rsidRPr="005C174C" w:rsidTr="00395291">
        <w:tc>
          <w:tcPr>
            <w:tcW w:w="6817" w:type="dxa"/>
          </w:tcPr>
          <w:p w:rsidR="000D4DDF" w:rsidRPr="005C174C" w:rsidRDefault="000D4DDF" w:rsidP="00A56DA4">
            <w:pPr>
              <w:spacing w:line="240" w:lineRule="auto"/>
              <w:ind w:firstLine="1078"/>
            </w:pPr>
            <w:r w:rsidRPr="005C174C">
              <w:t>Восточная Европа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18</w:t>
            </w:r>
          </w:p>
        </w:tc>
      </w:tr>
      <w:tr w:rsidR="000D4DDF" w:rsidRPr="005C174C" w:rsidTr="00395291">
        <w:tc>
          <w:tcPr>
            <w:tcW w:w="6817" w:type="dxa"/>
          </w:tcPr>
          <w:p w:rsidR="000D4DDF" w:rsidRPr="005C174C" w:rsidRDefault="000D4DDF" w:rsidP="00A56DA4">
            <w:pPr>
              <w:spacing w:line="240" w:lineRule="auto"/>
              <w:ind w:firstLine="1078"/>
            </w:pPr>
            <w:r w:rsidRPr="005C174C">
              <w:t>Государства Латинской Америки и Карибск</w:t>
            </w:r>
            <w:r w:rsidRPr="005C174C">
              <w:t>о</w:t>
            </w:r>
            <w:r w:rsidRPr="005C174C">
              <w:t>го бассейна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14</w:t>
            </w:r>
          </w:p>
        </w:tc>
      </w:tr>
      <w:tr w:rsidR="000D4DDF" w:rsidRPr="005C174C" w:rsidTr="00395291">
        <w:tc>
          <w:tcPr>
            <w:tcW w:w="6817" w:type="dxa"/>
          </w:tcPr>
          <w:p w:rsidR="000D4DDF" w:rsidRPr="005C174C" w:rsidRDefault="000D4DDF" w:rsidP="00A56DA4">
            <w:pPr>
              <w:spacing w:line="240" w:lineRule="auto"/>
              <w:ind w:firstLine="1078"/>
            </w:pPr>
            <w:r w:rsidRPr="005C174C">
              <w:t>Западноевропейские и другие госуда</w:t>
            </w:r>
            <w:r w:rsidRPr="005C174C">
              <w:t>р</w:t>
            </w:r>
            <w:r w:rsidRPr="005C174C">
              <w:t>ства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17</w:t>
            </w:r>
          </w:p>
        </w:tc>
      </w:tr>
    </w:tbl>
    <w:p w:rsidR="000D4DDF" w:rsidRPr="0083262E" w:rsidRDefault="000D4DDF" w:rsidP="005C174C">
      <w:pPr>
        <w:pStyle w:val="SingleTxtGR"/>
        <w:spacing w:before="120"/>
      </w:pPr>
      <w:r w:rsidRPr="0083262E">
        <w:rPr>
          <w:bCs/>
        </w:rPr>
        <w:t>4.</w:t>
      </w:r>
      <w:r w:rsidRPr="0083262E">
        <w:rPr>
          <w:bCs/>
        </w:rPr>
        <w:tab/>
      </w:r>
      <w:r w:rsidRPr="0083262E">
        <w:t>Разбивка по регионам государств, которые подписали Факультативный протокол, являлась следующей:</w:t>
      </w:r>
    </w:p>
    <w:tbl>
      <w:tblPr>
        <w:tblStyle w:val="TabTxt"/>
        <w:tblW w:w="7370" w:type="dxa"/>
        <w:tblInd w:w="1134" w:type="dxa"/>
        <w:tblBorders>
          <w:top w:val="none" w:sz="0" w:space="0" w:color="auto"/>
          <w:bottom w:val="none" w:sz="0" w:space="0" w:color="auto"/>
        </w:tblBorders>
        <w:tblLayout w:type="fixed"/>
        <w:tblLook w:val="01E0"/>
      </w:tblPr>
      <w:tblGrid>
        <w:gridCol w:w="6817"/>
        <w:gridCol w:w="553"/>
      </w:tblGrid>
      <w:tr w:rsidR="000D4DDF" w:rsidRPr="005C174C" w:rsidTr="00395291">
        <w:tc>
          <w:tcPr>
            <w:tcW w:w="6817" w:type="dxa"/>
          </w:tcPr>
          <w:p w:rsidR="000D4DDF" w:rsidRPr="005C174C" w:rsidRDefault="000D4DDF" w:rsidP="00A56DA4">
            <w:pPr>
              <w:spacing w:line="240" w:lineRule="auto"/>
              <w:ind w:firstLine="1078"/>
            </w:pPr>
            <w:r w:rsidRPr="005C174C">
              <w:t>Африка</w:t>
            </w:r>
          </w:p>
        </w:tc>
        <w:tc>
          <w:tcPr>
            <w:cnfStyle w:val="000100000000"/>
            <w:tcW w:w="5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11</w:t>
            </w:r>
          </w:p>
        </w:tc>
      </w:tr>
      <w:tr w:rsidR="000D4DDF" w:rsidRPr="005C174C" w:rsidTr="00395291">
        <w:tc>
          <w:tcPr>
            <w:tcW w:w="6817" w:type="dxa"/>
          </w:tcPr>
          <w:p w:rsidR="000D4DDF" w:rsidRPr="005C174C" w:rsidRDefault="000D4DDF" w:rsidP="00A56DA4">
            <w:pPr>
              <w:spacing w:line="240" w:lineRule="auto"/>
              <w:ind w:firstLine="1078"/>
            </w:pPr>
            <w:r w:rsidRPr="005C174C">
              <w:t>Азия и Тихий океан</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2</w:t>
            </w:r>
          </w:p>
        </w:tc>
      </w:tr>
      <w:tr w:rsidR="000D4DDF" w:rsidRPr="005C174C" w:rsidTr="00395291">
        <w:tc>
          <w:tcPr>
            <w:tcW w:w="6817" w:type="dxa"/>
          </w:tcPr>
          <w:p w:rsidR="000D4DDF" w:rsidRPr="005C174C" w:rsidRDefault="000D4DDF" w:rsidP="00A56DA4">
            <w:pPr>
              <w:spacing w:line="240" w:lineRule="auto"/>
              <w:ind w:firstLine="1078"/>
            </w:pPr>
            <w:r w:rsidRPr="005C174C">
              <w:t>Восточная Европа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0</w:t>
            </w:r>
          </w:p>
        </w:tc>
      </w:tr>
      <w:tr w:rsidR="000D4DDF" w:rsidRPr="005C174C" w:rsidTr="00395291">
        <w:tc>
          <w:tcPr>
            <w:tcW w:w="6817" w:type="dxa"/>
          </w:tcPr>
          <w:p w:rsidR="000D4DDF" w:rsidRPr="005C174C" w:rsidRDefault="000D4DDF" w:rsidP="00A56DA4">
            <w:pPr>
              <w:spacing w:line="240" w:lineRule="auto"/>
              <w:ind w:firstLine="1078"/>
            </w:pPr>
            <w:r w:rsidRPr="005C174C">
              <w:t>Государства Латинской Америки и К</w:t>
            </w:r>
            <w:r w:rsidRPr="005C174C">
              <w:t>а</w:t>
            </w:r>
            <w:r w:rsidRPr="005C174C">
              <w:t>рибского бассейна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1</w:t>
            </w:r>
          </w:p>
        </w:tc>
      </w:tr>
      <w:tr w:rsidR="000D4DDF" w:rsidRPr="005C174C" w:rsidTr="00395291">
        <w:tc>
          <w:tcPr>
            <w:tcW w:w="6817" w:type="dxa"/>
          </w:tcPr>
          <w:p w:rsidR="000D4DDF" w:rsidRPr="005C174C" w:rsidRDefault="000D4DDF" w:rsidP="00A56DA4">
            <w:pPr>
              <w:spacing w:line="240" w:lineRule="auto"/>
              <w:ind w:firstLine="1078"/>
            </w:pPr>
            <w:r w:rsidRPr="005C174C">
              <w:t>Западноевропейские и другие госуда</w:t>
            </w:r>
            <w:r w:rsidRPr="005C174C">
              <w:t>р</w:t>
            </w:r>
            <w:r w:rsidRPr="005C174C">
              <w:t>ства</w:t>
            </w:r>
          </w:p>
        </w:tc>
        <w:tc>
          <w:tcPr>
            <w:cnfStyle w:val="000100000000"/>
            <w:tcW w:w="553" w:type="dxa"/>
            <w:tcBorders>
              <w:left w:val="none" w:sz="0" w:space="0" w:color="auto"/>
              <w:bottom w:val="none" w:sz="0" w:space="0" w:color="auto"/>
              <w:right w:val="none" w:sz="0" w:space="0" w:color="auto"/>
              <w:tl2br w:val="none" w:sz="0" w:space="0" w:color="auto"/>
              <w:tr2bl w:val="none" w:sz="0" w:space="0" w:color="auto"/>
            </w:tcBorders>
          </w:tcPr>
          <w:p w:rsidR="000D4DDF" w:rsidRPr="005C174C" w:rsidRDefault="000D4DDF" w:rsidP="00A56DA4">
            <w:pPr>
              <w:spacing w:line="240" w:lineRule="auto"/>
              <w:jc w:val="right"/>
            </w:pPr>
            <w:r w:rsidRPr="005C174C">
              <w:t>6</w:t>
            </w:r>
          </w:p>
        </w:tc>
      </w:tr>
    </w:tbl>
    <w:p w:rsidR="000D4DDF" w:rsidRPr="0083262E" w:rsidRDefault="005C174C" w:rsidP="005C174C">
      <w:pPr>
        <w:pStyle w:val="H1GR"/>
      </w:pPr>
      <w:r>
        <w:tab/>
      </w:r>
      <w:r w:rsidR="000D4DDF" w:rsidRPr="0083262E">
        <w:t>В.</w:t>
      </w:r>
      <w:r w:rsidR="000D4DDF" w:rsidRPr="0083262E">
        <w:tab/>
        <w:t>Организационные вопросы и вопросы членского состава</w:t>
      </w:r>
    </w:p>
    <w:p w:rsidR="000D4DDF" w:rsidRPr="0083262E" w:rsidRDefault="000D4DDF" w:rsidP="005C174C">
      <w:pPr>
        <w:pStyle w:val="SingleTxtGR"/>
      </w:pPr>
      <w:r w:rsidRPr="0083262E">
        <w:t>5.</w:t>
      </w:r>
      <w:r w:rsidRPr="0083262E">
        <w:tab/>
        <w:t xml:space="preserve">За отчетный период (1 января − 31 декабря 2013 года) Подкомитет провел три однонедельных сессии в </w:t>
      </w:r>
      <w:r w:rsidR="00AA2693">
        <w:t>О</w:t>
      </w:r>
      <w:r w:rsidRPr="0083262E">
        <w:t>тделении Организации Объединенных Наций в Женеве: девятнадцатую сессию (18−22 февраля), двадцатую сессию (17−21 и</w:t>
      </w:r>
      <w:r w:rsidRPr="0083262E">
        <w:t>ю</w:t>
      </w:r>
      <w:r w:rsidRPr="0083262E">
        <w:t>ня) и двадцать первую сессию (11−15 ноября).</w:t>
      </w:r>
    </w:p>
    <w:p w:rsidR="00025119" w:rsidRPr="0084508E" w:rsidRDefault="000D4DDF" w:rsidP="005A135B">
      <w:pPr>
        <w:pStyle w:val="SingleTxtGR"/>
      </w:pPr>
      <w:r w:rsidRPr="0083262E">
        <w:t>6.</w:t>
      </w:r>
      <w:r w:rsidRPr="0083262E">
        <w:tab/>
        <w:t>В 2013 году членский состав Подкомитета претерпел изменения</w:t>
      </w:r>
      <w:r w:rsidRPr="0083262E">
        <w:rPr>
          <w:rStyle w:val="FootnoteReference"/>
          <w:szCs w:val="24"/>
        </w:rPr>
        <w:footnoteReference w:id="2"/>
      </w:r>
      <w:r w:rsidRPr="0083262E">
        <w:t>. 25 о</w:t>
      </w:r>
      <w:r w:rsidRPr="0083262E">
        <w:t>к</w:t>
      </w:r>
      <w:r w:rsidRPr="0083262E">
        <w:t>тября 20</w:t>
      </w:r>
      <w:r w:rsidR="00AA2693">
        <w:t>1</w:t>
      </w:r>
      <w:r w:rsidRPr="0083262E">
        <w:t>2 года на четвертом совещании государств − участников Факультати</w:t>
      </w:r>
      <w:r w:rsidRPr="0083262E">
        <w:t>в</w:t>
      </w:r>
      <w:r w:rsidRPr="0083262E">
        <w:t>ного протокола были избраны 12 членов для заполнения вакансий, открыва</w:t>
      </w:r>
      <w:r w:rsidRPr="0083262E">
        <w:t>ю</w:t>
      </w:r>
      <w:r w:rsidRPr="0083262E">
        <w:t xml:space="preserve">щихся </w:t>
      </w:r>
      <w:r w:rsidR="00AA2693">
        <w:t xml:space="preserve">в связи со статусом </w:t>
      </w:r>
      <w:r w:rsidRPr="0083262E">
        <w:t>членов, срок полномочий которых истек</w:t>
      </w:r>
      <w:r w:rsidR="00AA2693">
        <w:t>ал</w:t>
      </w:r>
      <w:r w:rsidRPr="0083262E">
        <w:t xml:space="preserve"> 31 дека</w:t>
      </w:r>
      <w:r w:rsidRPr="0083262E">
        <w:t>б</w:t>
      </w:r>
      <w:r w:rsidRPr="0083262E">
        <w:t>ря 2012 года.</w:t>
      </w:r>
      <w:r w:rsidR="00A56DA4">
        <w:t xml:space="preserve"> </w:t>
      </w:r>
      <w:r w:rsidR="00025119">
        <w:rPr>
          <w:bCs/>
        </w:rPr>
        <w:t>Срок полномочий всех вновь избранных членов начал отсчит</w:t>
      </w:r>
      <w:r w:rsidR="00025119">
        <w:rPr>
          <w:bCs/>
        </w:rPr>
        <w:t>ы</w:t>
      </w:r>
      <w:r w:rsidR="00025119">
        <w:rPr>
          <w:bCs/>
        </w:rPr>
        <w:t xml:space="preserve">ваться 1 января </w:t>
      </w:r>
      <w:r w:rsidR="00025119" w:rsidRPr="008B600B">
        <w:t>201</w:t>
      </w:r>
      <w:r w:rsidR="00025119">
        <w:t xml:space="preserve">3 года и продлится четыре года вплоть до 31 декабря </w:t>
      </w:r>
      <w:r w:rsidR="00025119" w:rsidRPr="0084508E">
        <w:t>2016</w:t>
      </w:r>
      <w:r w:rsidR="00A56DA4">
        <w:t> </w:t>
      </w:r>
      <w:r w:rsidR="00025119">
        <w:t>ода</w:t>
      </w:r>
      <w:r w:rsidR="00025119" w:rsidRPr="0084508E">
        <w:t xml:space="preserve">. </w:t>
      </w:r>
      <w:r w:rsidR="00025119">
        <w:t>В соответствии с правилами процедуры Подкомитета новые члены Подкомитета сделали торжественное заявление на открытии его девятнадцатой сессии, прежде чем приступить к исполнению своих обязанностей. В</w:t>
      </w:r>
      <w:r w:rsidR="00025119" w:rsidRPr="0084508E">
        <w:t xml:space="preserve"> </w:t>
      </w:r>
      <w:r w:rsidR="00025119">
        <w:t>течение</w:t>
      </w:r>
      <w:r w:rsidR="00025119" w:rsidRPr="0084508E">
        <w:t xml:space="preserve"> </w:t>
      </w:r>
      <w:r w:rsidR="00025119">
        <w:t>года</w:t>
      </w:r>
      <w:r w:rsidR="00025119" w:rsidRPr="0084508E">
        <w:t xml:space="preserve">, </w:t>
      </w:r>
      <w:r w:rsidR="00025119">
        <w:t>а</w:t>
      </w:r>
      <w:r w:rsidR="00025119" w:rsidRPr="0084508E">
        <w:t xml:space="preserve"> </w:t>
      </w:r>
      <w:r w:rsidR="00025119">
        <w:t>именно</w:t>
      </w:r>
      <w:r w:rsidR="00025119" w:rsidRPr="0084508E">
        <w:t xml:space="preserve"> 30 </w:t>
      </w:r>
      <w:r w:rsidR="00025119">
        <w:t xml:space="preserve">октября и 12 декабря </w:t>
      </w:r>
      <w:r w:rsidR="00025119" w:rsidRPr="0084508E">
        <w:t>2013</w:t>
      </w:r>
      <w:r w:rsidR="00025119">
        <w:t xml:space="preserve"> года соответственно, из состава Подкомитета вышли Кристиан Просс и Оливье Обрехт</w:t>
      </w:r>
      <w:r w:rsidR="00025119" w:rsidRPr="0084508E">
        <w:t>.</w:t>
      </w:r>
    </w:p>
    <w:p w:rsidR="00025119" w:rsidRPr="006F3351" w:rsidRDefault="00025119" w:rsidP="005A135B">
      <w:pPr>
        <w:pStyle w:val="SingleTxtGR"/>
      </w:pPr>
      <w:r w:rsidRPr="006F3351">
        <w:rPr>
          <w:bCs/>
        </w:rPr>
        <w:t>7.</w:t>
      </w:r>
      <w:r w:rsidRPr="006F3351">
        <w:rPr>
          <w:bCs/>
        </w:rPr>
        <w:tab/>
      </w:r>
      <w:r>
        <w:rPr>
          <w:bCs/>
        </w:rPr>
        <w:t>На</w:t>
      </w:r>
      <w:r w:rsidRPr="006F3351">
        <w:rPr>
          <w:bCs/>
        </w:rPr>
        <w:t xml:space="preserve"> </w:t>
      </w:r>
      <w:r>
        <w:rPr>
          <w:bCs/>
        </w:rPr>
        <w:t>своей</w:t>
      </w:r>
      <w:r w:rsidRPr="006F3351">
        <w:rPr>
          <w:bCs/>
        </w:rPr>
        <w:t xml:space="preserve"> </w:t>
      </w:r>
      <w:r>
        <w:t>девятнадцатой</w:t>
      </w:r>
      <w:r w:rsidRPr="006F3351">
        <w:t xml:space="preserve"> сессии Подкомитет </w:t>
      </w:r>
      <w:r>
        <w:t xml:space="preserve">избрал свое Бюро на период до февраля </w:t>
      </w:r>
      <w:r w:rsidRPr="006F3351">
        <w:t>2015</w:t>
      </w:r>
      <w:r>
        <w:t xml:space="preserve"> года</w:t>
      </w:r>
      <w:r w:rsidRPr="006F3351">
        <w:t xml:space="preserve">. </w:t>
      </w:r>
      <w:r>
        <w:t>Председателем был избран Малколм Эванс. Были избр</w:t>
      </w:r>
      <w:r>
        <w:t>а</w:t>
      </w:r>
      <w:r>
        <w:t>ны четыре заместителя Председателя со следующими основными обязанност</w:t>
      </w:r>
      <w:r>
        <w:t>я</w:t>
      </w:r>
      <w:r>
        <w:t>ми: Сюзанна Джаббур − национальные превентивные механизмы; Айша Шу</w:t>
      </w:r>
      <w:r>
        <w:t>д</w:t>
      </w:r>
      <w:r>
        <w:t>жуне Мухаммад − правоприменительная практика и докладчик Подкомитета; Вильдер Тайлер Соуто − посещения</w:t>
      </w:r>
      <w:r w:rsidRPr="006F3351">
        <w:t xml:space="preserve">; </w:t>
      </w:r>
      <w:r>
        <w:t>и Фортуне Гаэтан Зонго − внешние сн</w:t>
      </w:r>
      <w:r>
        <w:t>о</w:t>
      </w:r>
      <w:r>
        <w:t xml:space="preserve">шения. </w:t>
      </w:r>
    </w:p>
    <w:p w:rsidR="00025119" w:rsidRDefault="00025119" w:rsidP="005A135B">
      <w:pPr>
        <w:pStyle w:val="SingleTxtGR"/>
      </w:pPr>
      <w:r w:rsidRPr="000B22BF">
        <w:rPr>
          <w:bCs/>
        </w:rPr>
        <w:t>8.</w:t>
      </w:r>
      <w:r w:rsidRPr="000B22BF">
        <w:rPr>
          <w:bCs/>
        </w:rPr>
        <w:tab/>
      </w:r>
      <w:r>
        <w:t>В</w:t>
      </w:r>
      <w:r w:rsidRPr="000B22BF">
        <w:t xml:space="preserve"> </w:t>
      </w:r>
      <w:r>
        <w:t>своем</w:t>
      </w:r>
      <w:r w:rsidRPr="000B22BF">
        <w:t xml:space="preserve"> </w:t>
      </w:r>
      <w:r>
        <w:t>пятом</w:t>
      </w:r>
      <w:r w:rsidRPr="000B22BF">
        <w:t xml:space="preserve"> </w:t>
      </w:r>
      <w:r>
        <w:t>ежегодном</w:t>
      </w:r>
      <w:r w:rsidRPr="000B22BF">
        <w:t xml:space="preserve"> </w:t>
      </w:r>
      <w:r>
        <w:t>докладе</w:t>
      </w:r>
      <w:r w:rsidRPr="000B22BF">
        <w:t xml:space="preserve"> (</w:t>
      </w:r>
      <w:r w:rsidRPr="008B600B">
        <w:rPr>
          <w:lang w:val="en-GB"/>
        </w:rPr>
        <w:t>CAT</w:t>
      </w:r>
      <w:r w:rsidRPr="000B22BF">
        <w:t>/</w:t>
      </w:r>
      <w:r w:rsidRPr="008B600B">
        <w:rPr>
          <w:lang w:val="en-GB"/>
        </w:rPr>
        <w:t>C</w:t>
      </w:r>
      <w:r w:rsidRPr="000B22BF">
        <w:t xml:space="preserve">/48/3, </w:t>
      </w:r>
      <w:r>
        <w:t>пункт</w:t>
      </w:r>
      <w:r w:rsidRPr="000B22BF">
        <w:t xml:space="preserve"> 10) Подкомитет </w:t>
      </w:r>
      <w:r>
        <w:t>определил детали созданной им системы региональных координаторов и реги</w:t>
      </w:r>
      <w:r>
        <w:t>о</w:t>
      </w:r>
      <w:r>
        <w:t>нальных целевых групп по вопросам, связанным с национальными превенти</w:t>
      </w:r>
      <w:r>
        <w:t>в</w:t>
      </w:r>
      <w:r>
        <w:t>ными механизмами (НПМ). На</w:t>
      </w:r>
      <w:r w:rsidRPr="000B22BF">
        <w:t xml:space="preserve"> </w:t>
      </w:r>
      <w:r>
        <w:t>своей</w:t>
      </w:r>
      <w:r w:rsidRPr="000B22BF">
        <w:t xml:space="preserve"> </w:t>
      </w:r>
      <w:r>
        <w:t>девятнадцатой</w:t>
      </w:r>
      <w:r w:rsidRPr="000B22BF">
        <w:t xml:space="preserve"> сессии</w:t>
      </w:r>
      <w:r>
        <w:t xml:space="preserve"> </w:t>
      </w:r>
      <w:r w:rsidRPr="000B22BF">
        <w:t xml:space="preserve">Подкомитет </w:t>
      </w:r>
      <w:r>
        <w:t>зам</w:t>
      </w:r>
      <w:r>
        <w:t>е</w:t>
      </w:r>
      <w:r>
        <w:t>нил эту структуру системой региональных групп. Руководителями регионал</w:t>
      </w:r>
      <w:r>
        <w:t>ь</w:t>
      </w:r>
      <w:r>
        <w:t>ных групп являются: Африка − Пол Лам Шан Линь; Азия и Тихий океан − Ло</w:t>
      </w:r>
      <w:r>
        <w:t>у</w:t>
      </w:r>
      <w:r>
        <w:t>элл Годдард; Европа − Мари Амос; и Латинская Америка − Худит Салгадо А</w:t>
      </w:r>
      <w:r>
        <w:t>л</w:t>
      </w:r>
      <w:r>
        <w:t>варес. Региональные группы образуют основные стру</w:t>
      </w:r>
      <w:r>
        <w:t>к</w:t>
      </w:r>
      <w:r>
        <w:t xml:space="preserve">турные звенья механизма работы </w:t>
      </w:r>
      <w:r w:rsidRPr="00C450B5">
        <w:t>Подкомитет</w:t>
      </w:r>
      <w:r>
        <w:t>а и рассматривают осуществление Факультативного прот</w:t>
      </w:r>
      <w:r>
        <w:t>о</w:t>
      </w:r>
      <w:r>
        <w:t>кола в государствах-участниках в своем регионе. Они</w:t>
      </w:r>
      <w:r w:rsidRPr="00C450B5">
        <w:t xml:space="preserve"> </w:t>
      </w:r>
      <w:r>
        <w:t>отчитываются на плена</w:t>
      </w:r>
      <w:r>
        <w:t>р</w:t>
      </w:r>
      <w:r>
        <w:t xml:space="preserve">ном заседании </w:t>
      </w:r>
      <w:r w:rsidRPr="00C450B5">
        <w:t>Подкомитет</w:t>
      </w:r>
      <w:r>
        <w:t>а, предлагая в случае целесообразности рекоменд</w:t>
      </w:r>
      <w:r>
        <w:t>а</w:t>
      </w:r>
      <w:r>
        <w:t>ции. Региональные</w:t>
      </w:r>
      <w:r w:rsidRPr="00C450B5">
        <w:t xml:space="preserve"> </w:t>
      </w:r>
      <w:r>
        <w:t>группы</w:t>
      </w:r>
      <w:r w:rsidRPr="00C450B5">
        <w:t xml:space="preserve"> </w:t>
      </w:r>
      <w:r>
        <w:t>также</w:t>
      </w:r>
      <w:r w:rsidRPr="00C450B5">
        <w:t xml:space="preserve"> </w:t>
      </w:r>
      <w:r>
        <w:t>выносят</w:t>
      </w:r>
      <w:r w:rsidRPr="00C450B5">
        <w:t xml:space="preserve"> </w:t>
      </w:r>
      <w:r>
        <w:t>рекомендации</w:t>
      </w:r>
      <w:r w:rsidRPr="00C450B5">
        <w:t xml:space="preserve"> </w:t>
      </w:r>
      <w:r>
        <w:t>пленарному</w:t>
      </w:r>
      <w:r w:rsidRPr="00C450B5">
        <w:t xml:space="preserve"> </w:t>
      </w:r>
      <w:r>
        <w:t>засед</w:t>
      </w:r>
      <w:r>
        <w:t>а</w:t>
      </w:r>
      <w:r>
        <w:t>нию</w:t>
      </w:r>
      <w:r w:rsidRPr="00C450B5">
        <w:t xml:space="preserve"> </w:t>
      </w:r>
      <w:r>
        <w:t>в</w:t>
      </w:r>
      <w:r w:rsidRPr="00C450B5">
        <w:t xml:space="preserve"> </w:t>
      </w:r>
      <w:r>
        <w:t>о</w:t>
      </w:r>
      <w:r>
        <w:t>т</w:t>
      </w:r>
      <w:r>
        <w:t>ношении</w:t>
      </w:r>
      <w:r w:rsidRPr="00C450B5">
        <w:t xml:space="preserve"> </w:t>
      </w:r>
      <w:r>
        <w:t>программы</w:t>
      </w:r>
      <w:r w:rsidRPr="00C450B5">
        <w:t xml:space="preserve"> </w:t>
      </w:r>
      <w:r>
        <w:t>посещений</w:t>
      </w:r>
      <w:r w:rsidRPr="00C450B5">
        <w:t xml:space="preserve"> </w:t>
      </w:r>
      <w:r>
        <w:t>на</w:t>
      </w:r>
      <w:r w:rsidRPr="00C450B5">
        <w:t xml:space="preserve"> </w:t>
      </w:r>
      <w:r>
        <w:t>предстоящий</w:t>
      </w:r>
      <w:r w:rsidRPr="00C450B5">
        <w:t xml:space="preserve"> </w:t>
      </w:r>
      <w:r>
        <w:t>год</w:t>
      </w:r>
      <w:r w:rsidRPr="00C450B5">
        <w:t xml:space="preserve">, обеспечивая, чтобы </w:t>
      </w:r>
      <w:r>
        <w:t>программа универсальных посещений разрабатывалась обоснованным и построенным на участии образом в соответствии с беспристрастно применя</w:t>
      </w:r>
      <w:r>
        <w:t>е</w:t>
      </w:r>
      <w:r>
        <w:t>мыми стратегическими оперативными кр</w:t>
      </w:r>
      <w:r>
        <w:t>и</w:t>
      </w:r>
      <w:r>
        <w:t xml:space="preserve">териями. </w:t>
      </w:r>
    </w:p>
    <w:p w:rsidR="00025119" w:rsidRPr="00C450B5" w:rsidRDefault="00025119" w:rsidP="005A135B">
      <w:pPr>
        <w:pStyle w:val="SingleTxtGR"/>
      </w:pPr>
      <w:r w:rsidRPr="00C450B5">
        <w:rPr>
          <w:bCs/>
        </w:rPr>
        <w:t>9.</w:t>
      </w:r>
      <w:r w:rsidRPr="00C450B5">
        <w:rPr>
          <w:bCs/>
        </w:rPr>
        <w:tab/>
      </w:r>
      <w:r>
        <w:t xml:space="preserve">Постоянные и специальные рабочие группы </w:t>
      </w:r>
      <w:r w:rsidRPr="00C450B5">
        <w:t>Подкомитет</w:t>
      </w:r>
      <w:r>
        <w:t xml:space="preserve">а проводили свои заседания на каждой </w:t>
      </w:r>
      <w:r w:rsidRPr="00C450B5">
        <w:t xml:space="preserve">сессии </w:t>
      </w:r>
      <w:r>
        <w:t xml:space="preserve">в </w:t>
      </w:r>
      <w:r w:rsidRPr="00C450B5">
        <w:t>2013</w:t>
      </w:r>
      <w:r>
        <w:t xml:space="preserve"> году</w:t>
      </w:r>
      <w:r w:rsidRPr="00C450B5">
        <w:t xml:space="preserve">. </w:t>
      </w:r>
      <w:r>
        <w:t>Дополнительная</w:t>
      </w:r>
      <w:r w:rsidRPr="00C450B5">
        <w:t xml:space="preserve"> </w:t>
      </w:r>
      <w:r>
        <w:t>информация</w:t>
      </w:r>
      <w:r w:rsidRPr="00C450B5">
        <w:t xml:space="preserve"> </w:t>
      </w:r>
      <w:r>
        <w:t>об</w:t>
      </w:r>
      <w:r w:rsidRPr="00C450B5">
        <w:t xml:space="preserve"> </w:t>
      </w:r>
      <w:r>
        <w:t>этих</w:t>
      </w:r>
      <w:r w:rsidRPr="00C450B5">
        <w:t xml:space="preserve"> </w:t>
      </w:r>
      <w:r>
        <w:t>совещаниях</w:t>
      </w:r>
      <w:r w:rsidRPr="00C450B5">
        <w:t xml:space="preserve"> </w:t>
      </w:r>
      <w:r>
        <w:t>содержится</w:t>
      </w:r>
      <w:r w:rsidRPr="00C450B5">
        <w:t xml:space="preserve"> </w:t>
      </w:r>
      <w:r>
        <w:t>в</w:t>
      </w:r>
      <w:r w:rsidRPr="00C450B5">
        <w:t xml:space="preserve"> </w:t>
      </w:r>
      <w:r>
        <w:t>разделе</w:t>
      </w:r>
      <w:r w:rsidRPr="00C450B5">
        <w:t xml:space="preserve"> </w:t>
      </w:r>
      <w:r w:rsidRPr="008B600B">
        <w:rPr>
          <w:lang w:val="en-GB"/>
        </w:rPr>
        <w:t>IV</w:t>
      </w:r>
      <w:r w:rsidRPr="00C450B5">
        <w:t xml:space="preserve"> </w:t>
      </w:r>
      <w:r>
        <w:t>ниже</w:t>
      </w:r>
      <w:r w:rsidRPr="00C450B5">
        <w:t xml:space="preserve">. </w:t>
      </w:r>
    </w:p>
    <w:p w:rsidR="00025119" w:rsidRPr="009C20F3" w:rsidRDefault="00025119" w:rsidP="005A135B">
      <w:pPr>
        <w:pStyle w:val="SingleTxtGR"/>
      </w:pPr>
      <w:r w:rsidRPr="00C450B5">
        <w:rPr>
          <w:bCs/>
        </w:rPr>
        <w:t>10.</w:t>
      </w:r>
      <w:r w:rsidRPr="00C450B5">
        <w:rPr>
          <w:bCs/>
        </w:rPr>
        <w:tab/>
      </w:r>
      <w:r>
        <w:t>Эти</w:t>
      </w:r>
      <w:r w:rsidRPr="00C450B5">
        <w:t xml:space="preserve"> </w:t>
      </w:r>
      <w:r>
        <w:t>подвижки</w:t>
      </w:r>
      <w:r w:rsidRPr="00C450B5">
        <w:t xml:space="preserve"> </w:t>
      </w:r>
      <w:r>
        <w:t>отражают</w:t>
      </w:r>
      <w:r w:rsidRPr="00C450B5">
        <w:t xml:space="preserve"> </w:t>
      </w:r>
      <w:r>
        <w:t>предпочтение</w:t>
      </w:r>
      <w:r w:rsidRPr="00C450B5">
        <w:t xml:space="preserve"> Подкомитет</w:t>
      </w:r>
      <w:r>
        <w:t>а проводить заседания в формате подгрупп и рабочих групп, что облегчает обсуждение более широк</w:t>
      </w:r>
      <w:r>
        <w:t>о</w:t>
      </w:r>
      <w:r>
        <w:t>го круга вопросов с более углубленным вниманием и ориентацией и более вс</w:t>
      </w:r>
      <w:r>
        <w:t>е</w:t>
      </w:r>
      <w:r>
        <w:t xml:space="preserve">охватным подходом, чем это могло бы быть достигнуто в иных условиях. </w:t>
      </w:r>
    </w:p>
    <w:p w:rsidR="00025119" w:rsidRPr="00C450B5" w:rsidRDefault="00025119" w:rsidP="005A135B">
      <w:pPr>
        <w:pStyle w:val="H1GR"/>
      </w:pPr>
      <w:r w:rsidRPr="009C20F3">
        <w:tab/>
      </w:r>
      <w:r w:rsidRPr="008B600B">
        <w:rPr>
          <w:lang w:val="en-GB"/>
        </w:rPr>
        <w:t>C</w:t>
      </w:r>
      <w:r w:rsidRPr="00C450B5">
        <w:t>.</w:t>
      </w:r>
      <w:r w:rsidRPr="00C450B5">
        <w:tab/>
      </w:r>
      <w:r>
        <w:t>Посещения, проведенные за отчетный период</w:t>
      </w:r>
    </w:p>
    <w:p w:rsidR="00025119" w:rsidRPr="00C450B5" w:rsidRDefault="00025119" w:rsidP="005A135B">
      <w:pPr>
        <w:pStyle w:val="SingleTxtGR"/>
      </w:pPr>
      <w:r w:rsidRPr="00C450B5">
        <w:rPr>
          <w:bCs/>
        </w:rPr>
        <w:t>11.</w:t>
      </w:r>
      <w:r w:rsidRPr="00C450B5">
        <w:rPr>
          <w:bCs/>
        </w:rPr>
        <w:tab/>
      </w:r>
      <w:r>
        <w:rPr>
          <w:bCs/>
        </w:rPr>
        <w:t xml:space="preserve">В 2013 году </w:t>
      </w:r>
      <w:r w:rsidRPr="00C450B5">
        <w:t xml:space="preserve">Подкомитет </w:t>
      </w:r>
      <w:r>
        <w:t>провел шесть официальных посещений</w:t>
      </w:r>
      <w:r w:rsidRPr="00C450B5">
        <w:t xml:space="preserve">. </w:t>
      </w:r>
    </w:p>
    <w:p w:rsidR="00025119" w:rsidRPr="00C450B5" w:rsidRDefault="00025119" w:rsidP="005A135B">
      <w:pPr>
        <w:pStyle w:val="SingleTxtGR"/>
      </w:pPr>
      <w:r w:rsidRPr="00C450B5">
        <w:rPr>
          <w:bCs/>
        </w:rPr>
        <w:t>12.</w:t>
      </w:r>
      <w:r w:rsidRPr="00C450B5">
        <w:rPr>
          <w:bCs/>
        </w:rPr>
        <w:tab/>
      </w:r>
      <w:r>
        <w:t>Эти посещения были проведены в соответствии с мандатом Подкомитета, пред</w:t>
      </w:r>
      <w:r>
        <w:t>у</w:t>
      </w:r>
      <w:r>
        <w:t>смотренным статьей</w:t>
      </w:r>
      <w:r w:rsidRPr="00C450B5">
        <w:t xml:space="preserve"> 11 </w:t>
      </w:r>
      <w:r w:rsidRPr="008B600B">
        <w:rPr>
          <w:lang w:val="en-GB"/>
        </w:rPr>
        <w:t>a</w:t>
      </w:r>
      <w:r w:rsidRPr="00C450B5">
        <w:t xml:space="preserve">) </w:t>
      </w:r>
      <w:r>
        <w:t>Факультативного протокола</w:t>
      </w:r>
      <w:r w:rsidR="00A56DA4">
        <w:t xml:space="preserve">: </w:t>
      </w:r>
      <w:r>
        <w:t>в Новую</w:t>
      </w:r>
      <w:r w:rsidRPr="00C450B5">
        <w:t xml:space="preserve"> Зелан</w:t>
      </w:r>
      <w:r>
        <w:t>дию</w:t>
      </w:r>
      <w:r w:rsidRPr="00C450B5">
        <w:t xml:space="preserve"> (29 </w:t>
      </w:r>
      <w:r>
        <w:t>апреля − 8 мая</w:t>
      </w:r>
      <w:r w:rsidRPr="00C450B5">
        <w:t xml:space="preserve">), Перу (10–20 </w:t>
      </w:r>
      <w:r>
        <w:t>сентября</w:t>
      </w:r>
      <w:r w:rsidRPr="00C450B5">
        <w:t xml:space="preserve">) </w:t>
      </w:r>
      <w:r>
        <w:t>и</w:t>
      </w:r>
      <w:r w:rsidRPr="00C450B5">
        <w:t xml:space="preserve"> Габон (3–12 </w:t>
      </w:r>
      <w:r>
        <w:t>декабря</w:t>
      </w:r>
      <w:r w:rsidRPr="00C450B5">
        <w:t>).</w:t>
      </w:r>
    </w:p>
    <w:p w:rsidR="00025119" w:rsidRPr="00C450B5" w:rsidRDefault="00025119" w:rsidP="005A135B">
      <w:pPr>
        <w:pStyle w:val="SingleTxtGR"/>
      </w:pPr>
      <w:r w:rsidRPr="00C450B5">
        <w:rPr>
          <w:bCs/>
        </w:rPr>
        <w:t>13.</w:t>
      </w:r>
      <w:r w:rsidRPr="00C450B5">
        <w:rPr>
          <w:bCs/>
        </w:rPr>
        <w:tab/>
      </w:r>
      <w:r>
        <w:rPr>
          <w:bCs/>
        </w:rPr>
        <w:t xml:space="preserve">Два </w:t>
      </w:r>
      <w:r>
        <w:t>посещения были проведены в соответствии с мандатом Подкомитета, предусмотренным статьей</w:t>
      </w:r>
      <w:r w:rsidRPr="00C450B5">
        <w:t xml:space="preserve"> 11 </w:t>
      </w:r>
      <w:r w:rsidRPr="008B600B">
        <w:rPr>
          <w:lang w:val="en-GB"/>
        </w:rPr>
        <w:t>b</w:t>
      </w:r>
      <w:r w:rsidRPr="00C450B5">
        <w:t xml:space="preserve">) </w:t>
      </w:r>
      <w:r>
        <w:t>и статьей</w:t>
      </w:r>
      <w:r w:rsidRPr="00C450B5">
        <w:t xml:space="preserve"> 12 </w:t>
      </w:r>
      <w:r>
        <w:t>Факультативного протокола</w:t>
      </w:r>
      <w:r w:rsidR="00A56DA4">
        <w:t>:</w:t>
      </w:r>
      <w:r>
        <w:t xml:space="preserve"> в Гер</w:t>
      </w:r>
      <w:r w:rsidRPr="00C450B5">
        <w:t>ма</w:t>
      </w:r>
      <w:r>
        <w:t>нию</w:t>
      </w:r>
      <w:r w:rsidRPr="00C450B5">
        <w:t xml:space="preserve"> (8–12 </w:t>
      </w:r>
      <w:r>
        <w:t>апреля</w:t>
      </w:r>
      <w:r w:rsidRPr="00C450B5">
        <w:t xml:space="preserve">) </w:t>
      </w:r>
      <w:r>
        <w:t>и Армению</w:t>
      </w:r>
      <w:r w:rsidRPr="00C450B5">
        <w:t xml:space="preserve"> (3–6 </w:t>
      </w:r>
      <w:r>
        <w:t>сентября</w:t>
      </w:r>
      <w:r w:rsidRPr="00C450B5">
        <w:t xml:space="preserve">). </w:t>
      </w:r>
    </w:p>
    <w:p w:rsidR="00025119" w:rsidRPr="00213B0E" w:rsidRDefault="00025119" w:rsidP="005A135B">
      <w:pPr>
        <w:pStyle w:val="SingleTxtGR"/>
      </w:pPr>
      <w:r w:rsidRPr="00213B0E">
        <w:rPr>
          <w:bCs/>
        </w:rPr>
        <w:t>14.</w:t>
      </w:r>
      <w:r w:rsidRPr="00213B0E">
        <w:rPr>
          <w:bCs/>
        </w:rPr>
        <w:tab/>
      </w:r>
      <w:r>
        <w:rPr>
          <w:bCs/>
        </w:rPr>
        <w:t xml:space="preserve">Одно </w:t>
      </w:r>
      <w:r>
        <w:t>посещение было проведено в соответствии с мандатом Подкомит</w:t>
      </w:r>
      <w:r>
        <w:t>е</w:t>
      </w:r>
      <w:r>
        <w:t>та, предусмотренным пунктом 4 статьи 13</w:t>
      </w:r>
      <w:r w:rsidRPr="00C450B5">
        <w:t xml:space="preserve"> </w:t>
      </w:r>
      <w:r>
        <w:t>Факультативного протокола</w:t>
      </w:r>
      <w:r w:rsidR="00A56DA4">
        <w:t>:</w:t>
      </w:r>
      <w:r>
        <w:t xml:space="preserve"> в </w:t>
      </w:r>
      <w:r w:rsidRPr="00213B0E">
        <w:t>Ка</w:t>
      </w:r>
      <w:r w:rsidRPr="00213B0E">
        <w:t>м</w:t>
      </w:r>
      <w:r w:rsidRPr="00213B0E">
        <w:t>бодж</w:t>
      </w:r>
      <w:r>
        <w:t>у</w:t>
      </w:r>
      <w:r w:rsidRPr="00213B0E">
        <w:t xml:space="preserve"> (9–13 </w:t>
      </w:r>
      <w:r>
        <w:t>дека</w:t>
      </w:r>
      <w:r>
        <w:t>б</w:t>
      </w:r>
      <w:r>
        <w:t>ря</w:t>
      </w:r>
      <w:r w:rsidRPr="00213B0E">
        <w:t>).</w:t>
      </w:r>
    </w:p>
    <w:p w:rsidR="00025119" w:rsidRPr="00213B0E" w:rsidRDefault="00025119" w:rsidP="005A135B">
      <w:pPr>
        <w:pStyle w:val="SingleTxtGR"/>
      </w:pPr>
      <w:r w:rsidRPr="00213B0E">
        <w:rPr>
          <w:bCs/>
        </w:rPr>
        <w:t>15.</w:t>
      </w:r>
      <w:r w:rsidRPr="00213B0E">
        <w:rPr>
          <w:bCs/>
        </w:rPr>
        <w:tab/>
      </w:r>
      <w:r>
        <w:t>С дополнительной резюмирующей информацией о вышеупомянутых п</w:t>
      </w:r>
      <w:r>
        <w:t>о</w:t>
      </w:r>
      <w:r>
        <w:t>сещениях можно ознакомиться в пресс-релизах, выпущенных после каждого посещения.</w:t>
      </w:r>
    </w:p>
    <w:p w:rsidR="00025119" w:rsidRPr="00CA0FBC" w:rsidRDefault="00025119" w:rsidP="005A135B">
      <w:pPr>
        <w:pStyle w:val="H1GR"/>
      </w:pPr>
      <w:r w:rsidRPr="00213B0E">
        <w:tab/>
      </w:r>
      <w:r w:rsidRPr="008B600B">
        <w:rPr>
          <w:lang w:val="en-GB"/>
        </w:rPr>
        <w:t>D</w:t>
      </w:r>
      <w:r w:rsidRPr="00CA0FBC">
        <w:t>.</w:t>
      </w:r>
      <w:r w:rsidRPr="00CA0FBC">
        <w:tab/>
      </w:r>
      <w:r>
        <w:t>Диалог</w:t>
      </w:r>
      <w:r w:rsidRPr="00CA0FBC">
        <w:t xml:space="preserve"> </w:t>
      </w:r>
      <w:r>
        <w:t>в</w:t>
      </w:r>
      <w:r w:rsidRPr="00CA0FBC">
        <w:t xml:space="preserve"> </w:t>
      </w:r>
      <w:r>
        <w:t>связи</w:t>
      </w:r>
      <w:r w:rsidRPr="00CA0FBC">
        <w:t xml:space="preserve"> </w:t>
      </w:r>
      <w:r>
        <w:t>с</w:t>
      </w:r>
      <w:r w:rsidRPr="00CA0FBC">
        <w:t xml:space="preserve"> </w:t>
      </w:r>
      <w:r>
        <w:t>посещениями</w:t>
      </w:r>
      <w:r w:rsidRPr="00CA0FBC">
        <w:t xml:space="preserve">, </w:t>
      </w:r>
      <w:r>
        <w:t>включая</w:t>
      </w:r>
      <w:r w:rsidRPr="00CA0FBC">
        <w:t xml:space="preserve"> </w:t>
      </w:r>
      <w:r>
        <w:t>публикацию</w:t>
      </w:r>
      <w:r w:rsidRPr="00CA0FBC">
        <w:t xml:space="preserve"> </w:t>
      </w:r>
      <w:r>
        <w:t>докладов</w:t>
      </w:r>
      <w:r w:rsidRPr="00CA0FBC">
        <w:t xml:space="preserve"> Подкомитет</w:t>
      </w:r>
      <w:r>
        <w:t>а государствами-участниками и национальными превентивными механи</w:t>
      </w:r>
      <w:r>
        <w:t>з</w:t>
      </w:r>
      <w:r>
        <w:t>мами</w:t>
      </w:r>
    </w:p>
    <w:p w:rsidR="00025119" w:rsidRPr="008415B0" w:rsidRDefault="00025119" w:rsidP="005A135B">
      <w:pPr>
        <w:pStyle w:val="SingleTxtGR"/>
      </w:pPr>
      <w:r w:rsidRPr="00CA0FBC">
        <w:t>16.</w:t>
      </w:r>
      <w:r w:rsidRPr="00CA0FBC">
        <w:tab/>
      </w:r>
      <w:r>
        <w:t>Существенные аспекты диалога, связанные с посещениями, регулирую</w:t>
      </w:r>
      <w:r>
        <w:t>т</w:t>
      </w:r>
      <w:r>
        <w:t>ся правилом конфиденциальности. Доклады предаются гласности только с с</w:t>
      </w:r>
      <w:r>
        <w:t>о</w:t>
      </w:r>
      <w:r>
        <w:t>гласия соответс</w:t>
      </w:r>
      <w:r>
        <w:t>т</w:t>
      </w:r>
      <w:r>
        <w:t>вующего государства-участника или НПМ. На</w:t>
      </w:r>
      <w:r w:rsidRPr="00CA0FBC">
        <w:t xml:space="preserve"> </w:t>
      </w:r>
      <w:r>
        <w:t>конец</w:t>
      </w:r>
      <w:r w:rsidRPr="00CA0FBC">
        <w:t xml:space="preserve"> 2013 </w:t>
      </w:r>
      <w:r>
        <w:t>года</w:t>
      </w:r>
      <w:r w:rsidRPr="00CA0FBC">
        <w:t xml:space="preserve"> Подкомитет </w:t>
      </w:r>
      <w:r>
        <w:t>препроводил</w:t>
      </w:r>
      <w:r w:rsidRPr="00CA0FBC">
        <w:t xml:space="preserve"> </w:t>
      </w:r>
      <w:r>
        <w:t>в</w:t>
      </w:r>
      <w:r w:rsidRPr="00CA0FBC">
        <w:t xml:space="preserve"> </w:t>
      </w:r>
      <w:r>
        <w:t>общей</w:t>
      </w:r>
      <w:r w:rsidRPr="00CA0FBC">
        <w:t xml:space="preserve"> </w:t>
      </w:r>
      <w:r>
        <w:t>сложности</w:t>
      </w:r>
      <w:r w:rsidRPr="00CA0FBC">
        <w:t xml:space="preserve"> 28 </w:t>
      </w:r>
      <w:r>
        <w:t>докладов</w:t>
      </w:r>
      <w:r w:rsidRPr="00CA0FBC">
        <w:t xml:space="preserve"> </w:t>
      </w:r>
      <w:r>
        <w:t>о</w:t>
      </w:r>
      <w:r w:rsidRPr="00CA0FBC">
        <w:t xml:space="preserve"> </w:t>
      </w:r>
      <w:r>
        <w:t>посещениях</w:t>
      </w:r>
      <w:r w:rsidRPr="00CA0FBC">
        <w:t xml:space="preserve"> </w:t>
      </w:r>
      <w:r>
        <w:t>гос</w:t>
      </w:r>
      <w:r>
        <w:t>у</w:t>
      </w:r>
      <w:r>
        <w:t>дарствам</w:t>
      </w:r>
      <w:r w:rsidRPr="00CA0FBC">
        <w:t>-</w:t>
      </w:r>
      <w:r>
        <w:t xml:space="preserve">участникам и НПМ: 17 докладов о посещениях в соответствии со статьей 11 </w:t>
      </w:r>
      <w:r w:rsidRPr="008B600B">
        <w:rPr>
          <w:lang w:val="en-GB"/>
        </w:rPr>
        <w:t>a</w:t>
      </w:r>
      <w:r w:rsidRPr="00CA0FBC">
        <w:t xml:space="preserve">) </w:t>
      </w:r>
      <w:r w:rsidRPr="008415B0">
        <w:t>Факультативного протокола</w:t>
      </w:r>
      <w:r w:rsidRPr="00CA0FBC">
        <w:t xml:space="preserve">, </w:t>
      </w:r>
      <w:r>
        <w:t>в том числе 2 в течение отчетного п</w:t>
      </w:r>
      <w:r>
        <w:t>е</w:t>
      </w:r>
      <w:r>
        <w:t xml:space="preserve">риода − по </w:t>
      </w:r>
      <w:r w:rsidRPr="00CA0FBC">
        <w:t>Кыргызстан</w:t>
      </w:r>
      <w:r>
        <w:t>у и</w:t>
      </w:r>
      <w:r w:rsidRPr="00CA0FBC">
        <w:t xml:space="preserve"> Нов</w:t>
      </w:r>
      <w:r>
        <w:t>ой</w:t>
      </w:r>
      <w:r w:rsidRPr="00CA0FBC">
        <w:t xml:space="preserve"> Зеланди</w:t>
      </w:r>
      <w:r>
        <w:t>и</w:t>
      </w:r>
      <w:r w:rsidRPr="00CA0FBC">
        <w:t xml:space="preserve">; 1 </w:t>
      </w:r>
      <w:r w:rsidRPr="008415B0">
        <w:t>доклад о последующем посещ</w:t>
      </w:r>
      <w:r w:rsidRPr="008415B0">
        <w:t>е</w:t>
      </w:r>
      <w:r w:rsidRPr="008415B0">
        <w:t>нии</w:t>
      </w:r>
      <w:r w:rsidRPr="00CA0FBC">
        <w:t xml:space="preserve"> </w:t>
      </w:r>
      <w:r>
        <w:t xml:space="preserve">в соответствии с пунктом 4 статьи </w:t>
      </w:r>
      <w:r w:rsidRPr="00CA0FBC">
        <w:t xml:space="preserve">13 </w:t>
      </w:r>
      <w:r w:rsidRPr="008415B0">
        <w:t>Факультативн</w:t>
      </w:r>
      <w:r w:rsidRPr="008415B0">
        <w:t>о</w:t>
      </w:r>
      <w:r w:rsidRPr="008415B0">
        <w:t>го протокола</w:t>
      </w:r>
      <w:r w:rsidRPr="00CA0FBC">
        <w:t xml:space="preserve">; </w:t>
      </w:r>
      <w:r>
        <w:t>и 10 </w:t>
      </w:r>
      <w:r w:rsidRPr="008415B0">
        <w:t>доклад</w:t>
      </w:r>
      <w:r>
        <w:t xml:space="preserve">ов в связи с консультативными </w:t>
      </w:r>
      <w:r w:rsidRPr="008415B0">
        <w:t>посещени</w:t>
      </w:r>
      <w:r>
        <w:t xml:space="preserve">ями НПМ в соответствии со статьями 11 </w:t>
      </w:r>
      <w:r w:rsidRPr="008B600B">
        <w:rPr>
          <w:lang w:val="en-GB"/>
        </w:rPr>
        <w:t>b</w:t>
      </w:r>
      <w:r w:rsidRPr="00CA0FBC">
        <w:t>)</w:t>
      </w:r>
      <w:r w:rsidRPr="00CD22F4">
        <w:rPr>
          <w:rStyle w:val="FootnoteReference"/>
        </w:rPr>
        <w:footnoteReference w:id="3"/>
      </w:r>
      <w:r w:rsidRPr="00CA0FBC">
        <w:t xml:space="preserve"> </w:t>
      </w:r>
      <w:r>
        <w:t>и</w:t>
      </w:r>
      <w:r w:rsidRPr="00CA0FBC">
        <w:t xml:space="preserve"> 12 </w:t>
      </w:r>
      <w:r w:rsidRPr="008415B0">
        <w:t>Факультативного протокола</w:t>
      </w:r>
      <w:r w:rsidRPr="00CA0FBC">
        <w:t xml:space="preserve">, </w:t>
      </w:r>
      <w:r>
        <w:t xml:space="preserve">в том числе </w:t>
      </w:r>
      <w:r w:rsidRPr="00CA0FBC">
        <w:t xml:space="preserve">8 </w:t>
      </w:r>
      <w:r w:rsidRPr="008415B0">
        <w:t>доклад</w:t>
      </w:r>
      <w:r>
        <w:t>ов в теч</w:t>
      </w:r>
      <w:r>
        <w:t>е</w:t>
      </w:r>
      <w:r>
        <w:t>ние отчетного периода для государств-участников и НПМ</w:t>
      </w:r>
      <w:r w:rsidRPr="00CA0FBC">
        <w:t xml:space="preserve"> Армени</w:t>
      </w:r>
      <w:r>
        <w:t>и</w:t>
      </w:r>
      <w:r w:rsidRPr="00CA0FBC">
        <w:t>, Германи</w:t>
      </w:r>
      <w:r>
        <w:t>и</w:t>
      </w:r>
      <w:r w:rsidRPr="00CA0FBC">
        <w:t>, Республик</w:t>
      </w:r>
      <w:r>
        <w:t>и</w:t>
      </w:r>
      <w:r w:rsidRPr="00CA0FBC">
        <w:t xml:space="preserve"> Молдова </w:t>
      </w:r>
      <w:r>
        <w:t>и</w:t>
      </w:r>
      <w:r w:rsidRPr="00CA0FBC">
        <w:t xml:space="preserve"> Сенегал</w:t>
      </w:r>
      <w:r>
        <w:t>а</w:t>
      </w:r>
      <w:r w:rsidRPr="00CA0FBC">
        <w:t>.</w:t>
      </w:r>
      <w:r>
        <w:t xml:space="preserve"> В</w:t>
      </w:r>
      <w:r w:rsidRPr="008415B0">
        <w:t xml:space="preserve"> </w:t>
      </w:r>
      <w:r>
        <w:t>общей</w:t>
      </w:r>
      <w:r w:rsidRPr="008415B0">
        <w:t xml:space="preserve"> </w:t>
      </w:r>
      <w:r>
        <w:t>сложности</w:t>
      </w:r>
      <w:r w:rsidRPr="008415B0">
        <w:t xml:space="preserve"> 12 доклад</w:t>
      </w:r>
      <w:r>
        <w:t>ов</w:t>
      </w:r>
      <w:r w:rsidRPr="008415B0">
        <w:t xml:space="preserve"> о посещен</w:t>
      </w:r>
      <w:r w:rsidRPr="008415B0">
        <w:t>и</w:t>
      </w:r>
      <w:r>
        <w:t>ях</w:t>
      </w:r>
      <w:r w:rsidRPr="008415B0">
        <w:t xml:space="preserve"> Подкомитет</w:t>
      </w:r>
      <w:r>
        <w:t>а были опубликованы по просьбам государств-участников в с</w:t>
      </w:r>
      <w:r>
        <w:t>о</w:t>
      </w:r>
      <w:r>
        <w:t>ответствии с пунктом 2 статьи 16</w:t>
      </w:r>
      <w:r w:rsidRPr="008415B0">
        <w:t xml:space="preserve"> Факультативного протокола</w:t>
      </w:r>
      <w:r>
        <w:t xml:space="preserve"> или просьбам НПМ. Два </w:t>
      </w:r>
      <w:r w:rsidRPr="008415B0">
        <w:t>доклад</w:t>
      </w:r>
      <w:r>
        <w:t xml:space="preserve">а в связи с консультативными </w:t>
      </w:r>
      <w:r w:rsidRPr="008415B0">
        <w:t>посещени</w:t>
      </w:r>
      <w:r>
        <w:t>ями НПМ были опу</w:t>
      </w:r>
      <w:r>
        <w:t>б</w:t>
      </w:r>
      <w:r>
        <w:t xml:space="preserve">ликованы по просьбам НПМ </w:t>
      </w:r>
      <w:r w:rsidRPr="008415B0">
        <w:t>Республик</w:t>
      </w:r>
      <w:r>
        <w:t>и</w:t>
      </w:r>
      <w:r w:rsidRPr="008415B0">
        <w:t xml:space="preserve"> Молдова </w:t>
      </w:r>
      <w:r>
        <w:t>и</w:t>
      </w:r>
      <w:r w:rsidRPr="008415B0">
        <w:t xml:space="preserve"> Сенегал</w:t>
      </w:r>
      <w:r>
        <w:t>а в течение отче</w:t>
      </w:r>
      <w:r>
        <w:t>т</w:t>
      </w:r>
      <w:r>
        <w:t xml:space="preserve">ного периода и один доклад в связи с </w:t>
      </w:r>
      <w:r w:rsidRPr="008415B0">
        <w:t>посещени</w:t>
      </w:r>
      <w:r>
        <w:t>ем в соответствии со стат</w:t>
      </w:r>
      <w:r>
        <w:t>ь</w:t>
      </w:r>
      <w:r>
        <w:t>ей 11 </w:t>
      </w:r>
      <w:r w:rsidRPr="008B600B">
        <w:rPr>
          <w:lang w:val="en-GB"/>
        </w:rPr>
        <w:t>a</w:t>
      </w:r>
      <w:r w:rsidRPr="008415B0">
        <w:t xml:space="preserve">) Факультативного протокола </w:t>
      </w:r>
      <w:r>
        <w:t xml:space="preserve">был опубликован по просьбе </w:t>
      </w:r>
      <w:r w:rsidRPr="008415B0">
        <w:t>Арге</w:t>
      </w:r>
      <w:r w:rsidRPr="008415B0">
        <w:t>н</w:t>
      </w:r>
      <w:r w:rsidRPr="008415B0">
        <w:t>тин</w:t>
      </w:r>
      <w:r>
        <w:t>ы</w:t>
      </w:r>
      <w:r w:rsidRPr="008415B0">
        <w:t>.</w:t>
      </w:r>
    </w:p>
    <w:p w:rsidR="00025119" w:rsidRPr="008415B0" w:rsidRDefault="00025119" w:rsidP="005A135B">
      <w:pPr>
        <w:pStyle w:val="SingleTxtGR"/>
      </w:pPr>
      <w:r w:rsidRPr="008415B0">
        <w:t>17.</w:t>
      </w:r>
      <w:r w:rsidRPr="008415B0">
        <w:tab/>
      </w:r>
      <w:r>
        <w:t xml:space="preserve">В соответствии с устоявшейся практикой получателям предлагается представить ответ на </w:t>
      </w:r>
      <w:r w:rsidRPr="008415B0">
        <w:t xml:space="preserve">доклад о посещении </w:t>
      </w:r>
      <w:r>
        <w:t>в течение шести месяцев с момента его препровождения с полным отчетом о мерах, принятых для осуществления содержащихся в нем рекоме</w:t>
      </w:r>
      <w:r>
        <w:t>н</w:t>
      </w:r>
      <w:r>
        <w:t>даций. На конец</w:t>
      </w:r>
      <w:r w:rsidRPr="008415B0">
        <w:t xml:space="preserve"> 2013</w:t>
      </w:r>
      <w:r>
        <w:t xml:space="preserve"> года </w:t>
      </w:r>
      <w:r w:rsidRPr="008415B0">
        <w:t xml:space="preserve">Подкомитет </w:t>
      </w:r>
      <w:r>
        <w:t xml:space="preserve">получил от государств-участников </w:t>
      </w:r>
      <w:r w:rsidRPr="008415B0">
        <w:t xml:space="preserve">11 </w:t>
      </w:r>
      <w:r>
        <w:t xml:space="preserve">ответов на доклады о посещениях в соответствии со статьей </w:t>
      </w:r>
      <w:r w:rsidRPr="008415B0">
        <w:t xml:space="preserve">11 </w:t>
      </w:r>
      <w:r w:rsidRPr="008B600B">
        <w:rPr>
          <w:lang w:val="en-GB"/>
        </w:rPr>
        <w:t>a</w:t>
      </w:r>
      <w:r w:rsidRPr="008415B0">
        <w:t xml:space="preserve">) Факультативного протокола. </w:t>
      </w:r>
      <w:r>
        <w:t xml:space="preserve">Ответы </w:t>
      </w:r>
      <w:r w:rsidRPr="008415B0">
        <w:t>Аргентин</w:t>
      </w:r>
      <w:r>
        <w:t>ы</w:t>
      </w:r>
      <w:r w:rsidRPr="008415B0">
        <w:t>, Бенин</w:t>
      </w:r>
      <w:r>
        <w:t>а</w:t>
      </w:r>
      <w:r w:rsidRPr="008415B0">
        <w:t xml:space="preserve">, </w:t>
      </w:r>
      <w:r>
        <w:t>Браз</w:t>
      </w:r>
      <w:r>
        <w:t>и</w:t>
      </w:r>
      <w:r>
        <w:t>лии</w:t>
      </w:r>
      <w:r w:rsidRPr="008415B0">
        <w:t>, Мексик</w:t>
      </w:r>
      <w:r>
        <w:t>и</w:t>
      </w:r>
      <w:r w:rsidRPr="008415B0">
        <w:t xml:space="preserve"> (2 </w:t>
      </w:r>
      <w:r>
        <w:t>ответа</w:t>
      </w:r>
      <w:r w:rsidRPr="008415B0">
        <w:t>), Парагва</w:t>
      </w:r>
      <w:r>
        <w:t>я</w:t>
      </w:r>
      <w:r w:rsidRPr="008415B0">
        <w:t xml:space="preserve"> </w:t>
      </w:r>
      <w:r>
        <w:t>и</w:t>
      </w:r>
      <w:r w:rsidRPr="008415B0">
        <w:t xml:space="preserve"> Швеци</w:t>
      </w:r>
      <w:r>
        <w:t xml:space="preserve">и были опубликованы, а ответы </w:t>
      </w:r>
      <w:r w:rsidRPr="008415B0">
        <w:t>Б</w:t>
      </w:r>
      <w:r w:rsidRPr="008415B0">
        <w:t>о</w:t>
      </w:r>
      <w:r w:rsidRPr="008415B0">
        <w:t>ливи</w:t>
      </w:r>
      <w:r>
        <w:t>и</w:t>
      </w:r>
      <w:r w:rsidRPr="008415B0">
        <w:t xml:space="preserve"> (</w:t>
      </w:r>
      <w:r>
        <w:t>Многонациональное Государство</w:t>
      </w:r>
      <w:r w:rsidRPr="008415B0">
        <w:t>), Ливан</w:t>
      </w:r>
      <w:r>
        <w:t>а</w:t>
      </w:r>
      <w:r w:rsidRPr="008415B0">
        <w:t>, Маврики</w:t>
      </w:r>
      <w:r>
        <w:t>я</w:t>
      </w:r>
      <w:r w:rsidRPr="008415B0">
        <w:t xml:space="preserve"> </w:t>
      </w:r>
      <w:r>
        <w:t>и</w:t>
      </w:r>
      <w:r w:rsidRPr="008415B0">
        <w:t xml:space="preserve"> Ук</w:t>
      </w:r>
      <w:r>
        <w:t>раины ост</w:t>
      </w:r>
      <w:r>
        <w:t>а</w:t>
      </w:r>
      <w:r>
        <w:t xml:space="preserve">ются конфиденциальными. </w:t>
      </w:r>
      <w:r w:rsidRPr="008415B0">
        <w:t xml:space="preserve">Подкомитет </w:t>
      </w:r>
      <w:r>
        <w:t>считает просроченными ответы сл</w:t>
      </w:r>
      <w:r>
        <w:t>е</w:t>
      </w:r>
      <w:r>
        <w:t>дующих государств-участников:</w:t>
      </w:r>
      <w:r w:rsidRPr="008415B0">
        <w:t xml:space="preserve"> Гондурас</w:t>
      </w:r>
      <w:r>
        <w:t>а</w:t>
      </w:r>
      <w:r w:rsidRPr="008415B0">
        <w:t>, Камбодж</w:t>
      </w:r>
      <w:r>
        <w:t>и</w:t>
      </w:r>
      <w:r w:rsidRPr="008415B0">
        <w:t>, Либери</w:t>
      </w:r>
      <w:r>
        <w:t>и</w:t>
      </w:r>
      <w:r w:rsidRPr="008415B0">
        <w:t xml:space="preserve">, </w:t>
      </w:r>
      <w:r>
        <w:t>Мали</w:t>
      </w:r>
      <w:r w:rsidRPr="008415B0">
        <w:t xml:space="preserve"> </w:t>
      </w:r>
      <w:r>
        <w:t xml:space="preserve">и </w:t>
      </w:r>
      <w:r w:rsidRPr="008415B0">
        <w:t>Мал</w:t>
      </w:r>
      <w:r w:rsidRPr="008415B0">
        <w:t>ь</w:t>
      </w:r>
      <w:r w:rsidRPr="008415B0">
        <w:t>дивски</w:t>
      </w:r>
      <w:r>
        <w:t>х</w:t>
      </w:r>
      <w:r w:rsidRPr="008415B0">
        <w:t xml:space="preserve"> Ос</w:t>
      </w:r>
      <w:r w:rsidRPr="008415B0">
        <w:t>т</w:t>
      </w:r>
      <w:r>
        <w:t xml:space="preserve">ровов. </w:t>
      </w:r>
    </w:p>
    <w:p w:rsidR="00025119" w:rsidRPr="008415B0" w:rsidRDefault="00025119" w:rsidP="005A135B">
      <w:pPr>
        <w:pStyle w:val="SingleTxtGR"/>
      </w:pPr>
      <w:r w:rsidRPr="008415B0">
        <w:rPr>
          <w:bCs/>
        </w:rPr>
        <w:t>18.</w:t>
      </w:r>
      <w:r w:rsidRPr="008415B0">
        <w:rPr>
          <w:bCs/>
        </w:rPr>
        <w:tab/>
      </w:r>
      <w:r>
        <w:t>В</w:t>
      </w:r>
      <w:r w:rsidRPr="008415B0">
        <w:t xml:space="preserve"> </w:t>
      </w:r>
      <w:r>
        <w:t>настоящее</w:t>
      </w:r>
      <w:r w:rsidRPr="008415B0">
        <w:t xml:space="preserve"> </w:t>
      </w:r>
      <w:r>
        <w:t>время</w:t>
      </w:r>
      <w:r w:rsidRPr="008415B0">
        <w:t xml:space="preserve"> Подкомитет </w:t>
      </w:r>
      <w:r>
        <w:t>направляет свой конфиденциальный письменный ответ на все полученные ответы. В</w:t>
      </w:r>
      <w:r w:rsidRPr="008415B0">
        <w:t xml:space="preserve"> 2013</w:t>
      </w:r>
      <w:r>
        <w:t xml:space="preserve"> году он препроводил т</w:t>
      </w:r>
      <w:r>
        <w:t>а</w:t>
      </w:r>
      <w:r>
        <w:t xml:space="preserve">кой свой ответ </w:t>
      </w:r>
      <w:r w:rsidRPr="008415B0">
        <w:t>Браз</w:t>
      </w:r>
      <w:r w:rsidRPr="008415B0">
        <w:t>и</w:t>
      </w:r>
      <w:r w:rsidRPr="008415B0">
        <w:t>ли</w:t>
      </w:r>
      <w:r>
        <w:t>и</w:t>
      </w:r>
      <w:r w:rsidRPr="008415B0">
        <w:t xml:space="preserve">. </w:t>
      </w:r>
      <w:r>
        <w:t>Все ответы сейчас остаются конфиденциальными</w:t>
      </w:r>
      <w:r w:rsidRPr="008415B0">
        <w:t xml:space="preserve">. </w:t>
      </w:r>
    </w:p>
    <w:p w:rsidR="00025119" w:rsidRPr="008415B0" w:rsidRDefault="00025119" w:rsidP="005A135B">
      <w:pPr>
        <w:pStyle w:val="SingleTxtGR"/>
      </w:pPr>
      <w:r w:rsidRPr="008415B0">
        <w:rPr>
          <w:bCs/>
        </w:rPr>
        <w:t>19.</w:t>
      </w:r>
      <w:r w:rsidRPr="008415B0">
        <w:rPr>
          <w:bCs/>
        </w:rPr>
        <w:tab/>
      </w:r>
      <w:r w:rsidRPr="008415B0">
        <w:t xml:space="preserve">Подкомитет </w:t>
      </w:r>
      <w:r>
        <w:t xml:space="preserve">провел два посещения в соответствии с пунктом 4 статьи </w:t>
      </w:r>
      <w:r w:rsidRPr="008415B0">
        <w:t>13 Факультативного протокола</w:t>
      </w:r>
      <w:r>
        <w:t xml:space="preserve">: в </w:t>
      </w:r>
      <w:r w:rsidRPr="008415B0">
        <w:t>Камбодж</w:t>
      </w:r>
      <w:r>
        <w:t>у и</w:t>
      </w:r>
      <w:r w:rsidRPr="008415B0">
        <w:t xml:space="preserve"> Парагвай. </w:t>
      </w:r>
      <w:r>
        <w:t xml:space="preserve">Посещение </w:t>
      </w:r>
      <w:r w:rsidRPr="008415B0">
        <w:t>Камбодж</w:t>
      </w:r>
      <w:r>
        <w:t>и с</w:t>
      </w:r>
      <w:r>
        <w:t>о</w:t>
      </w:r>
      <w:r>
        <w:t>стоялось в течение отчетного периода. Д</w:t>
      </w:r>
      <w:r w:rsidRPr="008415B0">
        <w:t xml:space="preserve">оклад </w:t>
      </w:r>
      <w:r>
        <w:t>и</w:t>
      </w:r>
      <w:r w:rsidRPr="008415B0">
        <w:t xml:space="preserve"> </w:t>
      </w:r>
      <w:r>
        <w:t>ответ</w:t>
      </w:r>
      <w:r w:rsidRPr="008415B0">
        <w:t xml:space="preserve"> </w:t>
      </w:r>
      <w:r>
        <w:t>в</w:t>
      </w:r>
      <w:r w:rsidRPr="008415B0">
        <w:t xml:space="preserve"> </w:t>
      </w:r>
      <w:r>
        <w:t>связи</w:t>
      </w:r>
      <w:r w:rsidRPr="008415B0">
        <w:t xml:space="preserve"> </w:t>
      </w:r>
      <w:r>
        <w:t>с</w:t>
      </w:r>
      <w:r w:rsidRPr="008415B0">
        <w:t xml:space="preserve"> </w:t>
      </w:r>
      <w:r>
        <w:t>предыдущим</w:t>
      </w:r>
      <w:r w:rsidRPr="008415B0">
        <w:t xml:space="preserve"> посещени</w:t>
      </w:r>
      <w:r>
        <w:t>ем</w:t>
      </w:r>
      <w:r w:rsidRPr="008415B0">
        <w:t xml:space="preserve"> Парагва</w:t>
      </w:r>
      <w:r>
        <w:t>я в соответствии с пунктом 4 статьи 13 был опубликован по просьбе государства-участника</w:t>
      </w:r>
      <w:r w:rsidRPr="008415B0">
        <w:t>.</w:t>
      </w:r>
    </w:p>
    <w:p w:rsidR="00025119" w:rsidRDefault="00025119" w:rsidP="005A135B">
      <w:pPr>
        <w:pStyle w:val="SingleTxtGR"/>
      </w:pPr>
      <w:r w:rsidRPr="008415B0">
        <w:rPr>
          <w:bCs/>
        </w:rPr>
        <w:t>20.</w:t>
      </w:r>
      <w:r w:rsidRPr="008415B0">
        <w:rPr>
          <w:bCs/>
        </w:rPr>
        <w:tab/>
      </w:r>
      <w:r w:rsidRPr="008415B0">
        <w:t xml:space="preserve">Подкомитет </w:t>
      </w:r>
      <w:r>
        <w:t xml:space="preserve">препроводил </w:t>
      </w:r>
      <w:r w:rsidRPr="008415B0">
        <w:t>доклад</w:t>
      </w:r>
      <w:r>
        <w:t>ы НПМ и государствам-участникам п</w:t>
      </w:r>
      <w:r>
        <w:t>о</w:t>
      </w:r>
      <w:r>
        <w:t xml:space="preserve">сле своих консультативных посещений в связи с НПМ в </w:t>
      </w:r>
      <w:r w:rsidRPr="008415B0">
        <w:t>Армени</w:t>
      </w:r>
      <w:r>
        <w:t>ю</w:t>
      </w:r>
      <w:r w:rsidRPr="008415B0">
        <w:t>, Германи</w:t>
      </w:r>
      <w:r>
        <w:t>ю</w:t>
      </w:r>
      <w:r w:rsidRPr="008415B0">
        <w:t>, Гондурас, Респу</w:t>
      </w:r>
      <w:r w:rsidRPr="008415B0">
        <w:t>б</w:t>
      </w:r>
      <w:r>
        <w:t>лику</w:t>
      </w:r>
      <w:r w:rsidRPr="008415B0">
        <w:t xml:space="preserve"> Молдова </w:t>
      </w:r>
      <w:r>
        <w:t>и</w:t>
      </w:r>
      <w:r w:rsidRPr="008415B0">
        <w:t xml:space="preserve"> Сенегал</w:t>
      </w:r>
      <w:r>
        <w:t xml:space="preserve">, проведенных в соответствии со статьями 11 </w:t>
      </w:r>
      <w:r w:rsidRPr="008B600B">
        <w:rPr>
          <w:lang w:val="en-GB"/>
        </w:rPr>
        <w:t>b</w:t>
      </w:r>
      <w:r w:rsidRPr="008415B0">
        <w:t xml:space="preserve">) </w:t>
      </w:r>
      <w:r>
        <w:t>и</w:t>
      </w:r>
      <w:r w:rsidRPr="008415B0">
        <w:t xml:space="preserve"> 12 Факультативного протокола</w:t>
      </w:r>
      <w:r>
        <w:t>; все эти посещения, за искл</w:t>
      </w:r>
      <w:r>
        <w:t>ю</w:t>
      </w:r>
      <w:r>
        <w:t xml:space="preserve">чением посещения </w:t>
      </w:r>
      <w:r w:rsidRPr="008415B0">
        <w:t>Гондурас</w:t>
      </w:r>
      <w:r>
        <w:t>а, состоялись в т</w:t>
      </w:r>
      <w:r>
        <w:t>е</w:t>
      </w:r>
      <w:r>
        <w:t xml:space="preserve">чение отчетного периода. Все </w:t>
      </w:r>
      <w:r w:rsidRPr="00697735">
        <w:t>доклад</w:t>
      </w:r>
      <w:r>
        <w:t>ы, препровожденные</w:t>
      </w:r>
      <w:r w:rsidRPr="00697735">
        <w:t xml:space="preserve"> </w:t>
      </w:r>
      <w:r>
        <w:t>государствам-участникам, остаются конфиденц</w:t>
      </w:r>
      <w:r>
        <w:t>и</w:t>
      </w:r>
      <w:r>
        <w:t>альными. Доклады</w:t>
      </w:r>
      <w:r w:rsidRPr="00697735">
        <w:t xml:space="preserve">, </w:t>
      </w:r>
      <w:r>
        <w:t>препровожденные</w:t>
      </w:r>
      <w:r w:rsidRPr="00697735">
        <w:t xml:space="preserve"> </w:t>
      </w:r>
      <w:r>
        <w:t>НПМ</w:t>
      </w:r>
      <w:r w:rsidRPr="00697735">
        <w:t xml:space="preserve"> Герм</w:t>
      </w:r>
      <w:r w:rsidRPr="00697735">
        <w:t>а</w:t>
      </w:r>
      <w:r w:rsidRPr="00697735">
        <w:t>ни</w:t>
      </w:r>
      <w:r>
        <w:t>и</w:t>
      </w:r>
      <w:r w:rsidRPr="00697735">
        <w:t>, Гондурас</w:t>
      </w:r>
      <w:r>
        <w:t>а</w:t>
      </w:r>
      <w:r w:rsidRPr="00697735">
        <w:t>, Республик</w:t>
      </w:r>
      <w:r w:rsidR="00A56DA4">
        <w:t>и</w:t>
      </w:r>
      <w:r w:rsidRPr="00697735">
        <w:t xml:space="preserve"> Молдова </w:t>
      </w:r>
      <w:r>
        <w:t>и</w:t>
      </w:r>
      <w:r w:rsidRPr="00697735">
        <w:t xml:space="preserve"> Сенегал</w:t>
      </w:r>
      <w:r>
        <w:t xml:space="preserve">а, преданы гласности, а доклад для НПМ </w:t>
      </w:r>
      <w:r w:rsidRPr="00697735">
        <w:t>Арме</w:t>
      </w:r>
      <w:r>
        <w:t xml:space="preserve">нии является конфиденциальным. Ответы таких государств-участников, как </w:t>
      </w:r>
      <w:r w:rsidRPr="00697735">
        <w:t>Гондурас, Ре</w:t>
      </w:r>
      <w:r w:rsidRPr="00697735">
        <w:t>с</w:t>
      </w:r>
      <w:r w:rsidRPr="00697735">
        <w:t xml:space="preserve">публика Молдова </w:t>
      </w:r>
      <w:r>
        <w:t>и</w:t>
      </w:r>
      <w:r w:rsidRPr="00697735">
        <w:t xml:space="preserve"> Сенегал</w:t>
      </w:r>
      <w:r>
        <w:t>, в настоящее время просрочены</w:t>
      </w:r>
      <w:r w:rsidRPr="00697735">
        <w:t xml:space="preserve">. </w:t>
      </w:r>
    </w:p>
    <w:p w:rsidR="00025119" w:rsidRDefault="00025119" w:rsidP="005A135B">
      <w:pPr>
        <w:pStyle w:val="H1GR"/>
      </w:pPr>
      <w:r>
        <w:tab/>
      </w:r>
      <w:r>
        <w:rPr>
          <w:lang w:val="en-US"/>
        </w:rPr>
        <w:t>E</w:t>
      </w:r>
      <w:r w:rsidRPr="000B276B">
        <w:t>.</w:t>
      </w:r>
      <w:r w:rsidRPr="000B276B">
        <w:tab/>
      </w:r>
      <w:r>
        <w:t>Подвижки в деле создания национальных превентивных механизмов</w:t>
      </w:r>
    </w:p>
    <w:p w:rsidR="00025119" w:rsidRDefault="00025119" w:rsidP="005A135B">
      <w:pPr>
        <w:pStyle w:val="SingleTxtGR"/>
      </w:pPr>
      <w:r>
        <w:t>21.</w:t>
      </w:r>
      <w:r>
        <w:tab/>
        <w:t>Из 70 государств − участников Факультативного протокола 46 официал</w:t>
      </w:r>
      <w:r>
        <w:t>ь</w:t>
      </w:r>
      <w:r>
        <w:t>но увед</w:t>
      </w:r>
      <w:r>
        <w:t>о</w:t>
      </w:r>
      <w:r>
        <w:t xml:space="preserve">мили Подкомитет о назначении своих НПМ, и информация об этом имеется на веб-сайте Подкомитета. </w:t>
      </w:r>
    </w:p>
    <w:p w:rsidR="00025119" w:rsidRDefault="00025119" w:rsidP="005A135B">
      <w:pPr>
        <w:pStyle w:val="SingleTxtGR"/>
      </w:pPr>
      <w:r>
        <w:t>22.</w:t>
      </w:r>
      <w:r>
        <w:tab/>
        <w:t>В 2013 году Подкомитету было препровождено три официальных ув</w:t>
      </w:r>
      <w:r>
        <w:t>е</w:t>
      </w:r>
      <w:r>
        <w:t xml:space="preserve">домления о назначении НПМ: от Австрии, Португалии и Туниса. </w:t>
      </w:r>
    </w:p>
    <w:p w:rsidR="00025119" w:rsidRDefault="00025119" w:rsidP="005A135B">
      <w:pPr>
        <w:pStyle w:val="SingleTxtGR"/>
      </w:pPr>
      <w:r>
        <w:t>23.</w:t>
      </w:r>
      <w:r>
        <w:tab/>
      </w:r>
      <w:r w:rsidR="00A56DA4">
        <w:t>24</w:t>
      </w:r>
      <w:r>
        <w:t xml:space="preserve"> государства-участника пока еще не уведомили Подкомитет о назнач</w:t>
      </w:r>
      <w:r>
        <w:t>е</w:t>
      </w:r>
      <w:r>
        <w:t>нии своих НПМ. По состоянию на конец 2013 года одногодичный предельный срок для создания НПМ, предусмотренный в статье 17 Факультативного прот</w:t>
      </w:r>
      <w:r>
        <w:t>о</w:t>
      </w:r>
      <w:r>
        <w:t>кола, пока еще не истек для трех государств-участников: Италии, Науру и Но</w:t>
      </w:r>
      <w:r>
        <w:t>р</w:t>
      </w:r>
      <w:r>
        <w:t>вегии. Кроме того, одно государство-участник, а именно Босния и Герц</w:t>
      </w:r>
      <w:r>
        <w:t>е</w:t>
      </w:r>
      <w:r>
        <w:t>говина, сделало заявление в соответствии со статьей 24 Факультативного протокола, позволяющее ему отложить назначение НПМ еще на два года. 9 июля 2012 года такое заявление также сделала</w:t>
      </w:r>
      <w:r w:rsidRPr="00A5507D">
        <w:t xml:space="preserve"> </w:t>
      </w:r>
      <w:r>
        <w:t>Румыния. После представления соответству</w:t>
      </w:r>
      <w:r>
        <w:t>ю</w:t>
      </w:r>
      <w:r>
        <w:t>щих материалов государством-участником и проведения консультаций с Подк</w:t>
      </w:r>
      <w:r>
        <w:t>о</w:t>
      </w:r>
      <w:r>
        <w:t>митетом Комитет против пыток на своей сорок девятой сессии в ноябре 2012</w:t>
      </w:r>
      <w:r w:rsidR="002C4F52">
        <w:t> </w:t>
      </w:r>
      <w:r>
        <w:t>года</w:t>
      </w:r>
      <w:r w:rsidRPr="00A5507D">
        <w:t xml:space="preserve"> </w:t>
      </w:r>
      <w:r>
        <w:t>продлил отсрочку еще на два года. В ходе своей пятидесятой сессии 13 мая 2013 года члены Комитета встретились на открытом заседании с пре</w:t>
      </w:r>
      <w:r>
        <w:t>д</w:t>
      </w:r>
      <w:r>
        <w:t>ставителями Румынии, чтобы получить более полную информацию о мерах, принимаемых для создания НПМ. Подкомитет сожалеет, что из-за нехватки ф</w:t>
      </w:r>
      <w:r>
        <w:t>и</w:t>
      </w:r>
      <w:r>
        <w:t>нанс</w:t>
      </w:r>
      <w:r>
        <w:t>о</w:t>
      </w:r>
      <w:r>
        <w:t>вых средств ни один из его членов не смог участвовать в этом заседании, однако выражает удовлетворение тем, что был представлен секретарем Подк</w:t>
      </w:r>
      <w:r>
        <w:t>о</w:t>
      </w:r>
      <w:r>
        <w:t>митета, который подчеркнул, что Подкомитет готов оказать властям Румынии помощь при создании НПМ в соответствии со своим мандатом, предусмотре</w:t>
      </w:r>
      <w:r>
        <w:t>н</w:t>
      </w:r>
      <w:r>
        <w:t>ным Факультативным протоколом, и обратил внимание на разработанные По</w:t>
      </w:r>
      <w:r>
        <w:t>д</w:t>
      </w:r>
      <w:r>
        <w:t>комитетом руководящие принципы, касающиеся национальных превентивных механизмов (</w:t>
      </w:r>
      <w:r>
        <w:rPr>
          <w:lang w:val="en-US"/>
        </w:rPr>
        <w:t>CAT</w:t>
      </w:r>
      <w:r w:rsidRPr="000B276B">
        <w:t>/</w:t>
      </w:r>
      <w:r>
        <w:rPr>
          <w:lang w:val="en-US"/>
        </w:rPr>
        <w:t>OP</w:t>
      </w:r>
      <w:r w:rsidRPr="000B276B">
        <w:t>/12/5)</w:t>
      </w:r>
      <w:r>
        <w:t>. 3 июля 2013 года Румыния проинформировала По</w:t>
      </w:r>
      <w:r>
        <w:t>д</w:t>
      </w:r>
      <w:r>
        <w:t>комитет о своем плане действий по созданию НПМ. Во время своей двадцать первой сессии Подкомитет провел последующее совещание с сотрудниками Постоянного представительства Румынии при уч</w:t>
      </w:r>
      <w:r>
        <w:t>а</w:t>
      </w:r>
      <w:r>
        <w:t xml:space="preserve">стии членов Комитета против пыток. </w:t>
      </w:r>
    </w:p>
    <w:p w:rsidR="00025119" w:rsidRDefault="00025119" w:rsidP="005A135B">
      <w:pPr>
        <w:pStyle w:val="SingleTxtGR"/>
      </w:pPr>
      <w:r>
        <w:t>24.</w:t>
      </w:r>
      <w:r>
        <w:tab/>
        <w:t>Таким образом, по состоянию на 31 декабря 2013 года формально не в</w:t>
      </w:r>
      <w:r>
        <w:t>ы</w:t>
      </w:r>
      <w:r>
        <w:t>полнили свои обязательства по статье 17 Факультативного протокола 20 гос</w:t>
      </w:r>
      <w:r>
        <w:t>у</w:t>
      </w:r>
      <w:r>
        <w:t>дарств-участников. Хотя данный момент представляет собой улучшение общей ситуации по сравнению с 2012 годом, он все равно вызывает большую озаб</w:t>
      </w:r>
      <w:r>
        <w:t>о</w:t>
      </w:r>
      <w:r>
        <w:t>ченность. На каждой сессии Подкомитета региональные группы оценивают прогресс в выполнении обязательств каждого государства-участника, вынося надлежащие рекомендации для пленарного заседания в отношении того, каким образом Подкомитет может лучше всего предоставить консультативные услуги и помощь соответствующим государствам-участникам согласно своему мандату по статье 11 b</w:t>
      </w:r>
      <w:r w:rsidRPr="000B276B">
        <w:t>)</w:t>
      </w:r>
      <w:r>
        <w:t xml:space="preserve"> i</w:t>
      </w:r>
      <w:r w:rsidRPr="000B276B">
        <w:t>)</w:t>
      </w:r>
      <w:r>
        <w:t xml:space="preserve"> Факультативного протокола. Однако следует отметить, что Подкомитет понимает, что ряд государств-участников фактически назначили НПМ, но официально не сообщили данную информацию Подкомитету. Поэтому фактическое положение дел несколько лучше, чем предполагают цифры. </w:t>
      </w:r>
    </w:p>
    <w:p w:rsidR="00025119" w:rsidRDefault="00025119" w:rsidP="005A135B">
      <w:pPr>
        <w:pStyle w:val="SingleTxtGR"/>
      </w:pPr>
      <w:r>
        <w:t>25.</w:t>
      </w:r>
      <w:r>
        <w:tab/>
        <w:t>Подкомитет продолжил практику участия на своих сессиях в диалоге с г</w:t>
      </w:r>
      <w:r>
        <w:t>о</w:t>
      </w:r>
      <w:r>
        <w:t>сударствами-участниками по поводу назначения или функционирования их НПМ. На своей девятнадцатой сессии Подкомитет провел соответствующие с</w:t>
      </w:r>
      <w:r>
        <w:t>о</w:t>
      </w:r>
      <w:r>
        <w:t>вещания с постоянными представительствами Боснии и Герцеговины, Бразилии и Швеции. На своей двадцатой сессии он провел аналогичные совещания с п</w:t>
      </w:r>
      <w:r>
        <w:t>о</w:t>
      </w:r>
      <w:r>
        <w:t>стоянными представительствами Бенина, Гватемалы и Туниса, а на своей дв</w:t>
      </w:r>
      <w:r>
        <w:t>а</w:t>
      </w:r>
      <w:r>
        <w:t>дцать первой сессии − с постоянными представительствами Румынии и Турции. Члены Подкомитета поддерживают также контакт с другими государствами-участниками, находящимися в процессе создания своих НПМ.</w:t>
      </w:r>
    </w:p>
    <w:p w:rsidR="00025119" w:rsidRDefault="00025119" w:rsidP="005A135B">
      <w:pPr>
        <w:pStyle w:val="SingleTxtGR"/>
      </w:pPr>
      <w:r>
        <w:t>26.</w:t>
      </w:r>
      <w:r>
        <w:tab/>
        <w:t>Подкомитет также установил и поддерживал контакты с самими НПМ во исполнение своего мандата по статье 11 b</w:t>
      </w:r>
      <w:r w:rsidRPr="000B276B">
        <w:t xml:space="preserve">) </w:t>
      </w:r>
      <w:r>
        <w:t>ii</w:t>
      </w:r>
      <w:r w:rsidRPr="000B276B">
        <w:t>)</w:t>
      </w:r>
      <w:r>
        <w:t xml:space="preserve"> Факультативного протокола. На двадцатой сессии Подкомитета его члены встретились с представителями НПМ Соединенного Королевства Великобритании и Северной Ирландии, чтобы больше узнать о работе этого механизма и обменяться информацией и опытом. На своей двадцать первой сессии Подкомитет провел встречу с НПМ Кыргы</w:t>
      </w:r>
      <w:r>
        <w:t>з</w:t>
      </w:r>
      <w:r>
        <w:t>стана. Подкомитет также удовлетворен тем, что в 2013 году он получил ежего</w:t>
      </w:r>
      <w:r>
        <w:t>д</w:t>
      </w:r>
      <w:r>
        <w:t xml:space="preserve">ные доклады 32 НПМ. Они были размещены на веб-сайте </w:t>
      </w:r>
      <w:r w:rsidR="002C4F52">
        <w:t>Подк</w:t>
      </w:r>
      <w:r>
        <w:t>омитета и ра</w:t>
      </w:r>
      <w:r>
        <w:t>с</w:t>
      </w:r>
      <w:r>
        <w:t>смотрены региональными группами.</w:t>
      </w:r>
    </w:p>
    <w:p w:rsidR="00025119" w:rsidRDefault="00025119" w:rsidP="005A135B">
      <w:pPr>
        <w:pStyle w:val="SingleTxtGR"/>
      </w:pPr>
      <w:r>
        <w:t>27.</w:t>
      </w:r>
      <w:r>
        <w:tab/>
        <w:t>Подкомитет и его члены продолжали получать приглашения принять уч</w:t>
      </w:r>
      <w:r>
        <w:t>а</w:t>
      </w:r>
      <w:r>
        <w:t>стие в многочисленных национальных, региональных и международных сов</w:t>
      </w:r>
      <w:r>
        <w:t>е</w:t>
      </w:r>
      <w:r>
        <w:t>щаниях, которые были посвящены, в частности, вопросам назначения, создания и налаживания деятел</w:t>
      </w:r>
      <w:r>
        <w:t>ь</w:t>
      </w:r>
      <w:r>
        <w:t>ности НПМ и в целом Факультативному протоколу. Эти мероприятия включали в себя, в частности:</w:t>
      </w:r>
    </w:p>
    <w:p w:rsidR="00025119" w:rsidRPr="003743E5" w:rsidRDefault="00025119" w:rsidP="005A135B">
      <w:pPr>
        <w:pStyle w:val="SingleTxtGR"/>
      </w:pPr>
      <w:r>
        <w:tab/>
      </w:r>
      <w:r>
        <w:rPr>
          <w:lang w:val="en-US"/>
        </w:rPr>
        <w:t>a</w:t>
      </w:r>
      <w:r w:rsidRPr="003743E5">
        <w:t>)</w:t>
      </w:r>
      <w:r w:rsidRPr="003743E5">
        <w:tab/>
      </w:r>
      <w:r>
        <w:t>в январе 2013 года: первоначальные дискуссии по поводу работы НПМ Соединенного Королевства и неофициальные посещения одного места содержания под стражей в Лондоне, выбранного НПМ Соединенного Короле</w:t>
      </w:r>
      <w:r>
        <w:t>в</w:t>
      </w:r>
      <w:r>
        <w:t>ства, параллельно с мер</w:t>
      </w:r>
      <w:r>
        <w:t>о</w:t>
      </w:r>
      <w:r>
        <w:t>приятием по связанным с Факультативным протоколом вопросам, которое было организовано Правовой инициативой открытого общ</w:t>
      </w:r>
      <w:r>
        <w:t>е</w:t>
      </w:r>
      <w:r>
        <w:t>ства и Центром по осуществлению прав человека при Университете Бристоля;</w:t>
      </w:r>
    </w:p>
    <w:p w:rsidR="00025119" w:rsidRPr="00A22EB8" w:rsidRDefault="00025119" w:rsidP="005A135B">
      <w:pPr>
        <w:pStyle w:val="SingleTxtGR"/>
      </w:pPr>
      <w:r w:rsidRPr="003743E5">
        <w:tab/>
      </w:r>
      <w:r>
        <w:rPr>
          <w:lang w:val="en-US"/>
        </w:rPr>
        <w:t>b</w:t>
      </w:r>
      <w:r w:rsidRPr="00A22EB8">
        <w:t>)</w:t>
      </w:r>
      <w:r w:rsidRPr="00A22EB8">
        <w:tab/>
      </w:r>
      <w:r>
        <w:t>в феврале 2013 года: совещание, организованное Управлением Ве</w:t>
      </w:r>
      <w:r>
        <w:t>р</w:t>
      </w:r>
      <w:r>
        <w:t>ховного комиссара Организации Объединенных Наций по правам человека (УВКПЧ) в Астане совместно с Омбудсменом Кыргызстана, Председателем и членами парламентского комитета, ведающего вопросами законодательства в отношении НПМ, заместителем н</w:t>
      </w:r>
      <w:r>
        <w:t>а</w:t>
      </w:r>
      <w:r>
        <w:t>чальника кадровой службы Исполнительной канцелярии и министром по правам человека в Министерств</w:t>
      </w:r>
      <w:r w:rsidR="002C4F52">
        <w:t>е</w:t>
      </w:r>
      <w:r>
        <w:t xml:space="preserve"> иностранных дел для обсуждения предлагаемого законодательства, предусматривающего созд</w:t>
      </w:r>
      <w:r>
        <w:t>а</w:t>
      </w:r>
      <w:r>
        <w:t>ние НПМ;</w:t>
      </w:r>
    </w:p>
    <w:p w:rsidR="00025119" w:rsidRPr="00FD6E0A" w:rsidRDefault="00025119" w:rsidP="005A135B">
      <w:pPr>
        <w:pStyle w:val="SingleTxtGR"/>
      </w:pPr>
      <w:r w:rsidRPr="00A22EB8">
        <w:tab/>
      </w:r>
      <w:r>
        <w:rPr>
          <w:lang w:val="en-US"/>
        </w:rPr>
        <w:t>c</w:t>
      </w:r>
      <w:r w:rsidRPr="00FD6E0A">
        <w:t>)</w:t>
      </w:r>
      <w:r w:rsidRPr="00FD6E0A">
        <w:tab/>
      </w:r>
      <w:r>
        <w:t>в феврале 2013 года: рабочее совещание в городе Алжире по теме предупр</w:t>
      </w:r>
      <w:r>
        <w:t>е</w:t>
      </w:r>
      <w:r>
        <w:t>ждения пыток, организованное Ассоциацией за предотвращение пыток (АПП);</w:t>
      </w:r>
    </w:p>
    <w:p w:rsidR="00025119" w:rsidRPr="00FD6E0A" w:rsidRDefault="00025119" w:rsidP="005A135B">
      <w:pPr>
        <w:pStyle w:val="SingleTxtGR"/>
      </w:pPr>
      <w:r w:rsidRPr="00FD6E0A">
        <w:tab/>
      </w:r>
      <w:r>
        <w:rPr>
          <w:lang w:val="en-US"/>
        </w:rPr>
        <w:t>d</w:t>
      </w:r>
      <w:r w:rsidRPr="00FD6E0A">
        <w:t>)</w:t>
      </w:r>
      <w:r w:rsidRPr="00FD6E0A">
        <w:tab/>
      </w:r>
      <w:r>
        <w:t>в марте 2013 года: рабочее совещание в Маниле, посвященное р</w:t>
      </w:r>
      <w:r>
        <w:t>у</w:t>
      </w:r>
      <w:r>
        <w:t>ководящим принципам оценки системы медицинской помощи в центрах соде</w:t>
      </w:r>
      <w:r>
        <w:t>р</w:t>
      </w:r>
      <w:r>
        <w:t>жания под стражей и организованное Группой медицинского обеспечения;</w:t>
      </w:r>
    </w:p>
    <w:p w:rsidR="00025119" w:rsidRPr="00FD6E0A" w:rsidRDefault="00025119" w:rsidP="005A135B">
      <w:pPr>
        <w:pStyle w:val="SingleTxtGR"/>
      </w:pPr>
      <w:r>
        <w:tab/>
      </w:r>
      <w:r>
        <w:rPr>
          <w:lang w:val="en-US"/>
        </w:rPr>
        <w:t>e</w:t>
      </w:r>
      <w:r w:rsidRPr="00FD6E0A">
        <w:t>)</w:t>
      </w:r>
      <w:r w:rsidRPr="00FD6E0A">
        <w:tab/>
      </w:r>
      <w:r>
        <w:t>в марте 2013 года: совещание в Белграде с НПМ Албании, Боснии и Герцеговины, бывшей югославской Республики Македония, Сербии, Слов</w:t>
      </w:r>
      <w:r>
        <w:t>е</w:t>
      </w:r>
      <w:r>
        <w:t>нии, Хорватии и Черногории для обсуждения создания Балканской сети НПМ, орган</w:t>
      </w:r>
      <w:r>
        <w:t>и</w:t>
      </w:r>
      <w:r>
        <w:t>зованное НПМ Сербии;</w:t>
      </w:r>
    </w:p>
    <w:p w:rsidR="00025119" w:rsidRPr="00870293" w:rsidRDefault="00025119" w:rsidP="005A135B">
      <w:pPr>
        <w:pStyle w:val="SingleTxtGR"/>
      </w:pPr>
      <w:r w:rsidRPr="00FD6E0A">
        <w:tab/>
      </w:r>
      <w:r>
        <w:rPr>
          <w:lang w:val="en-US"/>
        </w:rPr>
        <w:t>f</w:t>
      </w:r>
      <w:r w:rsidRPr="00870293">
        <w:t>)</w:t>
      </w:r>
      <w:r w:rsidRPr="00870293">
        <w:tab/>
      </w:r>
      <w:r>
        <w:t>в апреле 2013 года: совещание в Кито, посвященное НПМ и пред</w:t>
      </w:r>
      <w:r>
        <w:t>у</w:t>
      </w:r>
      <w:r>
        <w:t>преждению пыток и организованное АПП и Управлением Омбудсмена Эквад</w:t>
      </w:r>
      <w:r>
        <w:t>о</w:t>
      </w:r>
      <w:r>
        <w:t>ра;</w:t>
      </w:r>
    </w:p>
    <w:p w:rsidR="00025119" w:rsidRPr="00870293" w:rsidRDefault="00025119" w:rsidP="005A135B">
      <w:pPr>
        <w:pStyle w:val="SingleTxtGR"/>
      </w:pPr>
      <w:r w:rsidRPr="00870293">
        <w:tab/>
      </w:r>
      <w:r>
        <w:rPr>
          <w:lang w:val="en-US"/>
        </w:rPr>
        <w:t>g</w:t>
      </w:r>
      <w:r w:rsidRPr="00870293">
        <w:t>)</w:t>
      </w:r>
      <w:r w:rsidRPr="00870293">
        <w:tab/>
      </w:r>
      <w:r>
        <w:t>в мае 2013 года: учебный курс в Маниле по теме НПМ, организ</w:t>
      </w:r>
      <w:r>
        <w:t>о</w:t>
      </w:r>
      <w:r>
        <w:t>ванный АПП;</w:t>
      </w:r>
    </w:p>
    <w:p w:rsidR="00025119" w:rsidRPr="00870293" w:rsidRDefault="00025119" w:rsidP="005A135B">
      <w:pPr>
        <w:pStyle w:val="SingleTxtGR"/>
      </w:pPr>
      <w:r w:rsidRPr="00870293">
        <w:tab/>
      </w:r>
      <w:r>
        <w:rPr>
          <w:lang w:val="en-US"/>
        </w:rPr>
        <w:t>h</w:t>
      </w:r>
      <w:r w:rsidRPr="00870293">
        <w:t>)</w:t>
      </w:r>
      <w:r w:rsidRPr="00870293">
        <w:tab/>
      </w:r>
      <w:r>
        <w:t>в мае 2013 года: рабочее совещание в Нуакшоте по теме НПМ, о</w:t>
      </w:r>
      <w:r>
        <w:t>р</w:t>
      </w:r>
      <w:r>
        <w:t>ганизова</w:t>
      </w:r>
      <w:r>
        <w:t>н</w:t>
      </w:r>
      <w:r>
        <w:t>ное АПП;</w:t>
      </w:r>
    </w:p>
    <w:p w:rsidR="00025119" w:rsidRPr="00870293" w:rsidRDefault="00025119" w:rsidP="005A135B">
      <w:pPr>
        <w:pStyle w:val="SingleTxtGR"/>
      </w:pPr>
      <w:r w:rsidRPr="00870293">
        <w:tab/>
      </w:r>
      <w:r>
        <w:rPr>
          <w:lang w:val="en-US"/>
        </w:rPr>
        <w:t>i</w:t>
      </w:r>
      <w:r w:rsidRPr="00870293">
        <w:t>)</w:t>
      </w:r>
      <w:r w:rsidRPr="00870293">
        <w:tab/>
      </w:r>
      <w:r>
        <w:t>в июле 2013 года: совещание в Сантьяго по теме НМП, организ</w:t>
      </w:r>
      <w:r>
        <w:t>о</w:t>
      </w:r>
      <w:r>
        <w:t>ванное Це</w:t>
      </w:r>
      <w:r>
        <w:t>н</w:t>
      </w:r>
      <w:r>
        <w:t>тром по правам человека при Университете Чили;</w:t>
      </w:r>
    </w:p>
    <w:p w:rsidR="00025119" w:rsidRPr="00C73295" w:rsidRDefault="00025119" w:rsidP="005A135B">
      <w:pPr>
        <w:pStyle w:val="SingleTxtGR"/>
      </w:pPr>
      <w:r w:rsidRPr="00870293">
        <w:tab/>
      </w:r>
      <w:r>
        <w:rPr>
          <w:lang w:val="en-US"/>
        </w:rPr>
        <w:t>j</w:t>
      </w:r>
      <w:r w:rsidRPr="00C73295">
        <w:t>)</w:t>
      </w:r>
      <w:r w:rsidRPr="00C73295">
        <w:tab/>
      </w:r>
      <w:r>
        <w:t>в сентябре 2013 года: "круглый стол" в Маниле с Рабочей группой по Ф</w:t>
      </w:r>
      <w:r>
        <w:t>а</w:t>
      </w:r>
      <w:r>
        <w:t>культативному протоколу Филиппин;</w:t>
      </w:r>
    </w:p>
    <w:p w:rsidR="00025119" w:rsidRPr="00C73295" w:rsidRDefault="00025119" w:rsidP="005A135B">
      <w:pPr>
        <w:pStyle w:val="SingleTxtGR"/>
      </w:pPr>
      <w:r w:rsidRPr="00C73295">
        <w:tab/>
      </w:r>
      <w:r>
        <w:rPr>
          <w:lang w:val="en-US"/>
        </w:rPr>
        <w:t>k</w:t>
      </w:r>
      <w:r w:rsidRPr="00C73295">
        <w:t>)</w:t>
      </w:r>
      <w:r w:rsidRPr="00C73295">
        <w:tab/>
      </w:r>
      <w:r>
        <w:t>в сентябре 2013 года: совещание в Хельсинки с Парламентским омбудсм</w:t>
      </w:r>
      <w:r>
        <w:t>е</w:t>
      </w:r>
      <w:r>
        <w:t>ном Финляндии;</w:t>
      </w:r>
    </w:p>
    <w:p w:rsidR="00025119" w:rsidRPr="00C73295" w:rsidRDefault="00025119" w:rsidP="005A135B">
      <w:pPr>
        <w:pStyle w:val="SingleTxtGR"/>
      </w:pPr>
      <w:r w:rsidRPr="00C73295">
        <w:tab/>
      </w:r>
      <w:r>
        <w:rPr>
          <w:lang w:val="en-US"/>
        </w:rPr>
        <w:t>l</w:t>
      </w:r>
      <w:r w:rsidRPr="00C73295">
        <w:t>)</w:t>
      </w:r>
      <w:r w:rsidRPr="00C73295">
        <w:tab/>
      </w:r>
      <w:r>
        <w:t>в октябре 2013 года: совещание в Бухаресте по теме НПМ с Парл</w:t>
      </w:r>
      <w:r>
        <w:t>а</w:t>
      </w:r>
      <w:r>
        <w:t>ментским комитетом по правам человека Румынии;</w:t>
      </w:r>
    </w:p>
    <w:p w:rsidR="00025119" w:rsidRPr="00C73295" w:rsidRDefault="00025119" w:rsidP="005A135B">
      <w:pPr>
        <w:pStyle w:val="SingleTxtGR"/>
      </w:pPr>
      <w:r w:rsidRPr="00C73295">
        <w:tab/>
      </w:r>
      <w:r>
        <w:rPr>
          <w:lang w:val="en-US"/>
        </w:rPr>
        <w:t>m</w:t>
      </w:r>
      <w:r w:rsidRPr="00C73295">
        <w:t>)</w:t>
      </w:r>
      <w:r w:rsidRPr="00C73295">
        <w:tab/>
      </w:r>
      <w:r>
        <w:t>в октябре 2013 года: семинар по теме предупреждения пыток, орг</w:t>
      </w:r>
      <w:r>
        <w:t>а</w:t>
      </w:r>
      <w:r>
        <w:t>низова</w:t>
      </w:r>
      <w:r>
        <w:t>н</w:t>
      </w:r>
      <w:r>
        <w:t>ный в Асунсьоне УВКПЧ, НПМ Парагвая и АПП;</w:t>
      </w:r>
    </w:p>
    <w:p w:rsidR="00025119" w:rsidRDefault="00025119" w:rsidP="005A135B">
      <w:pPr>
        <w:pStyle w:val="SingleTxtGR"/>
      </w:pPr>
      <w:r w:rsidRPr="00C73295">
        <w:tab/>
      </w:r>
      <w:r>
        <w:rPr>
          <w:lang w:val="en-US"/>
        </w:rPr>
        <w:t>n</w:t>
      </w:r>
      <w:r w:rsidRPr="00C73295">
        <w:t>)</w:t>
      </w:r>
      <w:r w:rsidRPr="00C73295">
        <w:tab/>
      </w:r>
      <w:r>
        <w:t>в ноябре 2013 года: второй Джакартский диалог по проблеме прав человека в разрезе предупреждения пыток в регионе Ассоциации государств Юго-Восточной Азии (АСЕАН), организованный Межправительственной к</w:t>
      </w:r>
      <w:r>
        <w:t>о</w:t>
      </w:r>
      <w:r>
        <w:t>миссией по правам человека АСЕАН</w:t>
      </w:r>
      <w:r w:rsidR="002C4F52">
        <w:t>;</w:t>
      </w:r>
    </w:p>
    <w:p w:rsidR="00025119" w:rsidRPr="006F4CBD" w:rsidRDefault="00025119" w:rsidP="005A135B">
      <w:pPr>
        <w:pStyle w:val="SingleTxtGR"/>
      </w:pPr>
      <w:r>
        <w:tab/>
        <w:t>о)</w:t>
      </w:r>
      <w:r>
        <w:tab/>
      </w:r>
      <w:r w:rsidRPr="006F4CBD">
        <w:t>в</w:t>
      </w:r>
      <w:r>
        <w:t xml:space="preserve"> ноябре 2013 года: конференцию в Страсбурге (</w:t>
      </w:r>
      <w:r w:rsidRPr="006F4CBD">
        <w:t>Франция</w:t>
      </w:r>
      <w:r>
        <w:t>)</w:t>
      </w:r>
      <w:r w:rsidRPr="006F4CBD">
        <w:t xml:space="preserve"> </w:t>
      </w:r>
      <w:r>
        <w:t>на тему "Содержание под стражей иммигрантов в Европе</w:t>
      </w:r>
      <w:r w:rsidRPr="006F4CBD">
        <w:t xml:space="preserve">: </w:t>
      </w:r>
      <w:r>
        <w:t>выявление</w:t>
      </w:r>
      <w:r w:rsidRPr="006F4CBD">
        <w:t xml:space="preserve"> общих</w:t>
      </w:r>
      <w:r>
        <w:t xml:space="preserve"> обеспок</w:t>
      </w:r>
      <w:r>
        <w:t>о</w:t>
      </w:r>
      <w:r>
        <w:t xml:space="preserve">енностей и </w:t>
      </w:r>
      <w:r w:rsidRPr="006F4CBD">
        <w:t>разработ</w:t>
      </w:r>
      <w:r>
        <w:t>ка</w:t>
      </w:r>
      <w:r w:rsidRPr="006F4CBD">
        <w:t xml:space="preserve"> минимальных ста</w:t>
      </w:r>
      <w:r w:rsidRPr="006F4CBD">
        <w:t>н</w:t>
      </w:r>
      <w:r w:rsidRPr="006F4CBD">
        <w:t>дар</w:t>
      </w:r>
      <w:r>
        <w:t>тов"</w:t>
      </w:r>
      <w:r w:rsidRPr="006F4CBD">
        <w:t>;</w:t>
      </w:r>
    </w:p>
    <w:p w:rsidR="00025119" w:rsidRPr="006F4CBD" w:rsidRDefault="00025119" w:rsidP="005A135B">
      <w:pPr>
        <w:pStyle w:val="SingleTxtGR"/>
      </w:pPr>
      <w:r>
        <w:tab/>
        <w:t>р)</w:t>
      </w:r>
      <w:r>
        <w:tab/>
      </w:r>
      <w:r w:rsidRPr="006F4CBD">
        <w:t>в де</w:t>
      </w:r>
      <w:r>
        <w:t>кабре 2013 года:</w:t>
      </w:r>
      <w:r w:rsidRPr="006F4CBD">
        <w:t xml:space="preserve"> семинар в Бангкоке</w:t>
      </w:r>
      <w:r>
        <w:t xml:space="preserve"> по вопросам</w:t>
      </w:r>
      <w:r w:rsidRPr="006F4CBD">
        <w:t xml:space="preserve"> Факультати</w:t>
      </w:r>
      <w:r w:rsidRPr="006F4CBD">
        <w:t>в</w:t>
      </w:r>
      <w:r w:rsidRPr="006F4CBD">
        <w:t>ного протокола</w:t>
      </w:r>
      <w:r>
        <w:t>,</w:t>
      </w:r>
      <w:r w:rsidRPr="006F4CBD">
        <w:t xml:space="preserve"> о</w:t>
      </w:r>
      <w:r w:rsidRPr="006F4CBD">
        <w:t>р</w:t>
      </w:r>
      <w:r w:rsidRPr="006F4CBD">
        <w:t>гани</w:t>
      </w:r>
      <w:r>
        <w:t>зованный Международной комиссией юристов</w:t>
      </w:r>
      <w:r w:rsidRPr="006F4CBD">
        <w:t>;</w:t>
      </w:r>
    </w:p>
    <w:p w:rsidR="00025119" w:rsidRPr="006F4CBD" w:rsidRDefault="00025119" w:rsidP="005A135B">
      <w:pPr>
        <w:pStyle w:val="SingleTxtGR"/>
      </w:pPr>
      <w:r w:rsidRPr="00F575CB">
        <w:tab/>
      </w:r>
      <w:r>
        <w:rPr>
          <w:lang w:val="en-US"/>
        </w:rPr>
        <w:t>q</w:t>
      </w:r>
      <w:r>
        <w:t>)</w:t>
      </w:r>
      <w:r w:rsidRPr="006F4CBD">
        <w:tab/>
        <w:t>в</w:t>
      </w:r>
      <w:r>
        <w:t xml:space="preserve"> декабре 2013 года: субрегиональную консультацию</w:t>
      </w:r>
      <w:r w:rsidRPr="006F4CBD">
        <w:t xml:space="preserve"> в Кампале</w:t>
      </w:r>
      <w:r>
        <w:t>, посвяще</w:t>
      </w:r>
      <w:r>
        <w:t>н</w:t>
      </w:r>
      <w:r>
        <w:t>ную</w:t>
      </w:r>
      <w:r w:rsidRPr="006F4CBD">
        <w:t xml:space="preserve"> укрепле</w:t>
      </w:r>
      <w:r>
        <w:t>нию</w:t>
      </w:r>
      <w:r w:rsidRPr="006F4CBD">
        <w:t xml:space="preserve"> мандата национальных</w:t>
      </w:r>
      <w:r>
        <w:t xml:space="preserve"> правозащитных</w:t>
      </w:r>
      <w:r w:rsidRPr="006F4CBD">
        <w:t xml:space="preserve"> учреждений </w:t>
      </w:r>
      <w:r>
        <w:t xml:space="preserve">в области защиты в </w:t>
      </w:r>
      <w:r w:rsidRPr="006F4CBD">
        <w:t>Восточной Африке</w:t>
      </w:r>
      <w:r>
        <w:t xml:space="preserve"> и </w:t>
      </w:r>
      <w:r w:rsidRPr="006F4CBD">
        <w:t>о</w:t>
      </w:r>
      <w:r w:rsidRPr="006F4CBD">
        <w:t>р</w:t>
      </w:r>
      <w:r>
        <w:t>ганизованную УВКПЧ-Уганда</w:t>
      </w:r>
      <w:r w:rsidRPr="006F4CBD">
        <w:t>;</w:t>
      </w:r>
    </w:p>
    <w:p w:rsidR="00025119" w:rsidRPr="006F4CBD" w:rsidRDefault="00025119" w:rsidP="005A135B">
      <w:pPr>
        <w:pStyle w:val="SingleTxtGR"/>
      </w:pPr>
      <w:r w:rsidRPr="00F575CB">
        <w:tab/>
      </w:r>
      <w:r>
        <w:rPr>
          <w:lang w:val="en-US"/>
        </w:rPr>
        <w:t>r</w:t>
      </w:r>
      <w:r>
        <w:t>)</w:t>
      </w:r>
      <w:r w:rsidRPr="006F4CBD">
        <w:tab/>
        <w:t>в</w:t>
      </w:r>
      <w:r>
        <w:t xml:space="preserve"> декабре 2013 года:</w:t>
      </w:r>
      <w:r w:rsidRPr="006F4CBD">
        <w:t xml:space="preserve"> </w:t>
      </w:r>
      <w:r>
        <w:t>рабочее совещание</w:t>
      </w:r>
      <w:r w:rsidRPr="006F4CBD">
        <w:t xml:space="preserve"> в Бамако</w:t>
      </w:r>
      <w:r>
        <w:t xml:space="preserve"> с целью повыш</w:t>
      </w:r>
      <w:r>
        <w:t>е</w:t>
      </w:r>
      <w:r>
        <w:t xml:space="preserve">ния </w:t>
      </w:r>
      <w:r w:rsidRPr="006F4CBD">
        <w:t>осведомлен</w:t>
      </w:r>
      <w:r>
        <w:t>ности</w:t>
      </w:r>
      <w:r w:rsidRPr="006F4CBD">
        <w:t xml:space="preserve"> о предот</w:t>
      </w:r>
      <w:r>
        <w:t>вращении пыток и роли</w:t>
      </w:r>
      <w:r w:rsidRPr="006F4CBD">
        <w:t xml:space="preserve"> Факультативного прот</w:t>
      </w:r>
      <w:r w:rsidRPr="006F4CBD">
        <w:t>о</w:t>
      </w:r>
      <w:r w:rsidRPr="006F4CBD">
        <w:t>кола в Мали, о</w:t>
      </w:r>
      <w:r w:rsidRPr="006F4CBD">
        <w:t>р</w:t>
      </w:r>
      <w:r w:rsidRPr="006F4CBD">
        <w:t>ганизо</w:t>
      </w:r>
      <w:r>
        <w:t>ванное</w:t>
      </w:r>
      <w:r w:rsidRPr="006F4CBD">
        <w:t xml:space="preserve"> Министерством юстиции Мали;</w:t>
      </w:r>
    </w:p>
    <w:p w:rsidR="00025119" w:rsidRPr="006F4CBD" w:rsidRDefault="00025119" w:rsidP="005A135B">
      <w:pPr>
        <w:pStyle w:val="SingleTxtGR"/>
      </w:pPr>
      <w:r w:rsidRPr="00F575CB">
        <w:tab/>
      </w:r>
      <w:r>
        <w:rPr>
          <w:lang w:val="en-US"/>
        </w:rPr>
        <w:t>g</w:t>
      </w:r>
      <w:r>
        <w:t>)</w:t>
      </w:r>
      <w:r w:rsidRPr="006F4CBD">
        <w:tab/>
        <w:t>в</w:t>
      </w:r>
      <w:r>
        <w:t xml:space="preserve"> декабре 2013 года:</w:t>
      </w:r>
      <w:r w:rsidRPr="006F4CBD">
        <w:t xml:space="preserve"> </w:t>
      </w:r>
      <w:r>
        <w:t>"</w:t>
      </w:r>
      <w:r w:rsidRPr="006F4CBD">
        <w:t>круглый стол</w:t>
      </w:r>
      <w:r>
        <w:t>"</w:t>
      </w:r>
      <w:r w:rsidRPr="006F4CBD">
        <w:t xml:space="preserve"> в Пномпене</w:t>
      </w:r>
      <w:r>
        <w:t>, посвященный созданию</w:t>
      </w:r>
      <w:r w:rsidRPr="006F4CBD">
        <w:t xml:space="preserve"> НПМ</w:t>
      </w:r>
      <w:r>
        <w:t xml:space="preserve"> и</w:t>
      </w:r>
      <w:r w:rsidRPr="006F4CBD">
        <w:t xml:space="preserve"> о</w:t>
      </w:r>
      <w:r w:rsidRPr="006F4CBD">
        <w:t>р</w:t>
      </w:r>
      <w:r w:rsidRPr="006F4CBD">
        <w:t>ганизо</w:t>
      </w:r>
      <w:r>
        <w:t>ванный УВКПЧ-Камбоджа</w:t>
      </w:r>
      <w:r w:rsidRPr="006F4CBD">
        <w:t>.</w:t>
      </w:r>
    </w:p>
    <w:p w:rsidR="00025119" w:rsidRPr="006F4CBD" w:rsidRDefault="00025119" w:rsidP="005A135B">
      <w:pPr>
        <w:pStyle w:val="SingleTxtGR"/>
      </w:pPr>
      <w:r w:rsidRPr="006F4CBD">
        <w:t>28</w:t>
      </w:r>
      <w:r>
        <w:t>.</w:t>
      </w:r>
      <w:r w:rsidRPr="006F4CBD">
        <w:tab/>
        <w:t xml:space="preserve">Подкомитет хотел бы воспользоваться </w:t>
      </w:r>
      <w:r>
        <w:t>данной</w:t>
      </w:r>
      <w:r w:rsidRPr="006F4CBD">
        <w:t xml:space="preserve"> возможностью,</w:t>
      </w:r>
      <w:r>
        <w:t xml:space="preserve"> чтобы в</w:t>
      </w:r>
      <w:r>
        <w:t>ы</w:t>
      </w:r>
      <w:r>
        <w:t>разить признательность организаторам этих и всех других мероприятий, на к</w:t>
      </w:r>
      <w:r>
        <w:t>о</w:t>
      </w:r>
      <w:r>
        <w:t>торые Подком</w:t>
      </w:r>
      <w:r>
        <w:t>и</w:t>
      </w:r>
      <w:r>
        <w:t xml:space="preserve">тет был приглашен. Он с сожалением отмечает, что </w:t>
      </w:r>
      <w:r w:rsidRPr="006F4CBD">
        <w:t>его участие</w:t>
      </w:r>
      <w:r>
        <w:t xml:space="preserve"> по-прежнему обусловлено </w:t>
      </w:r>
      <w:r w:rsidRPr="006F4CBD">
        <w:t>финан</w:t>
      </w:r>
      <w:r>
        <w:t>совой поддержкой</w:t>
      </w:r>
      <w:r w:rsidRPr="006F4CBD">
        <w:t xml:space="preserve"> других</w:t>
      </w:r>
      <w:r>
        <w:t xml:space="preserve"> сторон</w:t>
      </w:r>
      <w:r w:rsidRPr="006F4CBD">
        <w:t>,</w:t>
      </w:r>
      <w:r>
        <w:t xml:space="preserve"> поскольку он не располагает собственными средствами для </w:t>
      </w:r>
      <w:r w:rsidRPr="006F4CBD">
        <w:t>финансиро</w:t>
      </w:r>
      <w:r>
        <w:t>вания</w:t>
      </w:r>
      <w:r w:rsidRPr="006F4CBD">
        <w:t xml:space="preserve"> уча</w:t>
      </w:r>
      <w:r>
        <w:t>стия</w:t>
      </w:r>
      <w:r w:rsidRPr="006F4CBD">
        <w:t xml:space="preserve"> св</w:t>
      </w:r>
      <w:r w:rsidRPr="006F4CBD">
        <w:t>о</w:t>
      </w:r>
      <w:r w:rsidRPr="006F4CBD">
        <w:t>их чл</w:t>
      </w:r>
      <w:r w:rsidRPr="006F4CBD">
        <w:t>е</w:t>
      </w:r>
      <w:r w:rsidRPr="006F4CBD">
        <w:t>нов</w:t>
      </w:r>
      <w:r>
        <w:t>.</w:t>
      </w:r>
    </w:p>
    <w:p w:rsidR="00025119" w:rsidRPr="006F4CBD" w:rsidRDefault="00025119" w:rsidP="005A135B">
      <w:pPr>
        <w:pStyle w:val="H1GR"/>
      </w:pPr>
      <w:r>
        <w:tab/>
      </w:r>
      <w:r>
        <w:rPr>
          <w:lang w:val="en-US"/>
        </w:rPr>
        <w:t>F</w:t>
      </w:r>
      <w:r w:rsidRPr="006F4CBD">
        <w:t>.</w:t>
      </w:r>
      <w:r w:rsidRPr="006F4CBD">
        <w:tab/>
      </w:r>
      <w:r>
        <w:t xml:space="preserve">Специальный </w:t>
      </w:r>
      <w:r w:rsidR="002C4F52">
        <w:t>Фонд</w:t>
      </w:r>
      <w:r>
        <w:t>, созданный согласно статье</w:t>
      </w:r>
      <w:r w:rsidRPr="006F4CBD">
        <w:t xml:space="preserve"> 26 Факультативного прот</w:t>
      </w:r>
      <w:r w:rsidRPr="006F4CBD">
        <w:t>о</w:t>
      </w:r>
      <w:r w:rsidRPr="006F4CBD">
        <w:t>кола</w:t>
      </w:r>
    </w:p>
    <w:p w:rsidR="00025119" w:rsidRPr="006F4CBD" w:rsidRDefault="00025119" w:rsidP="005A135B">
      <w:pPr>
        <w:pStyle w:val="SingleTxtGR"/>
      </w:pPr>
      <w:r w:rsidRPr="006F4CBD">
        <w:t>29</w:t>
      </w:r>
      <w:r>
        <w:t>.</w:t>
      </w:r>
      <w:r>
        <w:tab/>
        <w:t>Цель Специального</w:t>
      </w:r>
      <w:r w:rsidRPr="006F4CBD">
        <w:t xml:space="preserve"> </w:t>
      </w:r>
      <w:r w:rsidR="002C4F52" w:rsidRPr="006F4CBD">
        <w:t>Фонд</w:t>
      </w:r>
      <w:r w:rsidR="002C4F52">
        <w:t>а</w:t>
      </w:r>
      <w:r w:rsidRPr="006F4CBD">
        <w:t xml:space="preserve">, </w:t>
      </w:r>
      <w:r>
        <w:t>созданного согласно пункту</w:t>
      </w:r>
      <w:r w:rsidRPr="006F4CBD">
        <w:t xml:space="preserve"> 1 статьи 26 Ф</w:t>
      </w:r>
      <w:r w:rsidRPr="006F4CBD">
        <w:t>а</w:t>
      </w:r>
      <w:r w:rsidRPr="006F4CBD">
        <w:t>культативного протокола</w:t>
      </w:r>
      <w:r>
        <w:t xml:space="preserve">, состоит в том, чтобы содействовать </w:t>
      </w:r>
      <w:r w:rsidRPr="006F4CBD">
        <w:t>финансирова</w:t>
      </w:r>
      <w:r>
        <w:t>нию</w:t>
      </w:r>
      <w:r w:rsidRPr="006F4CBD">
        <w:t xml:space="preserve"> осуществл</w:t>
      </w:r>
      <w:r w:rsidRPr="006F4CBD">
        <w:t>е</w:t>
      </w:r>
      <w:r w:rsidRPr="006F4CBD">
        <w:t xml:space="preserve">ния рекомендаций Подкомитета, </w:t>
      </w:r>
      <w:r>
        <w:t>вынесенных</w:t>
      </w:r>
      <w:r w:rsidRPr="006F4CBD">
        <w:t xml:space="preserve"> после посещения</w:t>
      </w:r>
      <w:r>
        <w:t xml:space="preserve"> того или иного</w:t>
      </w:r>
      <w:r w:rsidRPr="006F4CBD">
        <w:t xml:space="preserve"> государства-участника</w:t>
      </w:r>
      <w:r>
        <w:t xml:space="preserve">, и </w:t>
      </w:r>
      <w:r w:rsidRPr="006F4CBD">
        <w:t>образовательных программ НПМ. Спец</w:t>
      </w:r>
      <w:r w:rsidRPr="006F4CBD">
        <w:t>и</w:t>
      </w:r>
      <w:r w:rsidRPr="006F4CBD">
        <w:t xml:space="preserve">альный фонд </w:t>
      </w:r>
      <w:r>
        <w:t xml:space="preserve">управляется </w:t>
      </w:r>
      <w:r w:rsidRPr="006F4CBD">
        <w:t xml:space="preserve">УВКПЧ </w:t>
      </w:r>
      <w:r>
        <w:t>исходя из</w:t>
      </w:r>
      <w:r w:rsidRPr="006F4CBD">
        <w:t xml:space="preserve"> Финансовы</w:t>
      </w:r>
      <w:r>
        <w:t>х</w:t>
      </w:r>
      <w:r w:rsidRPr="006F4CBD">
        <w:t xml:space="preserve"> </w:t>
      </w:r>
      <w:r>
        <w:t>правил и положений</w:t>
      </w:r>
      <w:r w:rsidRPr="006F4CBD">
        <w:t xml:space="preserve"> Организации Объединенных На</w:t>
      </w:r>
      <w:r>
        <w:t>ций и соответствующей политики</w:t>
      </w:r>
      <w:r w:rsidRPr="006F4CBD">
        <w:t xml:space="preserve"> и процедур</w:t>
      </w:r>
      <w:r>
        <w:t>. В </w:t>
      </w:r>
      <w:r w:rsidRPr="006F4CBD">
        <w:t>качестве временной меры было</w:t>
      </w:r>
      <w:r>
        <w:t xml:space="preserve"> согласовано, что </w:t>
      </w:r>
      <w:r w:rsidRPr="006F4CBD">
        <w:t>Комитет УВКПЧ</w:t>
      </w:r>
      <w:r>
        <w:t xml:space="preserve"> по субс</w:t>
      </w:r>
      <w:r>
        <w:t>и</w:t>
      </w:r>
      <w:r>
        <w:t xml:space="preserve">диям будет принимать </w:t>
      </w:r>
      <w:r w:rsidRPr="006F4CBD">
        <w:t>решение о</w:t>
      </w:r>
      <w:r>
        <w:t xml:space="preserve"> приемлемости </w:t>
      </w:r>
      <w:r w:rsidRPr="006F4CBD">
        <w:t xml:space="preserve">проектов и будет </w:t>
      </w:r>
      <w:r>
        <w:t>предоста</w:t>
      </w:r>
      <w:r>
        <w:t>в</w:t>
      </w:r>
      <w:r>
        <w:t xml:space="preserve">лять субсидии на </w:t>
      </w:r>
      <w:r w:rsidRPr="006F4CBD">
        <w:t>основе</w:t>
      </w:r>
      <w:r>
        <w:t xml:space="preserve"> оценочных</w:t>
      </w:r>
      <w:r w:rsidRPr="006F4CBD">
        <w:t xml:space="preserve"> критериев</w:t>
      </w:r>
      <w:r>
        <w:t xml:space="preserve">, закрепленных в </w:t>
      </w:r>
      <w:r w:rsidRPr="006F4CBD">
        <w:t xml:space="preserve">руководящих принципах </w:t>
      </w:r>
      <w:r>
        <w:t>подачи заявок.</w:t>
      </w:r>
      <w:r w:rsidRPr="006F4CBD">
        <w:t xml:space="preserve"> В настоящее время</w:t>
      </w:r>
      <w:r>
        <w:t xml:space="preserve"> с учетом успешных результатов функционирования временной схемы</w:t>
      </w:r>
      <w:r w:rsidRPr="006F4CBD">
        <w:t xml:space="preserve"> разрабатываются более постоянные мех</w:t>
      </w:r>
      <w:r w:rsidRPr="006F4CBD">
        <w:t>а</w:t>
      </w:r>
      <w:r w:rsidRPr="006F4CBD">
        <w:t>низмы</w:t>
      </w:r>
      <w:r>
        <w:t>.</w:t>
      </w:r>
    </w:p>
    <w:p w:rsidR="00025119" w:rsidRDefault="00025119" w:rsidP="005A135B">
      <w:pPr>
        <w:pStyle w:val="SingleTxtGR"/>
      </w:pPr>
      <w:r w:rsidRPr="006F4CBD">
        <w:t>30</w:t>
      </w:r>
      <w:r>
        <w:t>.</w:t>
      </w:r>
      <w:r>
        <w:tab/>
      </w:r>
      <w:r w:rsidRPr="006F4CBD">
        <w:t>Подкомитет убежден, что Специальный фонд является ценным инстр</w:t>
      </w:r>
      <w:r w:rsidRPr="006F4CBD">
        <w:t>у</w:t>
      </w:r>
      <w:r w:rsidRPr="006F4CBD">
        <w:t>ментом содействия предупреждению пыток</w:t>
      </w:r>
      <w:r>
        <w:t>,</w:t>
      </w:r>
      <w:r w:rsidRPr="006F4CBD">
        <w:t xml:space="preserve"> и хотел бы выразить свою призн</w:t>
      </w:r>
      <w:r w:rsidRPr="006F4CBD">
        <w:t>а</w:t>
      </w:r>
      <w:r w:rsidRPr="006F4CBD">
        <w:t>тельность</w:t>
      </w:r>
      <w:r>
        <w:t xml:space="preserve"> странам, вносящим взносы, за их щедрость</w:t>
      </w:r>
      <w:r>
        <w:rPr>
          <w:rStyle w:val="FootnoteReference"/>
        </w:rPr>
        <w:footnoteReference w:id="4"/>
      </w:r>
      <w:r>
        <w:t>. В 2013 году в</w:t>
      </w:r>
      <w:r w:rsidRPr="009B5A67">
        <w:t>зносы на общую сумму 10 000 долл. США были получены от Аргентины.</w:t>
      </w:r>
      <w:r>
        <w:t xml:space="preserve"> </w:t>
      </w:r>
      <w:r w:rsidRPr="006F4CBD">
        <w:t xml:space="preserve">Подкомитет отмечает, что в 2012 году </w:t>
      </w:r>
      <w:r>
        <w:t xml:space="preserve">в </w:t>
      </w:r>
      <w:r w:rsidRPr="006F4CBD">
        <w:t>Фонд</w:t>
      </w:r>
      <w:r>
        <w:t xml:space="preserve"> поступили взносы на общую сумму 403 </w:t>
      </w:r>
      <w:r w:rsidRPr="006F4CBD">
        <w:t>363</w:t>
      </w:r>
      <w:r>
        <w:t> долл. США</w:t>
      </w:r>
      <w:r>
        <w:rPr>
          <w:rStyle w:val="FootnoteReference"/>
        </w:rPr>
        <w:footnoteReference w:id="5"/>
      </w:r>
      <w:r>
        <w:t xml:space="preserve">, </w:t>
      </w:r>
      <w:r w:rsidRPr="00E732C0">
        <w:t>и обеспокоен обеспечением того, чтобы денежные п</w:t>
      </w:r>
      <w:r w:rsidRPr="00E732C0">
        <w:t>о</w:t>
      </w:r>
      <w:r w:rsidRPr="00E732C0">
        <w:t>жертвования поступали в объеме, соразмерном потребностям, ко</w:t>
      </w:r>
      <w:r>
        <w:t>торые Фонд планирует удовлетворя</w:t>
      </w:r>
      <w:r w:rsidRPr="00E732C0">
        <w:t xml:space="preserve">ть. </w:t>
      </w:r>
    </w:p>
    <w:p w:rsidR="00025119" w:rsidRPr="006F4CBD" w:rsidRDefault="00025119" w:rsidP="005A135B">
      <w:pPr>
        <w:pStyle w:val="SingleTxtGR"/>
      </w:pPr>
      <w:r>
        <w:t>31.</w:t>
      </w:r>
      <w:r>
        <w:tab/>
      </w:r>
      <w:r w:rsidRPr="00E732C0">
        <w:t xml:space="preserve">В результате второго призыва о подаче заявок в Специальный </w:t>
      </w:r>
      <w:r>
        <w:t>фонд</w:t>
      </w:r>
      <w:r w:rsidRPr="00E732C0">
        <w:t xml:space="preserve"> </w:t>
      </w:r>
      <w:r>
        <w:br/>
      </w:r>
      <w:r w:rsidRPr="00E732C0">
        <w:t>(август−октябрь 2012 года)</w:t>
      </w:r>
      <w:r>
        <w:t xml:space="preserve"> было подано </w:t>
      </w:r>
      <w:r w:rsidRPr="006F4CBD">
        <w:t>30 заявок</w:t>
      </w:r>
      <w:r>
        <w:t>. После неформальных ко</w:t>
      </w:r>
      <w:r>
        <w:t>н</w:t>
      </w:r>
      <w:r>
        <w:t>сультаций с Подкомитетом</w:t>
      </w:r>
      <w:r w:rsidRPr="006F4CBD">
        <w:t xml:space="preserve"> на его девятнадцатой сессии</w:t>
      </w:r>
      <w:r>
        <w:t xml:space="preserve"> было предоставлено</w:t>
      </w:r>
      <w:r w:rsidRPr="006F4CBD">
        <w:t xml:space="preserve"> восемь</w:t>
      </w:r>
      <w:r>
        <w:t xml:space="preserve"> субсидий на </w:t>
      </w:r>
      <w:r w:rsidRPr="006F4CBD">
        <w:t>общую сумму 277 588</w:t>
      </w:r>
      <w:r>
        <w:t xml:space="preserve"> долл. США. В сентябре 2013 года был опубликован </w:t>
      </w:r>
      <w:r w:rsidRPr="006F4CBD">
        <w:t>третий при</w:t>
      </w:r>
      <w:r>
        <w:t>зыв о п</w:t>
      </w:r>
      <w:r>
        <w:t>о</w:t>
      </w:r>
      <w:r>
        <w:t>даче</w:t>
      </w:r>
      <w:r w:rsidRPr="006F4CBD">
        <w:t xml:space="preserve"> заявок в Специальный фонд.</w:t>
      </w:r>
    </w:p>
    <w:p w:rsidR="00025119" w:rsidRDefault="00025119" w:rsidP="005A135B">
      <w:pPr>
        <w:pStyle w:val="SingleTxtGR"/>
      </w:pPr>
      <w:r w:rsidRPr="006F4CBD">
        <w:t>32</w:t>
      </w:r>
      <w:r>
        <w:t>.</w:t>
      </w:r>
      <w:r>
        <w:tab/>
      </w:r>
      <w:r w:rsidRPr="006F4CBD">
        <w:t xml:space="preserve">Подкомитет твердо верит, что </w:t>
      </w:r>
      <w:r>
        <w:t xml:space="preserve">нынешняя схема управления </w:t>
      </w:r>
      <w:r w:rsidRPr="006F4CBD">
        <w:t>Специаль</w:t>
      </w:r>
      <w:r>
        <w:t>ным</w:t>
      </w:r>
      <w:r w:rsidRPr="006F4CBD">
        <w:t xml:space="preserve"> фонд</w:t>
      </w:r>
      <w:r>
        <w:t xml:space="preserve">ом, построенная на сотрудничестве, </w:t>
      </w:r>
      <w:r w:rsidRPr="006F4CBD">
        <w:t xml:space="preserve">отражает чаяния </w:t>
      </w:r>
      <w:r>
        <w:t>разработчиков</w:t>
      </w:r>
      <w:r w:rsidRPr="006F4CBD">
        <w:t xml:space="preserve"> Ф</w:t>
      </w:r>
      <w:r w:rsidRPr="006F4CBD">
        <w:t>а</w:t>
      </w:r>
      <w:r w:rsidRPr="006F4CBD">
        <w:t xml:space="preserve">культативного протокола. </w:t>
      </w:r>
      <w:r>
        <w:t>В частности, он считает, что сфокусированные и ко</w:t>
      </w:r>
      <w:r>
        <w:t>н</w:t>
      </w:r>
      <w:r>
        <w:t>кретно страновые руководящие указания, которые могут быть вынесены По</w:t>
      </w:r>
      <w:r>
        <w:t>д</w:t>
      </w:r>
      <w:r>
        <w:t>комитетом в отношении его рекомендаций, имеют существенно важное знач</w:t>
      </w:r>
      <w:r>
        <w:t>е</w:t>
      </w:r>
      <w:r>
        <w:t>ние для максимального усиления превентивного воздействия выданных субс</w:t>
      </w:r>
      <w:r>
        <w:t>и</w:t>
      </w:r>
      <w:r>
        <w:t>дий. Подкомитет надеется, что Фонд будет по-прежнему поддерживать прое</w:t>
      </w:r>
      <w:r>
        <w:t>к</w:t>
      </w:r>
      <w:r>
        <w:t>ты, имеющие существенное значение для эффективного предупр</w:t>
      </w:r>
      <w:r>
        <w:t>е</w:t>
      </w:r>
      <w:r>
        <w:t xml:space="preserve">ждения пыток и неправомерного обращения. </w:t>
      </w:r>
    </w:p>
    <w:p w:rsidR="00025119" w:rsidRPr="005B52EA" w:rsidRDefault="00025119" w:rsidP="005A135B">
      <w:pPr>
        <w:pStyle w:val="HChGR"/>
      </w:pPr>
      <w:r>
        <w:tab/>
      </w:r>
      <w:r w:rsidRPr="005B52EA">
        <w:t>III.</w:t>
      </w:r>
      <w:r w:rsidRPr="005B52EA">
        <w:tab/>
        <w:t>Взаимодействие с другими органами в области предупреждения п</w:t>
      </w:r>
      <w:r w:rsidRPr="005B52EA">
        <w:t>ы</w:t>
      </w:r>
      <w:r w:rsidRPr="005B52EA">
        <w:t>ток</w:t>
      </w:r>
    </w:p>
    <w:p w:rsidR="00025119" w:rsidRPr="005B52EA" w:rsidRDefault="00025119" w:rsidP="005A135B">
      <w:pPr>
        <w:pStyle w:val="H1GR"/>
      </w:pPr>
      <w:r>
        <w:tab/>
      </w:r>
      <w:r w:rsidRPr="005B52EA">
        <w:t>А.</w:t>
      </w:r>
      <w:r w:rsidRPr="005B52EA">
        <w:tab/>
        <w:t>Международное сотрудничество</w:t>
      </w:r>
    </w:p>
    <w:p w:rsidR="00025119" w:rsidRPr="005B52EA" w:rsidRDefault="00025119" w:rsidP="005A135B">
      <w:pPr>
        <w:pStyle w:val="H23GR"/>
      </w:pPr>
      <w:r>
        <w:tab/>
      </w:r>
      <w:r w:rsidRPr="005B52EA">
        <w:t>1.</w:t>
      </w:r>
      <w:r w:rsidRPr="005B52EA">
        <w:tab/>
        <w:t>Сотрудничество с другими органами Организации Объедине</w:t>
      </w:r>
      <w:r w:rsidRPr="005B52EA">
        <w:t>н</w:t>
      </w:r>
      <w:r w:rsidRPr="005B52EA">
        <w:t>ных Наций</w:t>
      </w:r>
    </w:p>
    <w:p w:rsidR="00025119" w:rsidRPr="006F4CBD" w:rsidRDefault="00025119" w:rsidP="005A135B">
      <w:pPr>
        <w:pStyle w:val="SingleTxtGR"/>
      </w:pPr>
      <w:r w:rsidRPr="006F4CBD">
        <w:t>33</w:t>
      </w:r>
      <w:r>
        <w:t>.</w:t>
      </w:r>
      <w:r>
        <w:tab/>
        <w:t>В</w:t>
      </w:r>
      <w:r w:rsidRPr="006F4CBD">
        <w:t xml:space="preserve"> соответствии с Факультативным протоколом Председатель Подкомит</w:t>
      </w:r>
      <w:r w:rsidRPr="006F4CBD">
        <w:t>е</w:t>
      </w:r>
      <w:r w:rsidRPr="006F4CBD">
        <w:t xml:space="preserve">та представил шестой ежегодный доклад Подкомитета </w:t>
      </w:r>
      <w:r>
        <w:t>(</w:t>
      </w:r>
      <w:r w:rsidRPr="006F4CBD">
        <w:t>CAT/C/50/2</w:t>
      </w:r>
      <w:r>
        <w:t>)</w:t>
      </w:r>
      <w:r w:rsidRPr="006F4CBD">
        <w:t xml:space="preserve"> Комитет</w:t>
      </w:r>
      <w:r>
        <w:t>у</w:t>
      </w:r>
      <w:r w:rsidRPr="006F4CBD">
        <w:t xml:space="preserve"> против пыток на пленарном заседании Комитета 16 мая 2013 года. Подкомитет и Комитет воспользов</w:t>
      </w:r>
      <w:r w:rsidRPr="006F4CBD">
        <w:t>а</w:t>
      </w:r>
      <w:r w:rsidRPr="006F4CBD">
        <w:t>л</w:t>
      </w:r>
      <w:r>
        <w:t>ись</w:t>
      </w:r>
      <w:r w:rsidRPr="006F4CBD">
        <w:t xml:space="preserve"> также </w:t>
      </w:r>
      <w:r>
        <w:t>своими одновременными сессиями</w:t>
      </w:r>
      <w:r w:rsidRPr="006F4CBD">
        <w:t xml:space="preserve"> в Женеве в ноябре 2013</w:t>
      </w:r>
      <w:r>
        <w:t xml:space="preserve"> года для обсу</w:t>
      </w:r>
      <w:r>
        <w:t>ж</w:t>
      </w:r>
      <w:r>
        <w:t xml:space="preserve">дения ряда </w:t>
      </w:r>
      <w:r w:rsidRPr="006F4CBD">
        <w:t xml:space="preserve">вопросов, </w:t>
      </w:r>
      <w:r>
        <w:t>представляющих взаимный интерес, включая как вопросы сущ</w:t>
      </w:r>
      <w:r>
        <w:t>е</w:t>
      </w:r>
      <w:r>
        <w:t xml:space="preserve">ства, так и процедурные вопросы. </w:t>
      </w:r>
    </w:p>
    <w:p w:rsidR="00025119" w:rsidRPr="006F4CBD" w:rsidRDefault="00025119" w:rsidP="005A135B">
      <w:pPr>
        <w:pStyle w:val="SingleTxtGR"/>
      </w:pPr>
      <w:r w:rsidRPr="006F4CBD">
        <w:t>34</w:t>
      </w:r>
      <w:r>
        <w:t>.</w:t>
      </w:r>
      <w:r>
        <w:tab/>
        <w:t>Согласно резолюции</w:t>
      </w:r>
      <w:r w:rsidRPr="006F4CBD">
        <w:t xml:space="preserve"> 67/161 Генеральной Ассамблеи</w:t>
      </w:r>
      <w:r>
        <w:t xml:space="preserve"> </w:t>
      </w:r>
      <w:r w:rsidRPr="006F4CBD">
        <w:t>Председатель По</w:t>
      </w:r>
      <w:r w:rsidRPr="006F4CBD">
        <w:t>д</w:t>
      </w:r>
      <w:r w:rsidRPr="006F4CBD">
        <w:t>комитет</w:t>
      </w:r>
      <w:r>
        <w:t>а</w:t>
      </w:r>
      <w:r w:rsidRPr="006F4CBD">
        <w:t xml:space="preserve"> представил шестой ежегодный доклад Подкомитета Генеральной А</w:t>
      </w:r>
      <w:r w:rsidRPr="006F4CBD">
        <w:t>с</w:t>
      </w:r>
      <w:r w:rsidRPr="006F4CBD">
        <w:t xml:space="preserve">самблее на ее шестьдесят восьмой сессии 22 октября 2013 года. Это </w:t>
      </w:r>
      <w:r>
        <w:t>меропри</w:t>
      </w:r>
      <w:r>
        <w:t>я</w:t>
      </w:r>
      <w:r>
        <w:t>тие</w:t>
      </w:r>
      <w:r w:rsidRPr="006F4CBD">
        <w:t xml:space="preserve"> также </w:t>
      </w:r>
      <w:r>
        <w:t xml:space="preserve">предоставило </w:t>
      </w:r>
      <w:r w:rsidRPr="006F4CBD">
        <w:t>Пред</w:t>
      </w:r>
      <w:r>
        <w:t>седателю</w:t>
      </w:r>
      <w:r w:rsidRPr="006F4CBD">
        <w:t xml:space="preserve"> Подкомитета возможность встретиться с Председателем Комитета против пыток и Специ</w:t>
      </w:r>
      <w:r>
        <w:t>альным докладчиком</w:t>
      </w:r>
      <w:r w:rsidRPr="006F4CBD">
        <w:t xml:space="preserve"> по вопр</w:t>
      </w:r>
      <w:r w:rsidRPr="006F4CBD">
        <w:t>о</w:t>
      </w:r>
      <w:r w:rsidRPr="006F4CBD">
        <w:t>су о пытках</w:t>
      </w:r>
      <w:r>
        <w:t>,</w:t>
      </w:r>
      <w:r w:rsidRPr="006F4CBD">
        <w:t xml:space="preserve"> оба из которых также высту</w:t>
      </w:r>
      <w:r>
        <w:t>пили</w:t>
      </w:r>
      <w:r w:rsidRPr="006F4CBD">
        <w:t xml:space="preserve"> на Г</w:t>
      </w:r>
      <w:r w:rsidRPr="006F4CBD">
        <w:t>е</w:t>
      </w:r>
      <w:r w:rsidRPr="006F4CBD">
        <w:t>неральной Ассамблее</w:t>
      </w:r>
      <w:r>
        <w:t>.</w:t>
      </w:r>
    </w:p>
    <w:p w:rsidR="00025119" w:rsidRPr="006F4CBD" w:rsidRDefault="00025119" w:rsidP="005A135B">
      <w:pPr>
        <w:pStyle w:val="SingleTxtGR"/>
      </w:pPr>
      <w:r w:rsidRPr="006F4CBD">
        <w:t>35</w:t>
      </w:r>
      <w:r>
        <w:t>.</w:t>
      </w:r>
      <w:r>
        <w:tab/>
      </w:r>
      <w:r w:rsidRPr="006F4CBD">
        <w:t>Подкомитет продолжил с</w:t>
      </w:r>
      <w:r>
        <w:t>вое активное участие в ежегодных совещаниях</w:t>
      </w:r>
      <w:r w:rsidRPr="006F4CBD">
        <w:t xml:space="preserve"> председателей договорных органов по правам человека</w:t>
      </w:r>
      <w:r>
        <w:t>.</w:t>
      </w:r>
      <w:r w:rsidRPr="006F4CBD">
        <w:t xml:space="preserve"> Председатель Подк</w:t>
      </w:r>
      <w:r w:rsidRPr="006F4CBD">
        <w:t>о</w:t>
      </w:r>
      <w:r w:rsidRPr="006F4CBD">
        <w:t xml:space="preserve">митета </w:t>
      </w:r>
      <w:r>
        <w:t>был избран заместителем Председателя двадцать пятого совещания, с</w:t>
      </w:r>
      <w:r>
        <w:t>о</w:t>
      </w:r>
      <w:r>
        <w:t>стоявшего</w:t>
      </w:r>
      <w:r w:rsidRPr="006F4CBD">
        <w:t>ся 20</w:t>
      </w:r>
      <w:r>
        <w:t>−</w:t>
      </w:r>
      <w:r w:rsidRPr="006F4CBD">
        <w:t xml:space="preserve">24 мая 2013 года в Нью-Йорке. Как </w:t>
      </w:r>
      <w:r>
        <w:t>указывается в его шестом ежегодном</w:t>
      </w:r>
      <w:r w:rsidRPr="006F4CBD">
        <w:t xml:space="preserve"> доклад</w:t>
      </w:r>
      <w:r>
        <w:t>е,</w:t>
      </w:r>
      <w:r w:rsidRPr="006F4CBD">
        <w:t xml:space="preserve"> </w:t>
      </w:r>
      <w:r>
        <w:t>К</w:t>
      </w:r>
      <w:r w:rsidRPr="006F4CBD">
        <w:t>омитет одобрил руководящие принципы</w:t>
      </w:r>
      <w:r>
        <w:t xml:space="preserve"> в отношении</w:t>
      </w:r>
      <w:r w:rsidRPr="006F4CBD">
        <w:t xml:space="preserve"> н</w:t>
      </w:r>
      <w:r w:rsidRPr="006F4CBD">
        <w:t>е</w:t>
      </w:r>
      <w:r w:rsidRPr="006F4CBD">
        <w:t>зависимости и беспристрастности членов договорных органов по правам чел</w:t>
      </w:r>
      <w:r w:rsidRPr="006F4CBD">
        <w:t>о</w:t>
      </w:r>
      <w:r w:rsidRPr="006F4CBD">
        <w:t>века (</w:t>
      </w:r>
      <w:r>
        <w:t>Аддис-Абебские руководящие принципы)</w:t>
      </w:r>
      <w:r w:rsidRPr="006F4CBD">
        <w:t xml:space="preserve"> и</w:t>
      </w:r>
      <w:r>
        <w:t xml:space="preserve"> изменил </w:t>
      </w:r>
      <w:r w:rsidRPr="006F4CBD">
        <w:t>свои правила проц</w:t>
      </w:r>
      <w:r w:rsidRPr="006F4CBD">
        <w:t>е</w:t>
      </w:r>
      <w:r w:rsidRPr="006F4CBD">
        <w:t>дуры</w:t>
      </w:r>
      <w:r>
        <w:t xml:space="preserve"> с целью обеспечения их полного </w:t>
      </w:r>
      <w:r w:rsidRPr="006F4CBD">
        <w:t>соответст</w:t>
      </w:r>
      <w:r>
        <w:t>вия</w:t>
      </w:r>
      <w:r w:rsidRPr="006F4CBD">
        <w:t xml:space="preserve"> руковод</w:t>
      </w:r>
      <w:r w:rsidRPr="006F4CBD">
        <w:t>я</w:t>
      </w:r>
      <w:r w:rsidRPr="006F4CBD">
        <w:t>щи</w:t>
      </w:r>
      <w:r>
        <w:t>м</w:t>
      </w:r>
      <w:r w:rsidRPr="006F4CBD">
        <w:t xml:space="preserve"> прин</w:t>
      </w:r>
      <w:r>
        <w:t>ципам.</w:t>
      </w:r>
      <w:r w:rsidRPr="006F4CBD">
        <w:t xml:space="preserve"> Он также принял заявление о процессе укрепления договорных органов</w:t>
      </w:r>
      <w:r>
        <w:t>,</w:t>
      </w:r>
      <w:r w:rsidRPr="006F4CBD">
        <w:t xml:space="preserve"> кот</w:t>
      </w:r>
      <w:r w:rsidRPr="006F4CBD">
        <w:t>о</w:t>
      </w:r>
      <w:r>
        <w:t xml:space="preserve">рое имеется </w:t>
      </w:r>
      <w:r w:rsidRPr="006F4CBD">
        <w:t>на веб-сайте Подкомитета</w:t>
      </w:r>
      <w:r>
        <w:t>.</w:t>
      </w:r>
      <w:r w:rsidRPr="006F4CBD">
        <w:t xml:space="preserve"> Он также </w:t>
      </w:r>
      <w:r>
        <w:t xml:space="preserve">участвовал в </w:t>
      </w:r>
      <w:r w:rsidRPr="006F4CBD">
        <w:t>многочисле</w:t>
      </w:r>
      <w:r w:rsidRPr="006F4CBD">
        <w:t>н</w:t>
      </w:r>
      <w:r w:rsidRPr="006F4CBD">
        <w:t>ных других</w:t>
      </w:r>
      <w:r>
        <w:t xml:space="preserve"> видах</w:t>
      </w:r>
      <w:r w:rsidRPr="006F4CBD">
        <w:t xml:space="preserve"> деятельн</w:t>
      </w:r>
      <w:r w:rsidRPr="006F4CBD">
        <w:t>о</w:t>
      </w:r>
      <w:r w:rsidRPr="006F4CBD">
        <w:t>сти УВКПЧ (см. раздел II</w:t>
      </w:r>
      <w:r>
        <w:t>.Е</w:t>
      </w:r>
      <w:r w:rsidRPr="006F4CBD">
        <w:t xml:space="preserve"> выше).</w:t>
      </w:r>
    </w:p>
    <w:p w:rsidR="00025119" w:rsidRPr="006F4CBD" w:rsidRDefault="00025119" w:rsidP="005A135B">
      <w:pPr>
        <w:pStyle w:val="SingleTxtGR"/>
      </w:pPr>
      <w:r w:rsidRPr="006F4CBD">
        <w:t>36</w:t>
      </w:r>
      <w:r>
        <w:t>.</w:t>
      </w:r>
      <w:r>
        <w:tab/>
      </w:r>
      <w:r w:rsidRPr="006F4CBD">
        <w:t>Подкомитет продолжал</w:t>
      </w:r>
      <w:r>
        <w:t xml:space="preserve"> свое сотрудничество </w:t>
      </w:r>
      <w:r w:rsidRPr="006F4CBD">
        <w:t>со Специальным докладч</w:t>
      </w:r>
      <w:r w:rsidRPr="006F4CBD">
        <w:t>и</w:t>
      </w:r>
      <w:r w:rsidRPr="006F4CBD">
        <w:t>ком по вопросу о пытках и</w:t>
      </w:r>
      <w:r>
        <w:t xml:space="preserve"> вместе с ним, а также с </w:t>
      </w:r>
      <w:r w:rsidRPr="006F4CBD">
        <w:t>Комитетом против пыток и Сове</w:t>
      </w:r>
      <w:r>
        <w:t>том</w:t>
      </w:r>
      <w:r w:rsidRPr="006F4CBD">
        <w:t xml:space="preserve"> попеч</w:t>
      </w:r>
      <w:r w:rsidRPr="006F4CBD">
        <w:t>и</w:t>
      </w:r>
      <w:r w:rsidRPr="006F4CBD">
        <w:t>телей</w:t>
      </w:r>
      <w:r>
        <w:t xml:space="preserve"> Добровольного фонда</w:t>
      </w:r>
      <w:r w:rsidRPr="006F4CBD">
        <w:t xml:space="preserve"> Организации Объединенных Наций для жертв пыток</w:t>
      </w:r>
      <w:r>
        <w:t xml:space="preserve"> участвовал в подготовке заявления по случаю Международн</w:t>
      </w:r>
      <w:r>
        <w:t>о</w:t>
      </w:r>
      <w:r>
        <w:t>го дня</w:t>
      </w:r>
      <w:r w:rsidRPr="006F4CBD">
        <w:t xml:space="preserve"> </w:t>
      </w:r>
      <w:r>
        <w:t xml:space="preserve">в </w:t>
      </w:r>
      <w:r w:rsidRPr="006F4CBD">
        <w:t>поддерж</w:t>
      </w:r>
      <w:r>
        <w:t>ку</w:t>
      </w:r>
      <w:r w:rsidRPr="006F4CBD">
        <w:t xml:space="preserve"> жертв пыток 26 июня 2013 года. Подкомитет также </w:t>
      </w:r>
      <w:r>
        <w:t>с уд</w:t>
      </w:r>
      <w:r>
        <w:t>о</w:t>
      </w:r>
      <w:r>
        <w:t xml:space="preserve">вольствием встретился со </w:t>
      </w:r>
      <w:r w:rsidRPr="006F4CBD">
        <w:t>Специальн</w:t>
      </w:r>
      <w:r>
        <w:t>ым</w:t>
      </w:r>
      <w:r w:rsidRPr="006F4CBD">
        <w:t xml:space="preserve"> докладчи</w:t>
      </w:r>
      <w:r>
        <w:t>ком</w:t>
      </w:r>
      <w:r w:rsidRPr="006F4CBD">
        <w:t xml:space="preserve"> и Коми</w:t>
      </w:r>
      <w:r>
        <w:t>тетом</w:t>
      </w:r>
      <w:r w:rsidRPr="006F4CBD">
        <w:t xml:space="preserve"> против п</w:t>
      </w:r>
      <w:r w:rsidRPr="006F4CBD">
        <w:t>ы</w:t>
      </w:r>
      <w:r w:rsidRPr="006F4CBD">
        <w:t xml:space="preserve">ток </w:t>
      </w:r>
      <w:r>
        <w:t>на</w:t>
      </w:r>
      <w:r w:rsidRPr="006F4CBD">
        <w:t xml:space="preserve"> открытом заседании в ходе </w:t>
      </w:r>
      <w:r>
        <w:t>своей</w:t>
      </w:r>
      <w:r w:rsidRPr="006F4CBD">
        <w:t xml:space="preserve"> двадцать первой сессии</w:t>
      </w:r>
      <w:r>
        <w:t>.</w:t>
      </w:r>
      <w:r w:rsidRPr="006F4CBD">
        <w:t xml:space="preserve"> Также </w:t>
      </w:r>
      <w:r>
        <w:t>на</w:t>
      </w:r>
      <w:r w:rsidRPr="006F4CBD">
        <w:t xml:space="preserve"> св</w:t>
      </w:r>
      <w:r w:rsidRPr="006F4CBD">
        <w:t>о</w:t>
      </w:r>
      <w:r w:rsidRPr="006F4CBD">
        <w:t xml:space="preserve">ей двадцать первой сессии Подкомитет провел свое первое </w:t>
      </w:r>
      <w:r>
        <w:t>совещание с Раб</w:t>
      </w:r>
      <w:r>
        <w:t>о</w:t>
      </w:r>
      <w:r>
        <w:t>чей группой</w:t>
      </w:r>
      <w:r w:rsidRPr="006F4CBD">
        <w:t xml:space="preserve"> по произвольным задержаниям</w:t>
      </w:r>
      <w:r>
        <w:t>.</w:t>
      </w:r>
    </w:p>
    <w:p w:rsidR="00025119" w:rsidRPr="006F4CBD" w:rsidRDefault="00025119" w:rsidP="005A135B">
      <w:pPr>
        <w:pStyle w:val="SingleTxtGR"/>
      </w:pPr>
      <w:r w:rsidRPr="006F4CBD">
        <w:t>37</w:t>
      </w:r>
      <w:r>
        <w:t>.</w:t>
      </w:r>
      <w:r>
        <w:tab/>
      </w:r>
      <w:r w:rsidRPr="006F4CBD">
        <w:t>Подкомитет продолжал</w:t>
      </w:r>
      <w:r>
        <w:t xml:space="preserve"> свое сотрудничество </w:t>
      </w:r>
      <w:r w:rsidRPr="006F4CBD">
        <w:t>с Верховным комиссаром Организации Объединенных Наций по делам беженцев</w:t>
      </w:r>
      <w:r>
        <w:t>, Всемирной организ</w:t>
      </w:r>
      <w:r>
        <w:t>а</w:t>
      </w:r>
      <w:r>
        <w:t>цией</w:t>
      </w:r>
      <w:r w:rsidRPr="006F4CBD">
        <w:t xml:space="preserve"> здравоохране</w:t>
      </w:r>
      <w:r>
        <w:t>ния и Управлением</w:t>
      </w:r>
      <w:r w:rsidRPr="006F4CBD">
        <w:t xml:space="preserve"> Организации Объединенных Наций по наркотикам и преступности</w:t>
      </w:r>
      <w:r>
        <w:t>.</w:t>
      </w:r>
    </w:p>
    <w:p w:rsidR="00025119" w:rsidRPr="00B86F4A" w:rsidRDefault="00025119" w:rsidP="005A135B">
      <w:pPr>
        <w:pStyle w:val="H23GR"/>
      </w:pPr>
      <w:r>
        <w:tab/>
      </w:r>
      <w:r w:rsidRPr="00B86F4A">
        <w:t>2.</w:t>
      </w:r>
      <w:r w:rsidRPr="00B86F4A">
        <w:tab/>
        <w:t>Сотрудничество с другими соответствующими международными организациями</w:t>
      </w:r>
    </w:p>
    <w:p w:rsidR="00025119" w:rsidRDefault="00025119" w:rsidP="005A135B">
      <w:pPr>
        <w:pStyle w:val="SingleTxtGR"/>
      </w:pPr>
      <w:r w:rsidRPr="006F4CBD">
        <w:t>38</w:t>
      </w:r>
      <w:r>
        <w:t>.</w:t>
      </w:r>
      <w:r>
        <w:tab/>
      </w:r>
      <w:r w:rsidRPr="006F4CBD">
        <w:t xml:space="preserve">Подкомитет продолжал </w:t>
      </w:r>
      <w:r>
        <w:t>свое сотрудничество</w:t>
      </w:r>
      <w:r w:rsidRPr="006F4CBD">
        <w:t xml:space="preserve"> с Международным комит</w:t>
      </w:r>
      <w:r w:rsidRPr="006F4CBD">
        <w:t>е</w:t>
      </w:r>
      <w:r w:rsidRPr="006F4CBD">
        <w:t>том Кра</w:t>
      </w:r>
      <w:r w:rsidRPr="006F4CBD">
        <w:t>с</w:t>
      </w:r>
      <w:r w:rsidRPr="006F4CBD">
        <w:t>ного Креста</w:t>
      </w:r>
      <w:r>
        <w:t>,</w:t>
      </w:r>
      <w:r w:rsidRPr="006F4CBD">
        <w:t xml:space="preserve"> </w:t>
      </w:r>
      <w:r>
        <w:t>особенно</w:t>
      </w:r>
      <w:r w:rsidRPr="006F4CBD">
        <w:t xml:space="preserve"> в контексте </w:t>
      </w:r>
      <w:r>
        <w:t xml:space="preserve">поездок </w:t>
      </w:r>
      <w:r w:rsidRPr="006F4CBD">
        <w:t>на места.</w:t>
      </w:r>
    </w:p>
    <w:p w:rsidR="00025119" w:rsidRPr="000168B7" w:rsidRDefault="00025119" w:rsidP="005A135B">
      <w:pPr>
        <w:pStyle w:val="SingleTxtGR"/>
      </w:pPr>
      <w:r w:rsidRPr="000168B7">
        <w:t>39.</w:t>
      </w:r>
      <w:r w:rsidRPr="000168B7">
        <w:tab/>
        <w:t>Подкомитет с удовлетворением отмечает тот факт, что в ходе отчетного периода процесс сотрудничества с Международной организацией франкоязы</w:t>
      </w:r>
      <w:r w:rsidRPr="000168B7">
        <w:t>ч</w:t>
      </w:r>
      <w:r w:rsidRPr="000168B7">
        <w:t>ных стран (МОФС) привел к разработке совмес</w:t>
      </w:r>
      <w:r w:rsidRPr="000168B7">
        <w:t>т</w:t>
      </w:r>
      <w:r>
        <w:t>ного проекта УВКПЧ-Подкомитета-</w:t>
      </w:r>
      <w:r w:rsidRPr="000168B7">
        <w:t>МОФС в целях оказания поддержки деятельности Подкомитета, касающейся осуществления Факультативного протокола в государствах-участниках, являющихся членами МОФС. Основные задачи проекта состоят в оказании франкоязычным африканским государствам-участникам содействия в осуществлении их обязательств по Факультативному протоколу, в частности в отношении назначения и создания НПМ.</w:t>
      </w:r>
    </w:p>
    <w:p w:rsidR="00025119" w:rsidRPr="000168B7" w:rsidRDefault="00025119" w:rsidP="005A135B">
      <w:pPr>
        <w:pStyle w:val="H1GR"/>
      </w:pPr>
      <w:r w:rsidRPr="000168B7">
        <w:tab/>
        <w:t>В.</w:t>
      </w:r>
      <w:r w:rsidRPr="000168B7">
        <w:tab/>
        <w:t>Региональное сотрудничество</w:t>
      </w:r>
    </w:p>
    <w:p w:rsidR="00025119" w:rsidRPr="000168B7" w:rsidRDefault="00025119" w:rsidP="005A135B">
      <w:pPr>
        <w:pStyle w:val="SingleTxtGR"/>
      </w:pPr>
      <w:r w:rsidRPr="000168B7">
        <w:t>40.</w:t>
      </w:r>
      <w:r w:rsidRPr="000168B7">
        <w:tab/>
        <w:t>Через посредство руководителей своих региональных групп Подкомитет продолжал свое сотрудничество с другими партнерами в области предупрежд</w:t>
      </w:r>
      <w:r w:rsidRPr="000168B7">
        <w:t>е</w:t>
      </w:r>
      <w:r w:rsidRPr="000168B7">
        <w:t>ния пыток, включая Африканскую комиссию по правам человека и народов, Межамериканскую комиссию по правам человека, Совет Европы, Европе</w:t>
      </w:r>
      <w:r w:rsidRPr="000168B7">
        <w:t>й</w:t>
      </w:r>
      <w:r w:rsidRPr="000168B7">
        <w:t>ский комитет по предупреждению пыток и бесчеловечного или унижающего дост</w:t>
      </w:r>
      <w:r w:rsidRPr="000168B7">
        <w:t>о</w:t>
      </w:r>
      <w:r w:rsidRPr="000168B7">
        <w:t>инство обращения или наказания и Европейскую комиссию. Во время своей двадцать первой сессии Подкомитет провел встречу с Европейским комитетом для обсуждения вопросов, представляющих общий интерес, включая преве</w:t>
      </w:r>
      <w:r w:rsidRPr="000168B7">
        <w:t>н</w:t>
      </w:r>
      <w:r w:rsidRPr="000168B7">
        <w:t>тивный подход к пыткам и неправомерному обращению, репрессалии, НПМ, их соответствующие методы работы и Минимальные стандартные правила обр</w:t>
      </w:r>
      <w:r w:rsidRPr="000168B7">
        <w:t>а</w:t>
      </w:r>
      <w:r w:rsidRPr="000168B7">
        <w:t>щения с заключенными.</w:t>
      </w:r>
    </w:p>
    <w:p w:rsidR="00025119" w:rsidRPr="000168B7" w:rsidRDefault="00025119" w:rsidP="005A135B">
      <w:pPr>
        <w:pStyle w:val="H1GR"/>
      </w:pPr>
      <w:r w:rsidRPr="000168B7">
        <w:tab/>
        <w:t>С.</w:t>
      </w:r>
      <w:r w:rsidRPr="000168B7">
        <w:tab/>
        <w:t>Гражданское общество</w:t>
      </w:r>
    </w:p>
    <w:p w:rsidR="00025119" w:rsidRPr="000168B7" w:rsidRDefault="00025119" w:rsidP="005A135B">
      <w:pPr>
        <w:pStyle w:val="SingleTxtGR"/>
      </w:pPr>
      <w:r w:rsidRPr="000168B7">
        <w:t>41.</w:t>
      </w:r>
      <w:r w:rsidRPr="000168B7">
        <w:tab/>
        <w:t>Подкомитет продолжал получать поддержку от субъектов гражданского общества, и в частности АПП и Контактной сети по Факультативному проток</w:t>
      </w:r>
      <w:r w:rsidRPr="000168B7">
        <w:t>о</w:t>
      </w:r>
      <w:r w:rsidRPr="000168B7">
        <w:t>лу, и академических учреждений, включая Центр по осуществлению прав чел</w:t>
      </w:r>
      <w:r w:rsidRPr="000168B7">
        <w:t>о</w:t>
      </w:r>
      <w:r w:rsidRPr="000168B7">
        <w:t xml:space="preserve">века при Университете Бристоля. Он также в огромной степени </w:t>
      </w:r>
      <w:r>
        <w:t xml:space="preserve">опирался </w:t>
      </w:r>
      <w:r w:rsidRPr="000168B7">
        <w:t xml:space="preserve">на свои контакты с организациями гражданского общества </w:t>
      </w:r>
      <w:r>
        <w:t>пр</w:t>
      </w:r>
      <w:r w:rsidRPr="000168B7">
        <w:t>и реализации своей программы посещений. Он хотел бы воспользоваться данной возможностью, чтобы поблагодарить их всех за их работу по пропаганде Факультативного пр</w:t>
      </w:r>
      <w:r w:rsidRPr="000168B7">
        <w:t>о</w:t>
      </w:r>
      <w:r w:rsidRPr="000168B7">
        <w:t xml:space="preserve">токола и поддержке Подкомитета в его деятельности. </w:t>
      </w:r>
      <w:r>
        <w:t>Подк</w:t>
      </w:r>
      <w:r w:rsidRPr="000168B7">
        <w:t>омитет хотел бы в</w:t>
      </w:r>
      <w:r w:rsidRPr="000168B7">
        <w:t>ы</w:t>
      </w:r>
      <w:r w:rsidRPr="000168B7">
        <w:t>разить свою особую признательность Правовой инициативе открытого общес</w:t>
      </w:r>
      <w:r w:rsidRPr="000168B7">
        <w:t>т</w:t>
      </w:r>
      <w:r w:rsidRPr="000168B7">
        <w:t>ва, Международной организации за реформу уголовного правосудия и Центру по осуществлению прав человека при Университете Бристоля за организацию на его девятнадцатой сессии учебного рабочего совещания, посвященного д</w:t>
      </w:r>
      <w:r w:rsidRPr="000168B7">
        <w:t>о</w:t>
      </w:r>
      <w:r w:rsidRPr="000168B7">
        <w:t>судебному содержанию под стражей. Особые слова благодарности следует в</w:t>
      </w:r>
      <w:r w:rsidRPr="000168B7">
        <w:t>ы</w:t>
      </w:r>
      <w:r w:rsidRPr="000168B7">
        <w:t>сказать также в адрес АПП за ее бесценную поддержку Факультативного прот</w:t>
      </w:r>
      <w:r w:rsidRPr="000168B7">
        <w:t>о</w:t>
      </w:r>
      <w:r w:rsidRPr="000168B7">
        <w:t>кола и Подком</w:t>
      </w:r>
      <w:r w:rsidRPr="000168B7">
        <w:t>и</w:t>
      </w:r>
      <w:r w:rsidRPr="000168B7">
        <w:t>тета.</w:t>
      </w:r>
    </w:p>
    <w:p w:rsidR="00025119" w:rsidRPr="000168B7" w:rsidRDefault="00025119" w:rsidP="005A135B">
      <w:pPr>
        <w:pStyle w:val="HChGR"/>
      </w:pPr>
      <w:r w:rsidRPr="000168B7">
        <w:tab/>
      </w:r>
      <w:r w:rsidRPr="000168B7">
        <w:rPr>
          <w:lang w:val="en-US"/>
        </w:rPr>
        <w:t>IV</w:t>
      </w:r>
      <w:r w:rsidRPr="000168B7">
        <w:t>.</w:t>
      </w:r>
      <w:r w:rsidRPr="000168B7">
        <w:tab/>
        <w:t xml:space="preserve">Заслуживающие внимания вопросы, которые возникли в связи с работой Подкомитета </w:t>
      </w:r>
      <w:r>
        <w:br/>
      </w:r>
      <w:r w:rsidRPr="000168B7">
        <w:t>за</w:t>
      </w:r>
      <w:r>
        <w:t xml:space="preserve"> обзорный</w:t>
      </w:r>
      <w:r w:rsidRPr="000168B7">
        <w:t xml:space="preserve"> период</w:t>
      </w:r>
    </w:p>
    <w:p w:rsidR="00025119" w:rsidRPr="000168B7" w:rsidRDefault="00025119" w:rsidP="005A135B">
      <w:pPr>
        <w:pStyle w:val="H1GR"/>
      </w:pPr>
      <w:r w:rsidRPr="000168B7">
        <w:tab/>
        <w:t>А.</w:t>
      </w:r>
      <w:r w:rsidRPr="000168B7">
        <w:tab/>
        <w:t>Новый членский состав</w:t>
      </w:r>
    </w:p>
    <w:p w:rsidR="00025119" w:rsidRPr="000168B7" w:rsidRDefault="00025119" w:rsidP="005A135B">
      <w:pPr>
        <w:pStyle w:val="SingleTxtGR"/>
      </w:pPr>
      <w:r w:rsidRPr="000168B7">
        <w:t>42.</w:t>
      </w:r>
      <w:r w:rsidRPr="000168B7">
        <w:tab/>
        <w:t xml:space="preserve">На своей девятнадцатой сессии Комитет </w:t>
      </w:r>
      <w:r>
        <w:t xml:space="preserve">был рад </w:t>
      </w:r>
      <w:r w:rsidRPr="000168B7">
        <w:t>приветство</w:t>
      </w:r>
      <w:r>
        <w:t>вать</w:t>
      </w:r>
      <w:r w:rsidRPr="000168B7">
        <w:t xml:space="preserve"> шест</w:t>
      </w:r>
      <w:r w:rsidRPr="000168B7">
        <w:t>е</w:t>
      </w:r>
      <w:r w:rsidRPr="000168B7">
        <w:t xml:space="preserve">рых новых членов и шестерых </w:t>
      </w:r>
      <w:r>
        <w:t xml:space="preserve">повторно занимающих свои посты </w:t>
      </w:r>
      <w:r w:rsidRPr="000168B7">
        <w:t>членов после выборов, состоявшихся на совещании государств-участников в октябре 201</w:t>
      </w:r>
      <w:r>
        <w:t>2 года. Подк</w:t>
      </w:r>
      <w:r w:rsidRPr="000168B7">
        <w:t>омитет хотел бы поздравить своих новых членов, которые при</w:t>
      </w:r>
      <w:r w:rsidRPr="000168B7">
        <w:t>в</w:t>
      </w:r>
      <w:r w:rsidRPr="000168B7">
        <w:t>носят со своим приходом опыт и экспертны</w:t>
      </w:r>
      <w:r>
        <w:t>е</w:t>
      </w:r>
      <w:r w:rsidRPr="000168B7">
        <w:t xml:space="preserve"> знания в разнообразных обла</w:t>
      </w:r>
      <w:r w:rsidRPr="000168B7">
        <w:t>с</w:t>
      </w:r>
      <w:r w:rsidRPr="000168B7">
        <w:t xml:space="preserve">тях, имеющих </w:t>
      </w:r>
      <w:r>
        <w:t xml:space="preserve">актуальное </w:t>
      </w:r>
      <w:r w:rsidRPr="000168B7">
        <w:t>отношение к практ</w:t>
      </w:r>
      <w:r w:rsidRPr="000168B7">
        <w:t>и</w:t>
      </w:r>
      <w:r w:rsidRPr="000168B7">
        <w:t>ческой работе Подкомитета.</w:t>
      </w:r>
    </w:p>
    <w:p w:rsidR="00025119" w:rsidRPr="000168B7" w:rsidRDefault="00025119" w:rsidP="005A135B">
      <w:pPr>
        <w:pStyle w:val="SingleTxtGR"/>
      </w:pPr>
      <w:r w:rsidRPr="000168B7">
        <w:t>43.</w:t>
      </w:r>
      <w:r w:rsidRPr="000168B7">
        <w:tab/>
        <w:t>Подкомитет отмечает, что это знаменует начало непрерывного процесса упорядоченной текучести членов в результате выборов в порядке ротации нар</w:t>
      </w:r>
      <w:r w:rsidRPr="000168B7">
        <w:t>я</w:t>
      </w:r>
      <w:r w:rsidRPr="000168B7">
        <w:t>ду с максимальными периодами членства. Подкомитет весьма позитивно оц</w:t>
      </w:r>
      <w:r w:rsidRPr="000168B7">
        <w:t>е</w:t>
      </w:r>
      <w:r w:rsidRPr="000168B7">
        <w:t>нивает таким образом достигнутый баланс между преемственностью и обно</w:t>
      </w:r>
      <w:r w:rsidRPr="000168B7">
        <w:t>в</w:t>
      </w:r>
      <w:r w:rsidRPr="000168B7">
        <w:t>лением своего членского состава. Однако он также остро осознает необход</w:t>
      </w:r>
      <w:r w:rsidRPr="000168B7">
        <w:t>и</w:t>
      </w:r>
      <w:r w:rsidRPr="000168B7">
        <w:t>мость обеспечения того, чтобы самые новые члены быстро и эффективно вх</w:t>
      </w:r>
      <w:r w:rsidRPr="000168B7">
        <w:t>о</w:t>
      </w:r>
      <w:r w:rsidRPr="000168B7">
        <w:t xml:space="preserve">дили в курс практической работы Подкомитета. Он сожалеет, что располагает недостаточными возможностями для того, чтобы делать это, как ему хотелось бы, но считает необходимым анализировать то, как лучше всего организовать надлежащую подготовку по вопросам </w:t>
      </w:r>
      <w:r>
        <w:t xml:space="preserve">особой </w:t>
      </w:r>
      <w:r w:rsidRPr="000168B7">
        <w:t>полевой деятельности Подком</w:t>
      </w:r>
      <w:r w:rsidRPr="000168B7">
        <w:t>и</w:t>
      </w:r>
      <w:r w:rsidRPr="000168B7">
        <w:t>тета.</w:t>
      </w:r>
    </w:p>
    <w:p w:rsidR="00025119" w:rsidRPr="000168B7" w:rsidRDefault="00025119" w:rsidP="005A135B">
      <w:pPr>
        <w:pStyle w:val="H1GR"/>
      </w:pPr>
      <w:r w:rsidRPr="000168B7">
        <w:tab/>
        <w:t>В.</w:t>
      </w:r>
      <w:r w:rsidRPr="000168B7">
        <w:tab/>
        <w:t>Развитие практических методов работы</w:t>
      </w:r>
    </w:p>
    <w:p w:rsidR="00025119" w:rsidRPr="000168B7" w:rsidRDefault="00025119" w:rsidP="005A135B">
      <w:pPr>
        <w:pStyle w:val="H23GR"/>
      </w:pPr>
      <w:r w:rsidRPr="000168B7">
        <w:tab/>
        <w:t>1.</w:t>
      </w:r>
      <w:r w:rsidRPr="000168B7">
        <w:tab/>
        <w:t>Консультативные посещения в связи с национальными преве</w:t>
      </w:r>
      <w:r w:rsidRPr="000168B7">
        <w:t>н</w:t>
      </w:r>
      <w:r w:rsidRPr="000168B7">
        <w:t>тивными механизмами</w:t>
      </w:r>
    </w:p>
    <w:p w:rsidR="00025119" w:rsidRPr="000168B7" w:rsidRDefault="00025119" w:rsidP="005A135B">
      <w:pPr>
        <w:pStyle w:val="SingleTxtGR"/>
      </w:pPr>
      <w:r w:rsidRPr="000168B7">
        <w:t>44.</w:t>
      </w:r>
      <w:r w:rsidRPr="000168B7">
        <w:tab/>
        <w:t>После введения в 2012 году практики консультативных посещений</w:t>
      </w:r>
      <w:r>
        <w:t>, св</w:t>
      </w:r>
      <w:r>
        <w:t>я</w:t>
      </w:r>
      <w:r>
        <w:t>занных</w:t>
      </w:r>
      <w:r w:rsidRPr="000168B7">
        <w:t xml:space="preserve"> с НПМ</w:t>
      </w:r>
      <w:r>
        <w:t>,</w:t>
      </w:r>
      <w:r w:rsidRPr="000168B7">
        <w:t xml:space="preserve"> Подкомитет пересмотрел свои методы работы при осуществл</w:t>
      </w:r>
      <w:r w:rsidRPr="000168B7">
        <w:t>е</w:t>
      </w:r>
      <w:r w:rsidRPr="000168B7">
        <w:t>нии посещений, чтобы уделять более пристальное внимание компоне</w:t>
      </w:r>
      <w:r w:rsidRPr="000168B7">
        <w:t>н</w:t>
      </w:r>
      <w:r w:rsidRPr="000168B7">
        <w:t>ту своего мандата, касающемуся НПМ. В 2013 году Подкомитет смог упрочить свою практику в свете своего рас</w:t>
      </w:r>
      <w:r>
        <w:t xml:space="preserve">тущего </w:t>
      </w:r>
      <w:r w:rsidRPr="000168B7">
        <w:t xml:space="preserve">опыта при проведении таких посещений. Он пришел к выводу о том, что </w:t>
      </w:r>
      <w:r>
        <w:t xml:space="preserve">способен расширить сферу охвата деятельности на местах </w:t>
      </w:r>
      <w:r w:rsidRPr="000168B7">
        <w:t>и анализировать пол</w:t>
      </w:r>
      <w:r w:rsidRPr="000168B7">
        <w:t>о</w:t>
      </w:r>
      <w:r w:rsidRPr="000168B7">
        <w:t>жение в большем числе стран, чем ранее. Введение практики консультативных п</w:t>
      </w:r>
      <w:r w:rsidRPr="000168B7">
        <w:t>о</w:t>
      </w:r>
      <w:r w:rsidRPr="000168B7">
        <w:t>сещений также открыло перед Подкомитетом возможность для более тесного взаимодействия с НПМ и сосредоточения ус</w:t>
      </w:r>
      <w:r w:rsidRPr="000168B7">
        <w:t>и</w:t>
      </w:r>
      <w:r w:rsidRPr="000168B7">
        <w:t>лий на систематических вопросах, имеющих отношение к превентивному ма</w:t>
      </w:r>
      <w:r w:rsidRPr="000168B7">
        <w:t>н</w:t>
      </w:r>
      <w:r w:rsidRPr="000168B7">
        <w:t xml:space="preserve">дату НПМ и </w:t>
      </w:r>
      <w:r>
        <w:t xml:space="preserve">сопряженному </w:t>
      </w:r>
      <w:r w:rsidRPr="000168B7">
        <w:t xml:space="preserve">обязательству государств-участников. Ему удалось опереться на этот опыт при консультировании и оказании практической помощи государствам-участникам </w:t>
      </w:r>
      <w:r>
        <w:t xml:space="preserve">и </w:t>
      </w:r>
      <w:r w:rsidRPr="000168B7">
        <w:t>НПМ в других контекстах. Комитет считает, что данный момент обернулся большим успехом и что такие посещения будут по-прежнему фигурировать в его программе пос</w:t>
      </w:r>
      <w:r w:rsidRPr="000168B7">
        <w:t>е</w:t>
      </w:r>
      <w:r w:rsidRPr="000168B7">
        <w:t>щений.</w:t>
      </w:r>
    </w:p>
    <w:p w:rsidR="00025119" w:rsidRPr="000168B7" w:rsidRDefault="00025119" w:rsidP="005A135B">
      <w:pPr>
        <w:pStyle w:val="SingleTxtGR"/>
      </w:pPr>
      <w:r w:rsidRPr="000168B7">
        <w:t>45.</w:t>
      </w:r>
      <w:r w:rsidRPr="000168B7">
        <w:tab/>
        <w:t xml:space="preserve">В его нынешнем виде механизм консультативных посещений в связи с НПМ предполагает, что в стране, подлежащей посещению, НПМ уже действует. Однако </w:t>
      </w:r>
      <w:r>
        <w:t>дело</w:t>
      </w:r>
      <w:r w:rsidRPr="000168B7">
        <w:t xml:space="preserve"> не всегда обстоит таким образом. Поэтому, </w:t>
      </w:r>
      <w:r>
        <w:t xml:space="preserve">руководствуясь своим </w:t>
      </w:r>
      <w:r w:rsidRPr="000168B7">
        <w:t>опыт</w:t>
      </w:r>
      <w:r>
        <w:t>ом</w:t>
      </w:r>
      <w:r w:rsidRPr="000168B7">
        <w:t>, накоп</w:t>
      </w:r>
      <w:r>
        <w:t>ленным</w:t>
      </w:r>
      <w:r w:rsidRPr="000168B7">
        <w:t xml:space="preserve"> в ходе обзорного года, Подкомитет решил менять свою методологию при проведении посещений в соответствии со своим мандатом по статье 11 </w:t>
      </w:r>
      <w:r w:rsidRPr="000168B7">
        <w:rPr>
          <w:lang w:val="en-US"/>
        </w:rPr>
        <w:t>b</w:t>
      </w:r>
      <w:r w:rsidRPr="000168B7">
        <w:t>) Факультативного протокола, чтобы он мог лучше выполнять свои обязательства по статье 11 </w:t>
      </w:r>
      <w:r w:rsidRPr="000168B7">
        <w:rPr>
          <w:lang w:val="en-US"/>
        </w:rPr>
        <w:t>b</w:t>
      </w:r>
      <w:r w:rsidRPr="000168B7">
        <w:t xml:space="preserve">) </w:t>
      </w:r>
      <w:r w:rsidRPr="000168B7">
        <w:rPr>
          <w:lang w:val="en-US"/>
        </w:rPr>
        <w:t>i</w:t>
      </w:r>
      <w:r w:rsidRPr="000168B7">
        <w:t>) в отношении консультирования и оказания п</w:t>
      </w:r>
      <w:r w:rsidRPr="000168B7">
        <w:t>о</w:t>
      </w:r>
      <w:r w:rsidRPr="000168B7">
        <w:t>мощи государствам-участникам, когда это необходимо, в создании НПМ. Т</w:t>
      </w:r>
      <w:r w:rsidRPr="000168B7">
        <w:t>а</w:t>
      </w:r>
      <w:r w:rsidRPr="000168B7">
        <w:t xml:space="preserve">кие посещения, которые в точности можно охарактеризовать как консультативные посещения в связи с Факультативным протоколом, будут короткими и </w:t>
      </w:r>
      <w:r>
        <w:t xml:space="preserve">не </w:t>
      </w:r>
      <w:r w:rsidRPr="000168B7">
        <w:t>будут подразумевать участи</w:t>
      </w:r>
      <w:r>
        <w:t>я</w:t>
      </w:r>
      <w:r w:rsidRPr="000168B7">
        <w:t xml:space="preserve"> Подкомитета в посещении мест содержания под стр</w:t>
      </w:r>
      <w:r w:rsidRPr="000168B7">
        <w:t>а</w:t>
      </w:r>
      <w:r w:rsidRPr="000168B7">
        <w:t xml:space="preserve">жей согласно его собственному мандату, касающемуся посещений, </w:t>
      </w:r>
      <w:r>
        <w:t>а</w:t>
      </w:r>
      <w:r w:rsidRPr="000168B7">
        <w:t xml:space="preserve"> будут сосред</w:t>
      </w:r>
      <w:r w:rsidRPr="000168B7">
        <w:t>о</w:t>
      </w:r>
      <w:r w:rsidRPr="000168B7">
        <w:t>точены на проведении встреч с соответствующими властями в государс</w:t>
      </w:r>
      <w:r w:rsidRPr="000168B7">
        <w:t>т</w:t>
      </w:r>
      <w:r w:rsidRPr="000168B7">
        <w:t>ве-участнике, чтобы помочь им в выполнении их обязательств по части </w:t>
      </w:r>
      <w:r w:rsidRPr="000168B7">
        <w:rPr>
          <w:lang w:val="en-US"/>
        </w:rPr>
        <w:t>IV</w:t>
      </w:r>
      <w:r w:rsidRPr="000168B7">
        <w:t xml:space="preserve"> Факул</w:t>
      </w:r>
      <w:r w:rsidRPr="000168B7">
        <w:t>ь</w:t>
      </w:r>
      <w:r w:rsidRPr="000168B7">
        <w:t>тативного протокола в контексте диалога с Подкомитетом.</w:t>
      </w:r>
    </w:p>
    <w:p w:rsidR="00025119" w:rsidRPr="000168B7" w:rsidRDefault="00025119" w:rsidP="005A135B">
      <w:pPr>
        <w:pStyle w:val="H23GR"/>
      </w:pPr>
      <w:r w:rsidRPr="000168B7">
        <w:tab/>
        <w:t>2.</w:t>
      </w:r>
      <w:r w:rsidRPr="000168B7">
        <w:tab/>
        <w:t>Рабочие группы</w:t>
      </w:r>
    </w:p>
    <w:p w:rsidR="00025119" w:rsidRPr="000168B7" w:rsidRDefault="00025119" w:rsidP="005A135B">
      <w:pPr>
        <w:pStyle w:val="SingleTxtGR"/>
      </w:pPr>
      <w:r w:rsidRPr="000168B7">
        <w:t>46.</w:t>
      </w:r>
      <w:r w:rsidRPr="000168B7">
        <w:tab/>
        <w:t>В 2012 году Подкомитет учредил ряд специальных рабочих групп. В т</w:t>
      </w:r>
      <w:r w:rsidRPr="000168B7">
        <w:t>е</w:t>
      </w:r>
      <w:r w:rsidRPr="000168B7">
        <w:t>чение 2013 года после девятнадцатой сессии рабочая группа по начальной и п</w:t>
      </w:r>
      <w:r w:rsidRPr="000168B7">
        <w:t>о</w:t>
      </w:r>
      <w:r w:rsidRPr="000168B7">
        <w:t>следующей подготовке была расформирована, поскольку она выполнила свою задачу по обеспечению ввода в курс дела вновь избранных членов. Аналоги</w:t>
      </w:r>
      <w:r w:rsidRPr="000168B7">
        <w:t>ч</w:t>
      </w:r>
      <w:r w:rsidRPr="000168B7">
        <w:t xml:space="preserve">ным образом завершила свою </w:t>
      </w:r>
      <w:r>
        <w:t>деятельность р</w:t>
      </w:r>
      <w:r w:rsidRPr="000168B7">
        <w:t>абочая группа по системным в</w:t>
      </w:r>
      <w:r w:rsidRPr="000168B7">
        <w:t>о</w:t>
      </w:r>
      <w:r w:rsidRPr="000168B7">
        <w:t xml:space="preserve">просам, касающимся НПМ, и ее рекомендации в отношении </w:t>
      </w:r>
      <w:r>
        <w:t xml:space="preserve">улучшения </w:t>
      </w:r>
      <w:r w:rsidRPr="000168B7">
        <w:t>проц</w:t>
      </w:r>
      <w:r w:rsidRPr="000168B7">
        <w:t>е</w:t>
      </w:r>
      <w:r w:rsidRPr="000168B7">
        <w:t xml:space="preserve">дур практического взаимодействия с НПМ будут </w:t>
      </w:r>
      <w:r>
        <w:t xml:space="preserve">опробованы </w:t>
      </w:r>
      <w:r w:rsidRPr="000168B7">
        <w:t>с целью их с</w:t>
      </w:r>
      <w:r w:rsidRPr="000168B7">
        <w:t>о</w:t>
      </w:r>
      <w:r w:rsidRPr="000168B7">
        <w:t xml:space="preserve">вершенствования до </w:t>
      </w:r>
      <w:r>
        <w:t>предания гласности</w:t>
      </w:r>
      <w:r w:rsidRPr="000168B7">
        <w:t>.</w:t>
      </w:r>
    </w:p>
    <w:p w:rsidR="00025119" w:rsidRPr="000168B7" w:rsidRDefault="00025119" w:rsidP="005A135B">
      <w:pPr>
        <w:pStyle w:val="SingleTxtGR"/>
      </w:pPr>
      <w:r w:rsidRPr="000168B7">
        <w:t>47.</w:t>
      </w:r>
      <w:r w:rsidRPr="000168B7">
        <w:tab/>
        <w:t xml:space="preserve">Рабочая группа по медицинским вопросам продолжает свою работу по ряду вопросов, включая </w:t>
      </w:r>
      <w:r>
        <w:t>совершенствование документа</w:t>
      </w:r>
      <w:r w:rsidRPr="000168B7">
        <w:t xml:space="preserve"> с изложением </w:t>
      </w:r>
      <w:r>
        <w:t>ее</w:t>
      </w:r>
      <w:r w:rsidRPr="000168B7">
        <w:t xml:space="preserve"> поз</w:t>
      </w:r>
      <w:r w:rsidRPr="000168B7">
        <w:t>и</w:t>
      </w:r>
      <w:r w:rsidRPr="000168B7">
        <w:t>ции в отношении работы Подкомитета, касающейся лиц с психиатрическими отклонениями или недостатками и лиц, находящихся в психиатрических учр</w:t>
      </w:r>
      <w:r w:rsidRPr="000168B7">
        <w:t>е</w:t>
      </w:r>
      <w:r w:rsidRPr="000168B7">
        <w:t>ждениях, с учетом подготовленного в 2013 году доклада Специального докла</w:t>
      </w:r>
      <w:r w:rsidRPr="000168B7">
        <w:t>д</w:t>
      </w:r>
      <w:r w:rsidRPr="000168B7">
        <w:t>чика по вопросу о пытках и других жестоких, бесчеловечных или унижающих достоинство видов обращения и наказания для Совета по правам чел</w:t>
      </w:r>
      <w:r w:rsidRPr="000168B7">
        <w:t>о</w:t>
      </w:r>
      <w:r w:rsidRPr="000168B7">
        <w:t>века (</w:t>
      </w:r>
      <w:r w:rsidRPr="000168B7">
        <w:rPr>
          <w:lang w:val="en-US"/>
        </w:rPr>
        <w:t>A</w:t>
      </w:r>
      <w:r w:rsidRPr="000168B7">
        <w:t>/</w:t>
      </w:r>
      <w:r w:rsidRPr="000168B7">
        <w:rPr>
          <w:lang w:val="en-US"/>
        </w:rPr>
        <w:t>HRC</w:t>
      </w:r>
      <w:r w:rsidRPr="000168B7">
        <w:t>/22/53).</w:t>
      </w:r>
    </w:p>
    <w:p w:rsidR="00025119" w:rsidRPr="000168B7" w:rsidRDefault="00025119" w:rsidP="005A135B">
      <w:pPr>
        <w:pStyle w:val="SingleTxtGR"/>
      </w:pPr>
      <w:r w:rsidRPr="000168B7">
        <w:t>48.</w:t>
      </w:r>
      <w:r w:rsidRPr="000168B7">
        <w:tab/>
      </w:r>
      <w:r>
        <w:t>П</w:t>
      </w:r>
      <w:r w:rsidRPr="000168B7">
        <w:t xml:space="preserve">родолжают свою работу </w:t>
      </w:r>
      <w:r>
        <w:t>р</w:t>
      </w:r>
      <w:r w:rsidRPr="000168B7">
        <w:t>абочие группы по репрессалиям, по Мин</w:t>
      </w:r>
      <w:r w:rsidRPr="000168B7">
        <w:t>и</w:t>
      </w:r>
      <w:r w:rsidRPr="000168B7">
        <w:t>мальным стандартным правилам обращения с заключенными и по практич</w:t>
      </w:r>
      <w:r w:rsidRPr="000168B7">
        <w:t>е</w:t>
      </w:r>
      <w:r w:rsidRPr="000168B7">
        <w:t>ским вопросам, возникающим в связи с посещениями.</w:t>
      </w:r>
    </w:p>
    <w:p w:rsidR="00025119" w:rsidRPr="00AF57FF" w:rsidRDefault="00025119" w:rsidP="005A135B">
      <w:pPr>
        <w:pStyle w:val="SingleTxtGR"/>
      </w:pPr>
      <w:r w:rsidRPr="000168B7">
        <w:t>49.</w:t>
      </w:r>
      <w:r w:rsidRPr="000168B7">
        <w:tab/>
        <w:t>Поскольку количество докладов Подкомитета о посещениях возрастает, а текучесть кадров в настоящее время подразумевает, что отдельные лица, пре</w:t>
      </w:r>
      <w:r w:rsidRPr="000168B7">
        <w:t>д</w:t>
      </w:r>
      <w:r w:rsidRPr="000168B7">
        <w:t>принимавшие страновые посещения, уже могут не являться членами Подком</w:t>
      </w:r>
      <w:r w:rsidRPr="000168B7">
        <w:t>и</w:t>
      </w:r>
      <w:r w:rsidRPr="000168B7">
        <w:t>тета, возникла необходимость в том, чтобы поставить на новую системную о</w:t>
      </w:r>
      <w:r w:rsidRPr="000168B7">
        <w:t>с</w:t>
      </w:r>
      <w:r w:rsidRPr="000168B7">
        <w:t>нову подход к диалогу с государствами-участниками после посещений</w:t>
      </w:r>
      <w:r>
        <w:t>, прежде носивший специальный характер</w:t>
      </w:r>
      <w:r w:rsidRPr="000168B7">
        <w:t>.</w:t>
      </w:r>
      <w:r w:rsidR="00093641">
        <w:t xml:space="preserve"> </w:t>
      </w:r>
      <w:r w:rsidRPr="00AF57FF">
        <w:t>Поэтому Подкомитет впервые внедрил о</w:t>
      </w:r>
      <w:r w:rsidRPr="00AF57FF">
        <w:t>б</w:t>
      </w:r>
      <w:r w:rsidRPr="00AF57FF">
        <w:t>щую классификационную систему с охватом каждого элемента своего письме</w:t>
      </w:r>
      <w:r w:rsidRPr="00AF57FF">
        <w:t>н</w:t>
      </w:r>
      <w:r w:rsidRPr="00AF57FF">
        <w:t>ного диалога, построенную на триедином принципе "Доклад, отклик, ответ", таким образом отказавшись от ранее использовавшейся концепции "последу</w:t>
      </w:r>
      <w:r w:rsidRPr="00AF57FF">
        <w:t>ю</w:t>
      </w:r>
      <w:r w:rsidRPr="00AF57FF">
        <w:t>щих докладов". Он официально ввел в действие механизм создания небольших рабочих групп в составе двух−трех членов по каждому докладу о посещении, которые проводят свои заседания на каждой сессии и координируют процесс реагирования Подкомитета на полученные ответы, а также руководят любой другой работой по взаимодействию с государством-участником в контексте осуществления рекомендаций Подком</w:t>
      </w:r>
      <w:r w:rsidRPr="00AF57FF">
        <w:t>и</w:t>
      </w:r>
      <w:r w:rsidRPr="00AF57FF">
        <w:t>тета. Члены каждой рабочей группы оценивают полученную информацию, ана</w:t>
      </w:r>
      <w:r>
        <w:t>лизируют положение</w:t>
      </w:r>
      <w:r w:rsidRPr="00AF57FF">
        <w:t xml:space="preserve"> и </w:t>
      </w:r>
      <w:r>
        <w:t>выносят</w:t>
      </w:r>
      <w:r w:rsidRPr="00AF57FF">
        <w:t xml:space="preserve"> для пленарного заседания Подкомитета рек</w:t>
      </w:r>
      <w:r w:rsidRPr="00AF57FF">
        <w:t>о</w:t>
      </w:r>
      <w:r w:rsidRPr="00AF57FF">
        <w:t>менда</w:t>
      </w:r>
      <w:r>
        <w:t xml:space="preserve">ции в отношении дальнейших действий, которые могут предполагать, </w:t>
      </w:r>
      <w:r w:rsidRPr="00AF57FF">
        <w:t>например,</w:t>
      </w:r>
      <w:r>
        <w:t xml:space="preserve"> направление</w:t>
      </w:r>
      <w:r w:rsidRPr="00AF57FF">
        <w:t xml:space="preserve"> пис</w:t>
      </w:r>
      <w:r>
        <w:t>ем</w:t>
      </w:r>
      <w:r w:rsidRPr="00AF57FF">
        <w:t>, пригл</w:t>
      </w:r>
      <w:r w:rsidRPr="00AF57FF">
        <w:t>а</w:t>
      </w:r>
      <w:r w:rsidRPr="00AF57FF">
        <w:t>шения к встрече</w:t>
      </w:r>
      <w:r>
        <w:t xml:space="preserve">, а также </w:t>
      </w:r>
      <w:r w:rsidRPr="00AF57FF">
        <w:t>другие конкре</w:t>
      </w:r>
      <w:r w:rsidRPr="00AF57FF">
        <w:t>т</w:t>
      </w:r>
      <w:r w:rsidRPr="00AF57FF">
        <w:t>ные предложения. За прошедшее время такой механизм показал свою полезность в деле развития сфокусированного, конструктивного диалога.</w:t>
      </w:r>
    </w:p>
    <w:p w:rsidR="00025119" w:rsidRPr="00AF57FF" w:rsidRDefault="00025119" w:rsidP="005A135B">
      <w:pPr>
        <w:pStyle w:val="H23GR"/>
      </w:pPr>
      <w:r>
        <w:tab/>
      </w:r>
      <w:r w:rsidRPr="00AF57FF">
        <w:t>3.</w:t>
      </w:r>
      <w:r w:rsidRPr="00AF57FF">
        <w:tab/>
        <w:t>Региональные группы Подкомитета</w:t>
      </w:r>
    </w:p>
    <w:p w:rsidR="00025119" w:rsidRPr="00AF57FF" w:rsidRDefault="00025119" w:rsidP="005A135B">
      <w:pPr>
        <w:pStyle w:val="SingleTxtGR"/>
      </w:pPr>
      <w:r w:rsidRPr="00AF57FF">
        <w:t>50.</w:t>
      </w:r>
      <w:r w:rsidRPr="00AF57FF">
        <w:tab/>
        <w:t>Хотя изначально считалось, что роли региональных координаторов и групп по НПМ будут в достаточной степени отличаться друг от друга, оправд</w:t>
      </w:r>
      <w:r w:rsidRPr="00AF57FF">
        <w:t>ы</w:t>
      </w:r>
      <w:r w:rsidRPr="00AF57FF">
        <w:t>вая проведение между ними дифференциации, стало очевидным, что на практ</w:t>
      </w:r>
      <w:r w:rsidRPr="00AF57FF">
        <w:t>и</w:t>
      </w:r>
      <w:r w:rsidRPr="00AF57FF">
        <w:t>ке их работа носит перекрывающий характер. Поэтому во избежание дублир</w:t>
      </w:r>
      <w:r w:rsidRPr="00AF57FF">
        <w:t>о</w:t>
      </w:r>
      <w:r w:rsidRPr="00AF57FF">
        <w:t>вания Подкомитет решил заменить эти органы четырьмя региональными гру</w:t>
      </w:r>
      <w:r w:rsidRPr="00AF57FF">
        <w:t>п</w:t>
      </w:r>
      <w:r w:rsidRPr="00AF57FF">
        <w:t>пами, каждая из которых возглавляется соответствующим руководителем. Ра</w:t>
      </w:r>
      <w:r w:rsidRPr="00AF57FF">
        <w:t>з</w:t>
      </w:r>
      <w:r w:rsidRPr="00AF57FF">
        <w:t>мер региональных групп будет варьироваться с учетом различия в количестве государств-участников в регионах. Состав региональных групп будет пересма</w:t>
      </w:r>
      <w:r w:rsidRPr="00AF57FF">
        <w:t>т</w:t>
      </w:r>
      <w:r w:rsidRPr="00AF57FF">
        <w:t xml:space="preserve">риваться и меняться на регулярной основе, отражая </w:t>
      </w:r>
      <w:r>
        <w:t>подвижки</w:t>
      </w:r>
      <w:r w:rsidRPr="00AF57FF">
        <w:t xml:space="preserve"> в количестве участников Факультативного протокола и членском составе Подкомитета. В п</w:t>
      </w:r>
      <w:r w:rsidRPr="00AF57FF">
        <w:t>о</w:t>
      </w:r>
      <w:r w:rsidRPr="00AF57FF">
        <w:t>рядке содействия коммуникационной деятельности информация о членском с</w:t>
      </w:r>
      <w:r w:rsidRPr="00AF57FF">
        <w:t>о</w:t>
      </w:r>
      <w:r w:rsidRPr="00AF57FF">
        <w:t xml:space="preserve">ставе региональных групп и распределении докладчиков по странам размещена на веб-сайте Подкомитета. Дополнительные сведения о работе региональных групп содержатся в </w:t>
      </w:r>
      <w:r>
        <w:t>резюмирующем</w:t>
      </w:r>
      <w:r w:rsidRPr="00AF57FF">
        <w:t xml:space="preserve"> докладе рабочей группы по системным в</w:t>
      </w:r>
      <w:r w:rsidRPr="00AF57FF">
        <w:t>о</w:t>
      </w:r>
      <w:r w:rsidRPr="00AF57FF">
        <w:t>просам, касающимся НПМ (см. пункты 69−71 ниже).</w:t>
      </w:r>
    </w:p>
    <w:p w:rsidR="00025119" w:rsidRPr="00AF57FF" w:rsidRDefault="00025119" w:rsidP="005A135B">
      <w:pPr>
        <w:pStyle w:val="SingleTxtGR"/>
      </w:pPr>
      <w:r w:rsidRPr="00AF57FF">
        <w:t>51.</w:t>
      </w:r>
      <w:r w:rsidRPr="00AF57FF">
        <w:tab/>
        <w:t>Подкомитет считает, что изменения в его практических методах работы позволили ему стать более открытым, динамичным и инициативным в деле р</w:t>
      </w:r>
      <w:r w:rsidRPr="00AF57FF">
        <w:t>е</w:t>
      </w:r>
      <w:r w:rsidRPr="00AF57FF">
        <w:t>шения задачи предупреждения, опираясь на свои значительные экспертные зн</w:t>
      </w:r>
      <w:r w:rsidRPr="00AF57FF">
        <w:t>а</w:t>
      </w:r>
      <w:r w:rsidRPr="00AF57FF">
        <w:t>ния и опыт. Это подразумевает, что сейчас Подкомитет способен проводить осознанное рассмотрение вопроса о соблюдении обязательств по Факультати</w:t>
      </w:r>
      <w:r w:rsidRPr="00AF57FF">
        <w:t>в</w:t>
      </w:r>
      <w:r w:rsidRPr="00AF57FF">
        <w:t>ному протоколу каждым государством − участником Факультативного проток</w:t>
      </w:r>
      <w:r w:rsidRPr="00AF57FF">
        <w:t>о</w:t>
      </w:r>
      <w:r w:rsidRPr="00AF57FF">
        <w:t>ла на каждой сессии Подкомитета, обеспечивая по необходимости принятие д</w:t>
      </w:r>
      <w:r w:rsidRPr="00AF57FF">
        <w:t>о</w:t>
      </w:r>
      <w:r w:rsidRPr="00AF57FF">
        <w:t>полнительных мер. Такие глубина, широта и частотность охвата являются ун</w:t>
      </w:r>
      <w:r w:rsidRPr="00AF57FF">
        <w:t>и</w:t>
      </w:r>
      <w:r w:rsidRPr="00AF57FF">
        <w:t>кальными в рамках системы правозащитных договорных органов и отражают ключевые принципы конфиденциальности, беспристрастности, неизбирател</w:t>
      </w:r>
      <w:r w:rsidRPr="00AF57FF">
        <w:t>ь</w:t>
      </w:r>
      <w:r w:rsidRPr="00AF57FF">
        <w:t>ности, универсальности и объективности, закрепленные в пункте 3 статьи 2 Факультативного протокола.</w:t>
      </w:r>
    </w:p>
    <w:p w:rsidR="00025119" w:rsidRPr="00AF57FF" w:rsidRDefault="00025119" w:rsidP="005A135B">
      <w:pPr>
        <w:pStyle w:val="H23GR"/>
      </w:pPr>
      <w:r>
        <w:tab/>
      </w:r>
      <w:r w:rsidRPr="00AF57FF">
        <w:t>4.</w:t>
      </w:r>
      <w:r w:rsidRPr="00AF57FF">
        <w:tab/>
        <w:t xml:space="preserve">Разработка документов с изложением позиции Подкомитета </w:t>
      </w:r>
      <w:r w:rsidR="00CB4A7A">
        <w:br/>
      </w:r>
      <w:r w:rsidRPr="00AF57FF">
        <w:t>и его замечаний по вопросам существа</w:t>
      </w:r>
    </w:p>
    <w:p w:rsidR="00025119" w:rsidRPr="00AF57FF" w:rsidRDefault="00025119" w:rsidP="005A135B">
      <w:pPr>
        <w:pStyle w:val="SingleTxtGR"/>
      </w:pPr>
      <w:r w:rsidRPr="00AF57FF">
        <w:t>52.</w:t>
      </w:r>
      <w:r w:rsidRPr="00AF57FF">
        <w:tab/>
        <w:t>В течение 2013 года рабочие группы Подкомитета по Минимальным стандартным правилам о</w:t>
      </w:r>
      <w:r w:rsidRPr="00AF57FF">
        <w:t>б</w:t>
      </w:r>
      <w:r w:rsidRPr="00AF57FF">
        <w:t>ращения с заключенными и по репрессалиям вышли в своей работе на такой этап, на котором они будут приветствовать замечания других сторон по различным аспектам их аналитической деятельности, п</w:t>
      </w:r>
      <w:r w:rsidRPr="00AF57FF">
        <w:t>о</w:t>
      </w:r>
      <w:r w:rsidRPr="00AF57FF">
        <w:t xml:space="preserve">скольку они стремятся к дальнейшему развитию и завершению своей работы. </w:t>
      </w:r>
      <w:r>
        <w:br/>
      </w:r>
      <w:r w:rsidRPr="00AF57FF">
        <w:t>В содержащихся ниже разделах, подготовленных рабочими группами, предл</w:t>
      </w:r>
      <w:r w:rsidRPr="00AF57FF">
        <w:t>а</w:t>
      </w:r>
      <w:r w:rsidRPr="00AF57FF">
        <w:t>гается ряд конкретных вопросов, по которым з</w:t>
      </w:r>
      <w:r w:rsidRPr="00AF57FF">
        <w:t>а</w:t>
      </w:r>
      <w:r w:rsidRPr="00AF57FF">
        <w:t xml:space="preserve">прашиваются замечания. </w:t>
      </w:r>
    </w:p>
    <w:p w:rsidR="00025119" w:rsidRPr="00AF57FF" w:rsidRDefault="00025119" w:rsidP="005A135B">
      <w:pPr>
        <w:pStyle w:val="H23GR"/>
      </w:pPr>
      <w:r>
        <w:tab/>
      </w:r>
      <w:r w:rsidRPr="00AF57FF">
        <w:t>а)</w:t>
      </w:r>
      <w:r w:rsidRPr="00AF57FF">
        <w:tab/>
        <w:t>Рабочая группа по Минимальным стандартным правилам обращения</w:t>
      </w:r>
      <w:r>
        <w:br/>
      </w:r>
      <w:r w:rsidRPr="00AF57FF">
        <w:t>с заключенными</w:t>
      </w:r>
    </w:p>
    <w:p w:rsidR="00025119" w:rsidRPr="00AF57FF" w:rsidRDefault="00025119" w:rsidP="005A135B">
      <w:pPr>
        <w:pStyle w:val="SingleTxtGR"/>
      </w:pPr>
      <w:r w:rsidRPr="00AF57FF">
        <w:t>53.</w:t>
      </w:r>
      <w:r w:rsidRPr="00AF57FF">
        <w:tab/>
        <w:t>Текущий процесс пересмотра Минимальных стандартных правил обр</w:t>
      </w:r>
      <w:r w:rsidRPr="00AF57FF">
        <w:t>а</w:t>
      </w:r>
      <w:r w:rsidRPr="00AF57FF">
        <w:t>щения с заключенными позволяет Подкомитету акцентировать внимание на н</w:t>
      </w:r>
      <w:r w:rsidRPr="00AF57FF">
        <w:t>е</w:t>
      </w:r>
      <w:r w:rsidRPr="00AF57FF">
        <w:t>обходимости того, чтобы этот базовый универсальный документ обе</w:t>
      </w:r>
      <w:r>
        <w:t>спечивал поддержку и закрепление</w:t>
      </w:r>
      <w:r w:rsidRPr="00AF57FF">
        <w:t xml:space="preserve"> ряда ключе</w:t>
      </w:r>
      <w:r>
        <w:t xml:space="preserve">вых всеобъемлющих принципов. Эти </w:t>
      </w:r>
      <w:r w:rsidRPr="00AF57FF">
        <w:t>принципы, имеющие центральное значение для эффективного пред</w:t>
      </w:r>
      <w:r w:rsidRPr="00AF57FF">
        <w:t>у</w:t>
      </w:r>
      <w:r w:rsidRPr="00AF57FF">
        <w:t>преждения пыток и неправомерного обращения и, по мнению Под</w:t>
      </w:r>
      <w:r>
        <w:t>комитета, имплицитно пронизывающие</w:t>
      </w:r>
      <w:r w:rsidRPr="00AF57FF">
        <w:t xml:space="preserve"> сами Правила</w:t>
      </w:r>
      <w:r>
        <w:t>, включают</w:t>
      </w:r>
      <w:r w:rsidRPr="00AF57FF">
        <w:t>: надлежащие процессуальные нормы, человеческ</w:t>
      </w:r>
      <w:r>
        <w:t>ое достоинство и недискриминацию</w:t>
      </w:r>
      <w:r w:rsidRPr="00AF57FF">
        <w:t xml:space="preserve"> в местах содержания под стр</w:t>
      </w:r>
      <w:r w:rsidRPr="00AF57FF">
        <w:t>а</w:t>
      </w:r>
      <w:r w:rsidRPr="00AF57FF">
        <w:t>жей.</w:t>
      </w:r>
    </w:p>
    <w:p w:rsidR="00025119" w:rsidRPr="00AF57FF" w:rsidRDefault="00025119" w:rsidP="00841A98">
      <w:pPr>
        <w:pStyle w:val="H4GR"/>
        <w:spacing w:before="240" w:line="240" w:lineRule="exact"/>
        <w:ind w:left="1134" w:right="1134" w:hanging="1134"/>
      </w:pPr>
      <w:r>
        <w:tab/>
      </w:r>
      <w:r>
        <w:tab/>
      </w:r>
      <w:r w:rsidRPr="00AF57FF">
        <w:t>Надлежащие процессуальные нормы</w:t>
      </w:r>
    </w:p>
    <w:p w:rsidR="00025119" w:rsidRPr="00AF57FF" w:rsidRDefault="00025119" w:rsidP="005A135B">
      <w:pPr>
        <w:pStyle w:val="SingleTxtGR"/>
      </w:pPr>
      <w:r w:rsidRPr="00AF57FF">
        <w:t>54.</w:t>
      </w:r>
      <w:r w:rsidRPr="00AF57FF">
        <w:tab/>
        <w:t>Поскольку лишение свободы может быть законным только в том случае, если оно санкционировано судебным приказом, Подкомитет считает, что в М</w:t>
      </w:r>
      <w:r w:rsidRPr="00AF57FF">
        <w:t>и</w:t>
      </w:r>
      <w:r w:rsidRPr="00AF57FF">
        <w:t>нимальных стандартных правилах обращения с заключенными должна призн</w:t>
      </w:r>
      <w:r w:rsidRPr="00AF57FF">
        <w:t>а</w:t>
      </w:r>
      <w:r w:rsidRPr="00AF57FF">
        <w:t>ваться важность надлежащих процессуальных норм в качестве основной проц</w:t>
      </w:r>
      <w:r w:rsidRPr="00AF57FF">
        <w:t>е</w:t>
      </w:r>
      <w:r w:rsidRPr="00AF57FF">
        <w:t>дурной гарантии, применяющейся не только на протяжении всех этапов уг</w:t>
      </w:r>
      <w:r w:rsidRPr="00AF57FF">
        <w:t>о</w:t>
      </w:r>
      <w:r w:rsidRPr="00AF57FF">
        <w:t xml:space="preserve">ловного </w:t>
      </w:r>
      <w:r>
        <w:t>правосудия</w:t>
      </w:r>
      <w:r w:rsidRPr="00AF57FF">
        <w:t xml:space="preserve">, но и </w:t>
      </w:r>
      <w:r>
        <w:t xml:space="preserve">в </w:t>
      </w:r>
      <w:r w:rsidRPr="00AF57FF">
        <w:t>период самого лишения свободы. Обязательства по соблюдению надлежащих процессуальных норм не ограничиваются уголовным производством и судебным разбирательством. Государство обязано обеспечить, чтобы права осужденных лиц и лиц, находящихся в предварительном заключ</w:t>
      </w:r>
      <w:r w:rsidRPr="00AF57FF">
        <w:t>е</w:t>
      </w:r>
      <w:r w:rsidRPr="00AF57FF">
        <w:t>нии, должным образом защищались в период их тюремного закл</w:t>
      </w:r>
      <w:r w:rsidRPr="00AF57FF">
        <w:t>ю</w:t>
      </w:r>
      <w:r w:rsidRPr="00AF57FF">
        <w:t>чения.</w:t>
      </w:r>
    </w:p>
    <w:p w:rsidR="00025119" w:rsidRPr="00AF57FF" w:rsidRDefault="00025119" w:rsidP="005A135B">
      <w:pPr>
        <w:pStyle w:val="SingleTxtGR"/>
      </w:pPr>
      <w:r w:rsidRPr="00AF57FF">
        <w:t>55.</w:t>
      </w:r>
      <w:r w:rsidRPr="00AF57FF">
        <w:tab/>
        <w:t>Таким образом, в распоряжении всех заключенных должны быть эффе</w:t>
      </w:r>
      <w:r w:rsidRPr="00AF57FF">
        <w:t>к</w:t>
      </w:r>
      <w:r w:rsidRPr="00AF57FF">
        <w:t>тивные юридические процедуры, позволяющие им оспорить любые действия или бездействие со стороны пенитенциарного пе</w:t>
      </w:r>
      <w:r w:rsidRPr="00AF57FF">
        <w:t>р</w:t>
      </w:r>
      <w:r w:rsidRPr="00AF57FF">
        <w:t>сонала или властей, которые, как установлено, превышают законно введенные санкции, и их сопутс</w:t>
      </w:r>
      <w:r w:rsidRPr="00AF57FF">
        <w:t>т</w:t>
      </w:r>
      <w:r w:rsidRPr="00AF57FF">
        <w:t xml:space="preserve">вующие последствия. </w:t>
      </w:r>
    </w:p>
    <w:p w:rsidR="00025119" w:rsidRPr="00AF57FF" w:rsidRDefault="00025119" w:rsidP="005A135B">
      <w:pPr>
        <w:pStyle w:val="SingleTxtGR"/>
      </w:pPr>
      <w:r w:rsidRPr="00AF57FF">
        <w:t>56.</w:t>
      </w:r>
      <w:r w:rsidRPr="00AF57FF">
        <w:tab/>
        <w:t>Чтобы добиться такого уровня надзора в порядке защиты, должен сущ</w:t>
      </w:r>
      <w:r w:rsidRPr="00AF57FF">
        <w:t>е</w:t>
      </w:r>
      <w:r w:rsidRPr="00AF57FF">
        <w:t>ствовать компетентный, независимый и беспристрастный орган власти или с</w:t>
      </w:r>
      <w:r w:rsidRPr="00AF57FF">
        <w:t>у</w:t>
      </w:r>
      <w:r w:rsidRPr="00AF57FF">
        <w:t>дебный орган, который уполномочен решать вопрос о том, нарушили ли свой мандат или превысили ли свою власть пенитенциарные сотрудники или и</w:t>
      </w:r>
      <w:r w:rsidRPr="00AF57FF">
        <w:t>н</w:t>
      </w:r>
      <w:r w:rsidRPr="00AF57FF">
        <w:t>станции, и перед которым заключенный и сотрудники или власти, обеспеч</w:t>
      </w:r>
      <w:r w:rsidRPr="00AF57FF">
        <w:t>и</w:t>
      </w:r>
      <w:r w:rsidRPr="00AF57FF">
        <w:t>вающие исполнение меры в</w:t>
      </w:r>
      <w:r>
        <w:t xml:space="preserve"> виде содержания под стражей, вы</w:t>
      </w:r>
      <w:r w:rsidRPr="00AF57FF">
        <w:t>ступают на ра</w:t>
      </w:r>
      <w:r w:rsidRPr="00AF57FF">
        <w:t>в</w:t>
      </w:r>
      <w:r w:rsidRPr="00AF57FF">
        <w:t xml:space="preserve">ной основе. </w:t>
      </w:r>
    </w:p>
    <w:p w:rsidR="00025119" w:rsidRPr="00AF57FF" w:rsidRDefault="00025119" w:rsidP="005A135B">
      <w:pPr>
        <w:pStyle w:val="SingleTxtGR"/>
      </w:pPr>
      <w:r w:rsidRPr="00AF57FF">
        <w:t>57.</w:t>
      </w:r>
      <w:r w:rsidRPr="00AF57FF">
        <w:tab/>
        <w:t>Будучи в тюрьме, лишенные свободы осужденные или лица, отбывающие досудебное содержание под стражей, должны иметь возможность получать ко</w:t>
      </w:r>
      <w:r w:rsidRPr="00AF57FF">
        <w:t>н</w:t>
      </w:r>
      <w:r w:rsidRPr="00AF57FF">
        <w:t xml:space="preserve">сультативные услуги и помощь от лиц, имеющих достаточные юридические знания в отношении осуществления их прав, чтобы они могли иметь доступ к механизмам обжалования. Они должны также </w:t>
      </w:r>
      <w:r>
        <w:t>располагать эффективным</w:t>
      </w:r>
      <w:r w:rsidRPr="00AF57FF">
        <w:t xml:space="preserve"> дост</w:t>
      </w:r>
      <w:r w:rsidRPr="00AF57FF">
        <w:t>у</w:t>
      </w:r>
      <w:r w:rsidRPr="00AF57FF">
        <w:t>п</w:t>
      </w:r>
      <w:r>
        <w:t>ом</w:t>
      </w:r>
      <w:r w:rsidRPr="00AF57FF">
        <w:t xml:space="preserve"> к адвокату, способному возбудить надлежащие процессуальные действия в соответствующем компетентном органе власти или суде</w:t>
      </w:r>
      <w:r w:rsidRPr="00AF57FF">
        <w:t>б</w:t>
      </w:r>
      <w:r w:rsidRPr="00AF57FF">
        <w:t>ном органе.</w:t>
      </w:r>
    </w:p>
    <w:p w:rsidR="00025119" w:rsidRPr="00AF57FF" w:rsidRDefault="00025119" w:rsidP="005A135B">
      <w:pPr>
        <w:pStyle w:val="SingleTxtGR"/>
      </w:pPr>
      <w:r w:rsidRPr="00AF57FF">
        <w:t>58.</w:t>
      </w:r>
      <w:r w:rsidRPr="00AF57FF">
        <w:tab/>
        <w:t xml:space="preserve">Производство, </w:t>
      </w:r>
      <w:r>
        <w:t>осуществляемое</w:t>
      </w:r>
      <w:r w:rsidRPr="00AF57FF">
        <w:t xml:space="preserve"> в связи с положением в пенитенциарных учреждениях, может быть специфическим и может требовать наличия экспер</w:t>
      </w:r>
      <w:r w:rsidRPr="00AF57FF">
        <w:t>т</w:t>
      </w:r>
      <w:r w:rsidRPr="00AF57FF">
        <w:t>ных знаний, отличных от правовых навыков, которые актуальны для обеспеч</w:t>
      </w:r>
      <w:r w:rsidRPr="00AF57FF">
        <w:t>е</w:t>
      </w:r>
      <w:r w:rsidRPr="00AF57FF">
        <w:t xml:space="preserve">ния защиты </w:t>
      </w:r>
      <w:r>
        <w:t>от</w:t>
      </w:r>
      <w:r w:rsidRPr="00AF57FF">
        <w:t xml:space="preserve"> уголовного обвинения. Могут также требоваться услуги по пер</w:t>
      </w:r>
      <w:r w:rsidRPr="00AF57FF">
        <w:t>е</w:t>
      </w:r>
      <w:r w:rsidRPr="00AF57FF">
        <w:t>воду. Компетентный орган власти или судебный орган при вынес</w:t>
      </w:r>
      <w:r w:rsidRPr="00AF57FF">
        <w:t>е</w:t>
      </w:r>
      <w:r w:rsidRPr="00AF57FF">
        <w:t>нии решений по поставленным перед ним вопросам должен иметь возможность принять во внимание соответствующие национальные и международные правозащитные стандарты.</w:t>
      </w:r>
    </w:p>
    <w:p w:rsidR="00025119" w:rsidRPr="00841A98" w:rsidRDefault="00025119" w:rsidP="00841A98">
      <w:pPr>
        <w:pStyle w:val="H4GR"/>
        <w:spacing w:before="240" w:line="240" w:lineRule="exact"/>
        <w:ind w:left="1134" w:right="1134" w:hanging="1134"/>
      </w:pPr>
      <w:r w:rsidRPr="00841A98">
        <w:tab/>
      </w:r>
      <w:r w:rsidRPr="00841A98">
        <w:tab/>
        <w:t>Человеческое достоинство</w:t>
      </w:r>
    </w:p>
    <w:p w:rsidR="00025119" w:rsidRPr="00AF57FF" w:rsidRDefault="00025119" w:rsidP="005A135B">
      <w:pPr>
        <w:pStyle w:val="SingleTxtGR"/>
      </w:pPr>
      <w:r w:rsidRPr="00AF57FF">
        <w:t>59.</w:t>
      </w:r>
      <w:r w:rsidRPr="00AF57FF">
        <w:tab/>
        <w:t>Лишение свободы не умаляет права на личное самоопределение, которое должно соблюдаться и защищаться в максимально возможной степени при н</w:t>
      </w:r>
      <w:r w:rsidRPr="00AF57FF">
        <w:t>а</w:t>
      </w:r>
      <w:r w:rsidRPr="00AF57FF">
        <w:t xml:space="preserve">хождении в тюрьме. Так, все люди пользуются, в частности, свободой совести, которая остается </w:t>
      </w:r>
      <w:r>
        <w:t>неприкосновенной</w:t>
      </w:r>
      <w:r w:rsidRPr="00AF57FF">
        <w:t>, и правом на "жизненные планы", которые лишь временно нарушаются в результате того, что они отбывают тюремное з</w:t>
      </w:r>
      <w:r w:rsidRPr="00AF57FF">
        <w:t>а</w:t>
      </w:r>
      <w:r w:rsidRPr="00AF57FF">
        <w:t>ключ</w:t>
      </w:r>
      <w:r w:rsidRPr="00AF57FF">
        <w:t>е</w:t>
      </w:r>
      <w:r w:rsidRPr="00AF57FF">
        <w:t>ние</w:t>
      </w:r>
      <w:r w:rsidRPr="00973625">
        <w:rPr>
          <w:rStyle w:val="FootnoteReference"/>
        </w:rPr>
        <w:footnoteReference w:id="6"/>
      </w:r>
      <w:r w:rsidRPr="00AF57FF">
        <w:t>.</w:t>
      </w:r>
    </w:p>
    <w:p w:rsidR="00025119" w:rsidRPr="00AF57FF" w:rsidRDefault="00025119" w:rsidP="005A135B">
      <w:pPr>
        <w:pStyle w:val="SingleTxtGR"/>
      </w:pPr>
      <w:r w:rsidRPr="00AF57FF">
        <w:t>60.</w:t>
      </w:r>
      <w:r w:rsidRPr="00AF57FF">
        <w:tab/>
        <w:t>Все заключенные являются субъектами прав и обязанностей, а не объе</w:t>
      </w:r>
      <w:r w:rsidRPr="00AF57FF">
        <w:t>к</w:t>
      </w:r>
      <w:r w:rsidRPr="00AF57FF">
        <w:t>тами какого-либо обращения или принуждения. Следовательно, в целях надл</w:t>
      </w:r>
      <w:r w:rsidRPr="00AF57FF">
        <w:t>е</w:t>
      </w:r>
      <w:r w:rsidRPr="00AF57FF">
        <w:t>жащего отражения правозащитного подхода, служащего делу предупреждения неправомерного обращения, требуется коренной сдвиг в сторону отказа от кл</w:t>
      </w:r>
      <w:r w:rsidRPr="00AF57FF">
        <w:t>и</w:t>
      </w:r>
      <w:r w:rsidRPr="00AF57FF">
        <w:t>нических или терапевтических предпосылок, когда такие предпосылки сущес</w:t>
      </w:r>
      <w:r w:rsidRPr="00AF57FF">
        <w:t>т</w:t>
      </w:r>
      <w:r w:rsidRPr="00AF57FF">
        <w:t>вуют</w:t>
      </w:r>
      <w:r w:rsidRPr="00973625">
        <w:rPr>
          <w:rStyle w:val="FootnoteReference"/>
        </w:rPr>
        <w:footnoteReference w:id="7"/>
      </w:r>
      <w:r w:rsidRPr="00AF57FF">
        <w:t>.</w:t>
      </w:r>
    </w:p>
    <w:p w:rsidR="00025119" w:rsidRPr="00AF57FF" w:rsidRDefault="00025119" w:rsidP="005A135B">
      <w:pPr>
        <w:pStyle w:val="SingleTxtGR"/>
      </w:pPr>
      <w:r w:rsidRPr="00AF57FF">
        <w:t>61.</w:t>
      </w:r>
      <w:r w:rsidRPr="00AF57FF">
        <w:tab/>
        <w:t>Особое внимание должно также уделяться одиночному заключению, к</w:t>
      </w:r>
      <w:r w:rsidRPr="00AF57FF">
        <w:t>о</w:t>
      </w:r>
      <w:r w:rsidRPr="00AF57FF">
        <w:t xml:space="preserve">торое может </w:t>
      </w:r>
      <w:r>
        <w:t>применяться</w:t>
      </w:r>
      <w:r w:rsidRPr="00AF57FF">
        <w:t xml:space="preserve"> лишь в исключительных обстоятельствах в качестве крайней дисциплинарной меры и в течение ограниченного периода времени. Принятие решения о введении этой меры и порядок его приведения в исполн</w:t>
      </w:r>
      <w:r w:rsidRPr="00AF57FF">
        <w:t>е</w:t>
      </w:r>
      <w:r w:rsidRPr="00AF57FF">
        <w:t>ние должны подлежать строгому контролю.</w:t>
      </w:r>
    </w:p>
    <w:p w:rsidR="00025119" w:rsidRPr="00AF57FF" w:rsidRDefault="00025119" w:rsidP="00841A98">
      <w:pPr>
        <w:pStyle w:val="H4GR"/>
        <w:spacing w:before="240" w:line="240" w:lineRule="exact"/>
        <w:ind w:left="1134" w:right="1134" w:hanging="1134"/>
      </w:pPr>
      <w:r>
        <w:tab/>
      </w:r>
      <w:r>
        <w:tab/>
      </w:r>
      <w:r w:rsidRPr="00AF57FF">
        <w:t>Недискриминация</w:t>
      </w:r>
    </w:p>
    <w:p w:rsidR="00025119" w:rsidRPr="00AF57FF" w:rsidRDefault="00025119" w:rsidP="005A135B">
      <w:pPr>
        <w:pStyle w:val="SingleTxtGR"/>
      </w:pPr>
      <w:r w:rsidRPr="00AF57FF">
        <w:t>62.</w:t>
      </w:r>
      <w:r w:rsidRPr="00AF57FF">
        <w:tab/>
        <w:t>Решения о конкретных условиях режима содержания под стражей</w:t>
      </w:r>
      <w:r>
        <w:t xml:space="preserve"> дол</w:t>
      </w:r>
      <w:r>
        <w:t>ж</w:t>
      </w:r>
      <w:r>
        <w:t>ны выноситься</w:t>
      </w:r>
      <w:r w:rsidRPr="00AF57FF">
        <w:t xml:space="preserve"> на основе индивидуальных оценок риска, поведения заключе</w:t>
      </w:r>
      <w:r w:rsidRPr="00AF57FF">
        <w:t>н</w:t>
      </w:r>
      <w:r w:rsidRPr="00AF57FF">
        <w:t xml:space="preserve">ных при содержании под стражей и других объективных факторов, имеющих отношение к делу. Подходы, построенные на </w:t>
      </w:r>
      <w:r>
        <w:t>классификации</w:t>
      </w:r>
      <w:r w:rsidRPr="00AF57FF">
        <w:t xml:space="preserve"> или категоризации заключенных в соответствии с общими психологическими профилями, учете характера их судимости и </w:t>
      </w:r>
      <w:r>
        <w:t>восприятии</w:t>
      </w:r>
      <w:r w:rsidRPr="00AF57FF">
        <w:t xml:space="preserve"> той опасности, которую они представл</w:t>
      </w:r>
      <w:r w:rsidRPr="00AF57FF">
        <w:t>я</w:t>
      </w:r>
      <w:r w:rsidRPr="00AF57FF">
        <w:t>ли бы для общества, если бы находились вне тюрьмы, могут лишать их во</w:t>
      </w:r>
      <w:r w:rsidRPr="00AF57FF">
        <w:t>з</w:t>
      </w:r>
      <w:r w:rsidRPr="00AF57FF">
        <w:t>можности пользоваться своими правами на основе равенства, тем самым явл</w:t>
      </w:r>
      <w:r w:rsidRPr="00AF57FF">
        <w:t>я</w:t>
      </w:r>
      <w:r w:rsidRPr="00AF57FF">
        <w:t>ясь одной из форм ди</w:t>
      </w:r>
      <w:r w:rsidRPr="00AF57FF">
        <w:t>с</w:t>
      </w:r>
      <w:r w:rsidRPr="00AF57FF">
        <w:t>криминации.</w:t>
      </w:r>
    </w:p>
    <w:p w:rsidR="00025119" w:rsidRPr="00AF57FF" w:rsidRDefault="00025119" w:rsidP="005A135B">
      <w:pPr>
        <w:pStyle w:val="H23GR"/>
      </w:pPr>
      <w:r w:rsidRPr="00AF57FF">
        <w:tab/>
      </w:r>
      <w:r w:rsidRPr="00AF57FF">
        <w:rPr>
          <w:lang w:val="en-US"/>
        </w:rPr>
        <w:t>b</w:t>
      </w:r>
      <w:r w:rsidRPr="00AF57FF">
        <w:t>)</w:t>
      </w:r>
      <w:r w:rsidRPr="00AF57FF">
        <w:tab/>
        <w:t>Рабочая группа по репрессалиям</w:t>
      </w:r>
    </w:p>
    <w:p w:rsidR="00025119" w:rsidRPr="00AF57FF" w:rsidRDefault="00025119" w:rsidP="005A135B">
      <w:pPr>
        <w:pStyle w:val="SingleTxtGR"/>
      </w:pPr>
      <w:r w:rsidRPr="00AF57FF">
        <w:t>63.</w:t>
      </w:r>
      <w:r w:rsidRPr="00AF57FF">
        <w:tab/>
        <w:t>Подкомитет</w:t>
      </w:r>
      <w:r w:rsidR="00093641">
        <w:t>,</w:t>
      </w:r>
      <w:r w:rsidRPr="00AF57FF">
        <w:t xml:space="preserve"> естественно</w:t>
      </w:r>
      <w:r w:rsidR="00093641">
        <w:t>,</w:t>
      </w:r>
      <w:r w:rsidRPr="00AF57FF">
        <w:t xml:space="preserve"> обеспокоен тем, что его посещения зачастую</w:t>
      </w:r>
      <w:r>
        <w:t xml:space="preserve"> приводят к репрессали</w:t>
      </w:r>
      <w:r w:rsidRPr="00AF57FF">
        <w:t>ям, а именно действия</w:t>
      </w:r>
      <w:r>
        <w:t>м и бездействию</w:t>
      </w:r>
      <w:r w:rsidRPr="00AF57FF">
        <w:t>, которые допу</w:t>
      </w:r>
      <w:r w:rsidRPr="00AF57FF">
        <w:t>с</w:t>
      </w:r>
      <w:r w:rsidRPr="00AF57FF">
        <w:t>кают "любую санкцию в отношении любого лица или организации за сообщ</w:t>
      </w:r>
      <w:r w:rsidRPr="00AF57FF">
        <w:t>е</w:t>
      </w:r>
      <w:r w:rsidRPr="00AF57FF">
        <w:t>ние Подкомитету по предупреждению или его членам любой информации, будь то правдивой или ложной"</w:t>
      </w:r>
      <w:r w:rsidRPr="00973625">
        <w:rPr>
          <w:rStyle w:val="FootnoteReference"/>
        </w:rPr>
        <w:footnoteReference w:id="8"/>
      </w:r>
      <w:r w:rsidRPr="00AF57FF">
        <w:t>. Подкомитет придает самое приоритетное значение тому, чтобы предотвращать репрессалии и выполнять свое обязательство в о</w:t>
      </w:r>
      <w:r w:rsidRPr="00AF57FF">
        <w:t>т</w:t>
      </w:r>
      <w:r w:rsidRPr="00AF57FF">
        <w:t>ношении недопущения нанесения вреда.</w:t>
      </w:r>
    </w:p>
    <w:p w:rsidR="00025119" w:rsidRPr="00AF57FF" w:rsidRDefault="00025119" w:rsidP="005A135B">
      <w:pPr>
        <w:pStyle w:val="SingleTxtGR"/>
      </w:pPr>
      <w:r w:rsidRPr="00AF57FF">
        <w:t>64.</w:t>
      </w:r>
      <w:r w:rsidRPr="00AF57FF">
        <w:tab/>
        <w:t>Подкомитет стремится</w:t>
      </w:r>
      <w:r>
        <w:t xml:space="preserve"> к вы</w:t>
      </w:r>
      <w:r w:rsidRPr="00AF57FF">
        <w:t>работке проактивной политики, подтве</w:t>
      </w:r>
      <w:r w:rsidRPr="00AF57FF">
        <w:t>р</w:t>
      </w:r>
      <w:r w:rsidRPr="00AF57FF">
        <w:t>ждающей его непоколебимое обязательство по предотвращению репрессалий. После окончательной доработки эта политика станет открытым документом и будет служить путеводной ни</w:t>
      </w:r>
      <w:r>
        <w:t xml:space="preserve">тью, определяющей порядок </w:t>
      </w:r>
      <w:r w:rsidRPr="00AF57FF">
        <w:t>взаимодействия По</w:t>
      </w:r>
      <w:r w:rsidRPr="00AF57FF">
        <w:t>д</w:t>
      </w:r>
      <w:r w:rsidRPr="00AF57FF">
        <w:t xml:space="preserve">комитета с теми, </w:t>
      </w:r>
      <w:r>
        <w:t>с кем он</w:t>
      </w:r>
      <w:r w:rsidRPr="00AF57FF">
        <w:t xml:space="preserve"> работает и сотрудничает.</w:t>
      </w:r>
    </w:p>
    <w:p w:rsidR="00025119" w:rsidRPr="001D7CF7" w:rsidRDefault="00025119" w:rsidP="005A135B">
      <w:pPr>
        <w:pStyle w:val="SingleTxtGR"/>
      </w:pPr>
      <w:r w:rsidRPr="001D7CF7">
        <w:t>65.</w:t>
      </w:r>
      <w:r w:rsidRPr="001D7CF7">
        <w:tab/>
        <w:t>Поэтому предполагается, что перед любым посещением Подкомитет б</w:t>
      </w:r>
      <w:r w:rsidRPr="001D7CF7">
        <w:t>у</w:t>
      </w:r>
      <w:r w:rsidRPr="001D7CF7">
        <w:t>дет анализировать репут</w:t>
      </w:r>
      <w:r w:rsidRPr="001D7CF7">
        <w:t>а</w:t>
      </w:r>
      <w:r w:rsidRPr="001D7CF7">
        <w:t>цию соответствующего государства применительно к репрессалиям, назначит одного из членов делегации Подк</w:t>
      </w:r>
      <w:r>
        <w:t>омитета в качестве координатора</w:t>
      </w:r>
      <w:r w:rsidRPr="001D7CF7">
        <w:t xml:space="preserve"> по репрес</w:t>
      </w:r>
      <w:r>
        <w:t>салиям и попросит государство</w:t>
      </w:r>
      <w:r w:rsidRPr="001D7CF7">
        <w:t xml:space="preserve"> распространить спр</w:t>
      </w:r>
      <w:r w:rsidRPr="001D7CF7">
        <w:t>а</w:t>
      </w:r>
      <w:r w:rsidRPr="001D7CF7">
        <w:t>вочные сведения о репрессалиях и информацию о политике Подкомитета в о</w:t>
      </w:r>
      <w:r w:rsidRPr="001D7CF7">
        <w:t>б</w:t>
      </w:r>
      <w:r w:rsidRPr="001D7CF7">
        <w:t>ласти репрессалий среди всех соответствующих контактных лиц. Подкомитет поднимет перед государством-участником вопросы, вызывающие озабоче</w:t>
      </w:r>
      <w:r w:rsidRPr="001D7CF7">
        <w:t>н</w:t>
      </w:r>
      <w:r w:rsidRPr="001D7CF7">
        <w:t>ность, либо в письме, либо в ходе встречи с сотрудниками постоянного пре</w:t>
      </w:r>
      <w:r w:rsidRPr="001D7CF7">
        <w:t>д</w:t>
      </w:r>
      <w:r w:rsidRPr="001D7CF7">
        <w:t>ставительс</w:t>
      </w:r>
      <w:r w:rsidRPr="001D7CF7">
        <w:t>т</w:t>
      </w:r>
      <w:r w:rsidRPr="001D7CF7">
        <w:t>ва государства-участника в Женеве.</w:t>
      </w:r>
    </w:p>
    <w:p w:rsidR="00025119" w:rsidRPr="001D7CF7" w:rsidRDefault="00025119" w:rsidP="005A135B">
      <w:pPr>
        <w:pStyle w:val="SingleTxtGR"/>
      </w:pPr>
      <w:r w:rsidRPr="001D7CF7">
        <w:t>66.</w:t>
      </w:r>
      <w:r w:rsidRPr="001D7CF7">
        <w:tab/>
        <w:t>Если во время посещения Подкомитет узнает о репрессалиях, проведе</w:t>
      </w:r>
      <w:r w:rsidRPr="001D7CF7">
        <w:t>н</w:t>
      </w:r>
      <w:r w:rsidRPr="001D7CF7">
        <w:t>ных государством-участником, он может осуществить одну или несколько мер. Такие меры могут, в частности, предусматривать вступление в контакт с соо</w:t>
      </w:r>
      <w:r w:rsidRPr="001D7CF7">
        <w:t>т</w:t>
      </w:r>
      <w:r w:rsidRPr="001D7CF7">
        <w:t>ветствующим правительством или должностными лицами, в ведении которых находятся конкретные учрежде</w:t>
      </w:r>
      <w:r>
        <w:t>ния, и обращение</w:t>
      </w:r>
      <w:r w:rsidRPr="001D7CF7">
        <w:t xml:space="preserve"> их внимани</w:t>
      </w:r>
      <w:r w:rsidR="00093641">
        <w:t>я</w:t>
      </w:r>
      <w:r w:rsidRPr="001D7CF7">
        <w:t xml:space="preserve"> на проблемы, в</w:t>
      </w:r>
      <w:r w:rsidRPr="001D7CF7">
        <w:t>ы</w:t>
      </w:r>
      <w:r w:rsidRPr="001D7CF7">
        <w:t>зывающие озабоченность; вступление в контакт с дипломатическими ми</w:t>
      </w:r>
      <w:r w:rsidRPr="001D7CF7">
        <w:t>с</w:t>
      </w:r>
      <w:r w:rsidRPr="001D7CF7">
        <w:t>сия</w:t>
      </w:r>
      <w:r>
        <w:t>ми других государств-участников;</w:t>
      </w:r>
      <w:r w:rsidRPr="001D7CF7">
        <w:t xml:space="preserve"> проведение последующих посещений с целью мониторинга ситуации или обращение к местным НПМ или специализирова</w:t>
      </w:r>
      <w:r w:rsidRPr="001D7CF7">
        <w:t>н</w:t>
      </w:r>
      <w:r w:rsidRPr="001D7CF7">
        <w:t>ным неправительственным организациям с просьбой о проведении таких пос</w:t>
      </w:r>
      <w:r w:rsidRPr="001D7CF7">
        <w:t>е</w:t>
      </w:r>
      <w:r w:rsidRPr="001D7CF7">
        <w:t>щений; адаптацию методов собеседований; запрашивание вмешательства др</w:t>
      </w:r>
      <w:r w:rsidRPr="001D7CF7">
        <w:t>у</w:t>
      </w:r>
      <w:r w:rsidRPr="001D7CF7">
        <w:t>гих органов Организации Объединенных Наций; обращение к местным или международным средствам массовой информации; и, в кра</w:t>
      </w:r>
      <w:r w:rsidRPr="001D7CF7">
        <w:t>й</w:t>
      </w:r>
      <w:r w:rsidRPr="001D7CF7">
        <w:t xml:space="preserve">них случаях, отзыв делегации Подкомитета из страны. </w:t>
      </w:r>
    </w:p>
    <w:p w:rsidR="00025119" w:rsidRPr="001D7CF7" w:rsidRDefault="00025119" w:rsidP="005A135B">
      <w:pPr>
        <w:pStyle w:val="SingleTxtGR"/>
      </w:pPr>
      <w:r w:rsidRPr="001D7CF7">
        <w:t>67.</w:t>
      </w:r>
      <w:r w:rsidRPr="001D7CF7">
        <w:tab/>
        <w:t>После каждого посещения координатор делегации по репрессалиям будет заниматься последующ</w:t>
      </w:r>
      <w:r>
        <w:t>ими мерами по обеспокоенностям Подк</w:t>
      </w:r>
      <w:r w:rsidRPr="001D7CF7">
        <w:t>омитета и ко</w:t>
      </w:r>
      <w:r w:rsidRPr="001D7CF7">
        <w:t>н</w:t>
      </w:r>
      <w:r w:rsidRPr="001D7CF7">
        <w:t>сультированию главы делегации в отношении любых мер, которые необходимо принять для предотвращения репрессалий. Затем Подкомитет будет сотрудн</w:t>
      </w:r>
      <w:r w:rsidRPr="001D7CF7">
        <w:t>и</w:t>
      </w:r>
      <w:r w:rsidRPr="001D7CF7">
        <w:t>чать со всеми соответствующими органами Организации Объединенных Наций и другими региональными механизмами во избежание репрессалий. При этом он будет держать государства − участники Факультативного протокола в курсе п</w:t>
      </w:r>
      <w:r>
        <w:t>одвижек, касающихся репрессалий;</w:t>
      </w:r>
      <w:r w:rsidRPr="001D7CF7">
        <w:t xml:space="preserve"> создаст базу данных о случаях репресс</w:t>
      </w:r>
      <w:r w:rsidRPr="001D7CF7">
        <w:t>а</w:t>
      </w:r>
      <w:r w:rsidRPr="001D7CF7">
        <w:t xml:space="preserve">лий; и будет сотрудничать с НПМ в целях поощрения общей политики </w:t>
      </w:r>
      <w:r>
        <w:t>по</w:t>
      </w:r>
      <w:r w:rsidRPr="001D7CF7">
        <w:t xml:space="preserve"> пр</w:t>
      </w:r>
      <w:r w:rsidRPr="001D7CF7">
        <w:t>е</w:t>
      </w:r>
      <w:r w:rsidRPr="001D7CF7">
        <w:t>дупреждению р</w:t>
      </w:r>
      <w:r w:rsidRPr="001D7CF7">
        <w:t>е</w:t>
      </w:r>
      <w:r w:rsidRPr="001D7CF7">
        <w:t xml:space="preserve">прессалий. </w:t>
      </w:r>
    </w:p>
    <w:p w:rsidR="00025119" w:rsidRPr="001D7CF7" w:rsidRDefault="00025119" w:rsidP="005A135B">
      <w:pPr>
        <w:pStyle w:val="SingleTxtGR"/>
      </w:pPr>
      <w:r w:rsidRPr="001D7CF7">
        <w:t>68.</w:t>
      </w:r>
      <w:r w:rsidRPr="001D7CF7">
        <w:tab/>
        <w:t xml:space="preserve">Комитет будет постоянно проводить обзор своей официально принятой политики. </w:t>
      </w:r>
    </w:p>
    <w:p w:rsidR="00025119" w:rsidRPr="001D7CF7" w:rsidRDefault="00025119" w:rsidP="005A135B">
      <w:pPr>
        <w:pStyle w:val="H23GR"/>
      </w:pPr>
      <w:r>
        <w:rPr>
          <w:lang w:val="en-US"/>
        </w:rPr>
        <w:tab/>
      </w:r>
      <w:r w:rsidRPr="001D7CF7">
        <w:rPr>
          <w:lang w:val="en-US"/>
        </w:rPr>
        <w:t>c</w:t>
      </w:r>
      <w:r w:rsidRPr="001D7CF7">
        <w:t>)</w:t>
      </w:r>
      <w:r w:rsidRPr="001D7CF7">
        <w:tab/>
        <w:t>Рабочая группа по системным вопросам, касающимся национальных превентивных мех</w:t>
      </w:r>
      <w:r w:rsidRPr="001D7CF7">
        <w:t>а</w:t>
      </w:r>
      <w:r w:rsidRPr="001D7CF7">
        <w:t>низмов</w:t>
      </w:r>
    </w:p>
    <w:p w:rsidR="00025119" w:rsidRPr="001D7CF7" w:rsidRDefault="00025119" w:rsidP="005A135B">
      <w:pPr>
        <w:pStyle w:val="SingleTxtGR"/>
      </w:pPr>
      <w:r w:rsidRPr="001D7CF7">
        <w:t>69.</w:t>
      </w:r>
      <w:r w:rsidRPr="001D7CF7">
        <w:tab/>
        <w:t>Подкомитет постановил, что будет целесообразно разработать руковод</w:t>
      </w:r>
      <w:r w:rsidRPr="001D7CF7">
        <w:t>я</w:t>
      </w:r>
      <w:r w:rsidRPr="001D7CF7">
        <w:t>щие принципы, разъясняющие порядок работы Подкомитета с НПМ. В насто</w:t>
      </w:r>
      <w:r w:rsidRPr="001D7CF7">
        <w:t>я</w:t>
      </w:r>
      <w:r w:rsidRPr="001D7CF7">
        <w:t>щее время руководящие принципы предназнач</w:t>
      </w:r>
      <w:r w:rsidRPr="001D7CF7">
        <w:t>е</w:t>
      </w:r>
      <w:r w:rsidRPr="001D7CF7">
        <w:t xml:space="preserve">ны для внутреннего пользования Подкомитета, поскольку он их </w:t>
      </w:r>
      <w:r>
        <w:t>опроб</w:t>
      </w:r>
      <w:r w:rsidR="00093641">
        <w:t>у</w:t>
      </w:r>
      <w:r>
        <w:t>ет</w:t>
      </w:r>
      <w:r w:rsidRPr="001D7CF7">
        <w:t xml:space="preserve"> и оценивает. Вопрос о самих руков</w:t>
      </w:r>
      <w:r w:rsidRPr="001D7CF7">
        <w:t>о</w:t>
      </w:r>
      <w:r w:rsidRPr="001D7CF7">
        <w:t>дящих принципах и их конфиденциальном характере будет рассмотрен Подк</w:t>
      </w:r>
      <w:r w:rsidRPr="001D7CF7">
        <w:t>о</w:t>
      </w:r>
      <w:r w:rsidRPr="001D7CF7">
        <w:t>митетом на его сессии в июне 2014 года. Руководящие принципы не только о</w:t>
      </w:r>
      <w:r w:rsidRPr="001D7CF7">
        <w:t>т</w:t>
      </w:r>
      <w:r w:rsidRPr="001D7CF7">
        <w:t>ражают мандат Подкомитета, предусмотренный Факультативным протоколом, но и отражают и учитывают мнения, выраженные государствами-участниками и НПМ в разрезе их устремлений и того, что они ожидают в этом отношении от Подк</w:t>
      </w:r>
      <w:r w:rsidRPr="001D7CF7">
        <w:t>о</w:t>
      </w:r>
      <w:r w:rsidRPr="001D7CF7">
        <w:t>митета.</w:t>
      </w:r>
    </w:p>
    <w:p w:rsidR="00025119" w:rsidRPr="001D7CF7" w:rsidRDefault="00025119" w:rsidP="005A135B">
      <w:pPr>
        <w:pStyle w:val="SingleTxtGR"/>
      </w:pPr>
      <w:r w:rsidRPr="001D7CF7">
        <w:t>70.</w:t>
      </w:r>
      <w:r w:rsidRPr="001D7CF7">
        <w:tab/>
        <w:t xml:space="preserve">Руководящие принципы содержат подробные сведения, </w:t>
      </w:r>
      <w:r>
        <w:t>затрагивающие</w:t>
      </w:r>
      <w:r w:rsidRPr="001D7CF7">
        <w:t xml:space="preserve"> рабо</w:t>
      </w:r>
      <w:r>
        <w:t>ту</w:t>
      </w:r>
      <w:r w:rsidRPr="001D7CF7">
        <w:t xml:space="preserve"> четырех региональных групп, созданных в рамках Подкомитета (см.</w:t>
      </w:r>
      <w:r w:rsidR="00617755">
        <w:t> </w:t>
      </w:r>
      <w:r w:rsidRPr="001D7CF7">
        <w:t>пункт 50 выше), и обязанности их членов. Основная задача региональных групп состоит в координации и осуществлении деятельности Подкомитета, св</w:t>
      </w:r>
      <w:r w:rsidRPr="001D7CF7">
        <w:t>я</w:t>
      </w:r>
      <w:r w:rsidRPr="001D7CF7">
        <w:t>занной с НПМ</w:t>
      </w:r>
      <w:r>
        <w:t>,</w:t>
      </w:r>
      <w:r w:rsidRPr="001D7CF7">
        <w:t xml:space="preserve"> в каждом регионе. Каждый член Подкомитета приписан к какой-либо региональной группе и является назначенным страновым докладчиком по ряду государств. Основная задача странового докладчика состоит в обеспеч</w:t>
      </w:r>
      <w:r w:rsidRPr="001D7CF7">
        <w:t>е</w:t>
      </w:r>
      <w:r w:rsidRPr="001D7CF7">
        <w:t>нии актуального обзора ситуации с созданием и работой НПМ. Каждая реги</w:t>
      </w:r>
      <w:r w:rsidRPr="001D7CF7">
        <w:t>о</w:t>
      </w:r>
      <w:r w:rsidRPr="001D7CF7">
        <w:t>нальная группа возглавляется руководителем, главная задача которого сводится к тому, чтобы направлять и координировать деятельность группы под общим руково</w:t>
      </w:r>
      <w:r>
        <w:t>дством Б</w:t>
      </w:r>
      <w:r w:rsidRPr="001D7CF7">
        <w:t xml:space="preserve">юро Подкомитета во главе </w:t>
      </w:r>
      <w:r>
        <w:t>с заместителем П</w:t>
      </w:r>
      <w:r w:rsidRPr="001D7CF7">
        <w:t>редседателя, отв</w:t>
      </w:r>
      <w:r w:rsidRPr="001D7CF7">
        <w:t>е</w:t>
      </w:r>
      <w:r w:rsidRPr="001D7CF7">
        <w:t>ч</w:t>
      </w:r>
      <w:r>
        <w:t>ающим за вопросы НПМ, вместе с П</w:t>
      </w:r>
      <w:r w:rsidRPr="001D7CF7">
        <w:t xml:space="preserve">редседателем Подкомитета. </w:t>
      </w:r>
    </w:p>
    <w:p w:rsidR="00025119" w:rsidRPr="001D7CF7" w:rsidRDefault="00025119" w:rsidP="005A135B">
      <w:pPr>
        <w:pStyle w:val="SingleTxtGR"/>
      </w:pPr>
      <w:r w:rsidRPr="001D7CF7">
        <w:t>71.</w:t>
      </w:r>
      <w:r w:rsidRPr="001D7CF7">
        <w:tab/>
        <w:t>Руководящие принципы также закладывают основу, на которой Подком</w:t>
      </w:r>
      <w:r w:rsidRPr="001D7CF7">
        <w:t>и</w:t>
      </w:r>
      <w:r w:rsidRPr="001D7CF7">
        <w:t>тет может развивать свои контакты с другими субъектами применительно к деятельности НПМ. Подкомитет прилагает усилия для активного взаимодейс</w:t>
      </w:r>
      <w:r w:rsidRPr="001D7CF7">
        <w:t>т</w:t>
      </w:r>
      <w:r w:rsidRPr="001D7CF7">
        <w:t>вия с другими органами Организации Объединенных Наций и внешними с</w:t>
      </w:r>
      <w:r w:rsidRPr="001D7CF7">
        <w:t>о</w:t>
      </w:r>
      <w:r w:rsidRPr="001D7CF7">
        <w:t>причастными субъектами в контексте выполнения своего мандата, касающегося НПМ, и в особой степени нацелен на поощрение своих региональных групп к укреплению совместной деятельности между самими НПМ и другими соприч</w:t>
      </w:r>
      <w:r w:rsidRPr="001D7CF7">
        <w:t>а</w:t>
      </w:r>
      <w:r w:rsidRPr="001D7CF7">
        <w:t>стными сторонами.</w:t>
      </w:r>
    </w:p>
    <w:p w:rsidR="00025119" w:rsidRPr="001D7CF7" w:rsidRDefault="00025119" w:rsidP="005A135B">
      <w:pPr>
        <w:pStyle w:val="HChGR"/>
      </w:pPr>
      <w:r>
        <w:rPr>
          <w:lang w:val="en-US"/>
        </w:rPr>
        <w:tab/>
      </w:r>
      <w:r w:rsidRPr="001D7CF7">
        <w:rPr>
          <w:lang w:val="en-US"/>
        </w:rPr>
        <w:t>V</w:t>
      </w:r>
      <w:r w:rsidRPr="001D7CF7">
        <w:t>.</w:t>
      </w:r>
      <w:r w:rsidRPr="001D7CF7">
        <w:tab/>
        <w:t>Вопросы существа: коррупция и предупреждение пыток и другого неправомерного обращ</w:t>
      </w:r>
      <w:r w:rsidRPr="001D7CF7">
        <w:t>е</w:t>
      </w:r>
      <w:r w:rsidRPr="001D7CF7">
        <w:t>ния</w:t>
      </w:r>
    </w:p>
    <w:p w:rsidR="00025119" w:rsidRPr="001D7CF7" w:rsidRDefault="00025119" w:rsidP="005A135B">
      <w:pPr>
        <w:pStyle w:val="H1GR"/>
      </w:pPr>
      <w:r>
        <w:rPr>
          <w:lang w:val="en-US"/>
        </w:rPr>
        <w:tab/>
      </w:r>
      <w:r w:rsidRPr="001D7CF7">
        <w:t>А.</w:t>
      </w:r>
      <w:r w:rsidRPr="001D7CF7">
        <w:tab/>
        <w:t>Введение</w:t>
      </w:r>
    </w:p>
    <w:p w:rsidR="00025119" w:rsidRPr="001D7CF7" w:rsidRDefault="00025119" w:rsidP="005A135B">
      <w:pPr>
        <w:pStyle w:val="SingleTxtGR"/>
      </w:pPr>
      <w:r w:rsidRPr="001D7CF7">
        <w:t>72.</w:t>
      </w:r>
      <w:r w:rsidRPr="001D7CF7">
        <w:tab/>
        <w:t xml:space="preserve">"Коррупция и </w:t>
      </w:r>
      <w:r>
        <w:t>плохое</w:t>
      </w:r>
      <w:r w:rsidRPr="001D7CF7">
        <w:t xml:space="preserve"> функционирование систем уголовного правосудия выступают коренной причиной пыток и неправомерного обращения с </w:t>
      </w:r>
      <w:r>
        <w:t>содерж</w:t>
      </w:r>
      <w:r>
        <w:t>а</w:t>
      </w:r>
      <w:r>
        <w:t>щимися под стражей лицами</w:t>
      </w:r>
      <w:r w:rsidRPr="001D7CF7">
        <w:t>"</w:t>
      </w:r>
      <w:r w:rsidRPr="001D7CF7">
        <w:rPr>
          <w:rStyle w:val="FootnoteReference"/>
        </w:rPr>
        <w:footnoteReference w:id="9"/>
      </w:r>
      <w:r w:rsidRPr="001D7CF7">
        <w:t>. Существует признанная связь между уровнями коррупции в конкретном государстве и распространением пыток и неправоме</w:t>
      </w:r>
      <w:r w:rsidRPr="001D7CF7">
        <w:t>р</w:t>
      </w:r>
      <w:r w:rsidRPr="001D7CF7">
        <w:t>ного обраще</w:t>
      </w:r>
      <w:r>
        <w:t>ния</w:t>
      </w:r>
      <w:r w:rsidR="00617755">
        <w:t>:</w:t>
      </w:r>
      <w:r>
        <w:t xml:space="preserve"> к</w:t>
      </w:r>
      <w:r w:rsidRPr="001D7CF7">
        <w:t>оррупция подпитывает неправомерное обращение, а попр</w:t>
      </w:r>
      <w:r w:rsidRPr="001D7CF7">
        <w:t>а</w:t>
      </w:r>
      <w:r w:rsidRPr="001D7CF7">
        <w:t>ние прав человека способствует распространению коррупции. В данном разделе н</w:t>
      </w:r>
      <w:r w:rsidRPr="001D7CF7">
        <w:t>а</w:t>
      </w:r>
      <w:r w:rsidRPr="001D7CF7">
        <w:t xml:space="preserve">стоящего доклада анализируется </w:t>
      </w:r>
      <w:r>
        <w:t>зависимость</w:t>
      </w:r>
      <w:r w:rsidRPr="001D7CF7">
        <w:t xml:space="preserve"> между двумя этими явлениями и подчеркивается необходимость принятия мер в целях предотвращения ко</w:t>
      </w:r>
      <w:r w:rsidRPr="001D7CF7">
        <w:t>р</w:t>
      </w:r>
      <w:r w:rsidRPr="001D7CF7">
        <w:t>рупции в качестве средства обеспечения более эффективной защиты содерж</w:t>
      </w:r>
      <w:r w:rsidRPr="001D7CF7">
        <w:t>а</w:t>
      </w:r>
      <w:r w:rsidRPr="001D7CF7">
        <w:t>щихся под стражей лиц от пыток и другого неправомерного обращения. Это подразумевает также, в частности, приверженность демократическим принц</w:t>
      </w:r>
      <w:r w:rsidRPr="001D7CF7">
        <w:t>и</w:t>
      </w:r>
      <w:r w:rsidRPr="001D7CF7">
        <w:t>пам, верховенству права, включая транспарентность и подотчетность, эффе</w:t>
      </w:r>
      <w:r w:rsidRPr="001D7CF7">
        <w:t>к</w:t>
      </w:r>
      <w:r w:rsidRPr="001D7CF7">
        <w:t>тивным м</w:t>
      </w:r>
      <w:r w:rsidRPr="001D7CF7">
        <w:t>е</w:t>
      </w:r>
      <w:r w:rsidRPr="001D7CF7">
        <w:t>ханизмам независимого надзора, существованию свободной прессы и независимой судебной сист</w:t>
      </w:r>
      <w:r w:rsidRPr="001D7CF7">
        <w:t>е</w:t>
      </w:r>
      <w:r w:rsidRPr="001D7CF7">
        <w:t xml:space="preserve">мы. </w:t>
      </w:r>
    </w:p>
    <w:p w:rsidR="00025119" w:rsidRPr="001D7CF7" w:rsidRDefault="00025119" w:rsidP="005A135B">
      <w:pPr>
        <w:pStyle w:val="H1GR"/>
      </w:pPr>
      <w:r>
        <w:rPr>
          <w:lang w:val="en-US"/>
        </w:rPr>
        <w:tab/>
      </w:r>
      <w:r w:rsidRPr="001D7CF7">
        <w:rPr>
          <w:lang w:val="en-US"/>
        </w:rPr>
        <w:t>B</w:t>
      </w:r>
      <w:r w:rsidRPr="001D7CF7">
        <w:t>.</w:t>
      </w:r>
      <w:r w:rsidRPr="001D7CF7">
        <w:tab/>
        <w:t>Определение коррупции</w:t>
      </w:r>
    </w:p>
    <w:p w:rsidR="00025119" w:rsidRPr="001D7CF7" w:rsidRDefault="00025119" w:rsidP="005A135B">
      <w:pPr>
        <w:pStyle w:val="SingleTxtGR"/>
      </w:pPr>
      <w:r w:rsidRPr="001D7CF7">
        <w:t>73.</w:t>
      </w:r>
      <w:r w:rsidRPr="001D7CF7">
        <w:tab/>
        <w:t xml:space="preserve">Под коррупцией в целом понимается недобросовестное использование властных полномочий или злоупотребление ими в целях получения незаконной личной выгоды или преимущества или в целях получения незаконной выгоды или преимущества для третьей стороны. Охватываемые ею действия можно </w:t>
      </w:r>
      <w:r>
        <w:t>охарактеризовать</w:t>
      </w:r>
      <w:r w:rsidRPr="001D7CF7">
        <w:t xml:space="preserve"> по запретительным положениям, предусмотренным в разли</w:t>
      </w:r>
      <w:r w:rsidRPr="001D7CF7">
        <w:t>ч</w:t>
      </w:r>
      <w:r w:rsidRPr="001D7CF7">
        <w:t xml:space="preserve">ных международных и национальных </w:t>
      </w:r>
      <w:r>
        <w:t>нормативных актах</w:t>
      </w:r>
      <w:r w:rsidRPr="001D7CF7">
        <w:t>, включая Конвенцию Организации Объединенных Наций против коррупции (2003 год), Конвенцию Африканского союза о предупреждении коррупции и борьбе с ней (2003 год), Межамериканскую конвенцию по борьбе с коррупцией (1999</w:t>
      </w:r>
      <w:r>
        <w:t xml:space="preserve"> </w:t>
      </w:r>
      <w:r w:rsidRPr="001D7CF7">
        <w:t>год) и Конвенцию об уголовной о</w:t>
      </w:r>
      <w:r w:rsidRPr="001D7CF7">
        <w:t>т</w:t>
      </w:r>
      <w:r w:rsidRPr="001D7CF7">
        <w:t>ветственности за коррупцию (1999 год) Совета Европы</w:t>
      </w:r>
      <w:r w:rsidRPr="001D7CF7">
        <w:rPr>
          <w:rStyle w:val="FootnoteReference"/>
        </w:rPr>
        <w:footnoteReference w:id="10"/>
      </w:r>
      <w:r w:rsidRPr="001D7CF7">
        <w:t>.</w:t>
      </w:r>
    </w:p>
    <w:p w:rsidR="00025119" w:rsidRPr="001D7CF7" w:rsidRDefault="00025119" w:rsidP="005A135B">
      <w:pPr>
        <w:pStyle w:val="SingleTxtGR"/>
      </w:pPr>
      <w:r w:rsidRPr="001D7CF7">
        <w:t>74.</w:t>
      </w:r>
      <w:r w:rsidRPr="001D7CF7">
        <w:tab/>
        <w:t>Конвенция Организации Объединенных Наций против коррупции, н</w:t>
      </w:r>
      <w:r w:rsidRPr="001D7CF7">
        <w:t>а</w:t>
      </w:r>
      <w:r w:rsidRPr="001D7CF7">
        <w:t xml:space="preserve">пример, </w:t>
      </w:r>
      <w:r>
        <w:t>устанавливает</w:t>
      </w:r>
      <w:r w:rsidRPr="001D7CF7">
        <w:t xml:space="preserve"> широкий круг связанных с коррупцией преступлений, требующих принятия превентивных или исправительных мер. Коррупция м</w:t>
      </w:r>
      <w:r w:rsidRPr="001D7CF7">
        <w:t>о</w:t>
      </w:r>
      <w:r w:rsidRPr="001D7CF7">
        <w:t>жет иметь место как в государственном, так и частном секторах и включает т</w:t>
      </w:r>
      <w:r w:rsidRPr="001D7CF7">
        <w:t>а</w:t>
      </w:r>
      <w:r w:rsidRPr="001D7CF7">
        <w:t>кие действия, как подкуп, отмывание денежных средств, хищение, злоупотре</w:t>
      </w:r>
      <w:r w:rsidRPr="001D7CF7">
        <w:t>б</w:t>
      </w:r>
      <w:r w:rsidRPr="001D7CF7">
        <w:t>ление влиянием, злоупотребление служебным положением, незаконное обог</w:t>
      </w:r>
      <w:r w:rsidRPr="001D7CF7">
        <w:t>а</w:t>
      </w:r>
      <w:r w:rsidRPr="001D7CF7">
        <w:t xml:space="preserve">щение и воспрепятствование </w:t>
      </w:r>
      <w:r>
        <w:t>отправлению</w:t>
      </w:r>
      <w:r w:rsidRPr="001D7CF7">
        <w:t xml:space="preserve"> пр</w:t>
      </w:r>
      <w:r w:rsidRPr="001D7CF7">
        <w:t>а</w:t>
      </w:r>
      <w:r w:rsidRPr="001D7CF7">
        <w:t>восудия.</w:t>
      </w:r>
    </w:p>
    <w:p w:rsidR="00025119" w:rsidRPr="001D7CF7" w:rsidRDefault="00025119" w:rsidP="005A135B">
      <w:pPr>
        <w:pStyle w:val="SingleTxtGR"/>
      </w:pPr>
      <w:r w:rsidRPr="001D7CF7">
        <w:t>75.</w:t>
      </w:r>
      <w:r w:rsidRPr="001D7CF7">
        <w:tab/>
        <w:t>Управление Организации Объединенных Наций по наркотикам и пр</w:t>
      </w:r>
      <w:r w:rsidRPr="001D7CF7">
        <w:t>е</w:t>
      </w:r>
      <w:r w:rsidRPr="001D7CF7">
        <w:t>ступности проводит различие между "крупной коррупцией" и "мелкой корру</w:t>
      </w:r>
      <w:r w:rsidRPr="001D7CF7">
        <w:t>п</w:t>
      </w:r>
      <w:r w:rsidRPr="001D7CF7">
        <w:t>цией". Крупная коррупция касается старших (государственных) должностных лиц и может быть связана с большими объемами денежных средств, активов или других преимуществ. Борьба с крупной коррупцией может быть опасным делом, и поэтому крупную коррупцию может быть трудно искоренить без пр</w:t>
      </w:r>
      <w:r w:rsidRPr="001D7CF7">
        <w:t>и</w:t>
      </w:r>
      <w:r w:rsidRPr="001D7CF7">
        <w:t>влечения международных организаций. Мелкая коррупция, с которой Подком</w:t>
      </w:r>
      <w:r w:rsidRPr="001D7CF7">
        <w:t>и</w:t>
      </w:r>
      <w:r w:rsidRPr="001D7CF7">
        <w:t>тет зачастую сталкивается в ходе своих посещений мест содержания под стр</w:t>
      </w:r>
      <w:r w:rsidRPr="001D7CF7">
        <w:t>а</w:t>
      </w:r>
      <w:r w:rsidRPr="001D7CF7">
        <w:t>жей, относится к жизненной практике людей при их взаимоотношениях с ко</w:t>
      </w:r>
      <w:r w:rsidRPr="001D7CF7">
        <w:t>р</w:t>
      </w:r>
      <w:r w:rsidRPr="001D7CF7">
        <w:t xml:space="preserve">румпированными государственными служащими при </w:t>
      </w:r>
      <w:r>
        <w:t>пользовании</w:t>
      </w:r>
      <w:r w:rsidRPr="001D7CF7">
        <w:t xml:space="preserve"> государс</w:t>
      </w:r>
      <w:r w:rsidRPr="001D7CF7">
        <w:t>т</w:t>
      </w:r>
      <w:r w:rsidRPr="001D7CF7">
        <w:t>вен</w:t>
      </w:r>
      <w:r>
        <w:t>ными</w:t>
      </w:r>
      <w:r w:rsidRPr="001D7CF7">
        <w:t xml:space="preserve"> услуг</w:t>
      </w:r>
      <w:r>
        <w:t>ами</w:t>
      </w:r>
      <w:r w:rsidRPr="001D7CF7">
        <w:t xml:space="preserve"> и, как правило, связана с небольшими объемами денежных средств или других привилегий. Коррупция является сложным явлением, встр</w:t>
      </w:r>
      <w:r w:rsidRPr="001D7CF7">
        <w:t>е</w:t>
      </w:r>
      <w:r w:rsidRPr="001D7CF7">
        <w:t>ча</w:t>
      </w:r>
      <w:r>
        <w:t>ющимся по всему миру; она</w:t>
      </w:r>
      <w:r w:rsidRPr="001D7CF7">
        <w:t xml:space="preserve"> поражает как развитые, так и развивающиеся стр</w:t>
      </w:r>
      <w:r w:rsidRPr="001D7CF7">
        <w:t>а</w:t>
      </w:r>
      <w:r w:rsidRPr="001D7CF7">
        <w:t xml:space="preserve">ны и часто носит еле уловимый характер и с трудом поддается выявлению. Хотя относительный уровень экономического развития какого-либо государства не влияет на опасность коррупции, распространенной в государстве, он может влиять на то, каким образом действуют коррумпированные группы и отдельные лица, и может затруднять выявление коррупции в тех случаях, в которых она реально существует. Такую коррупцию можно искоренить только при наличии четкой и твердой политической воли </w:t>
      </w:r>
      <w:r>
        <w:t>с</w:t>
      </w:r>
      <w:r w:rsidRPr="001D7CF7">
        <w:t xml:space="preserve"> одновременн</w:t>
      </w:r>
      <w:r>
        <w:t>ым</w:t>
      </w:r>
      <w:r w:rsidRPr="001D7CF7">
        <w:t xml:space="preserve"> осущест</w:t>
      </w:r>
      <w:r>
        <w:t>влением</w:t>
      </w:r>
      <w:r w:rsidRPr="001D7CF7">
        <w:t xml:space="preserve"> обр</w:t>
      </w:r>
      <w:r w:rsidRPr="001D7CF7">
        <w:t>а</w:t>
      </w:r>
      <w:r w:rsidRPr="001D7CF7">
        <w:t>зовательных программ по проблемам коррупции и прав человека, предназн</w:t>
      </w:r>
      <w:r w:rsidRPr="001D7CF7">
        <w:t>а</w:t>
      </w:r>
      <w:r w:rsidRPr="001D7CF7">
        <w:t xml:space="preserve">ченных для всех сопричастных субъектов и широких слоев населения. </w:t>
      </w:r>
    </w:p>
    <w:p w:rsidR="00025119" w:rsidRPr="001D7CF7" w:rsidRDefault="00025119" w:rsidP="005A135B">
      <w:pPr>
        <w:pStyle w:val="H1GR"/>
      </w:pPr>
      <w:r w:rsidRPr="00574A47">
        <w:tab/>
      </w:r>
      <w:r w:rsidRPr="001D7CF7">
        <w:t>С.</w:t>
      </w:r>
      <w:r w:rsidRPr="001D7CF7">
        <w:tab/>
      </w:r>
      <w:r>
        <w:t>Более широкая связь между правами человека, демократией и коррупцией</w:t>
      </w:r>
    </w:p>
    <w:p w:rsidR="00025119" w:rsidRPr="001D7CF7" w:rsidRDefault="00025119" w:rsidP="005A135B">
      <w:pPr>
        <w:pStyle w:val="SingleTxtGR"/>
      </w:pPr>
      <w:r w:rsidRPr="001D7CF7">
        <w:t>76.</w:t>
      </w:r>
      <w:r w:rsidRPr="001D7CF7">
        <w:tab/>
        <w:t xml:space="preserve">Увязка антикоррупционной деятельности и правозащитного подхода на практике требует понимания того, каким образом </w:t>
      </w:r>
      <w:r>
        <w:t>волна</w:t>
      </w:r>
      <w:r w:rsidRPr="001D7CF7">
        <w:t xml:space="preserve"> коррупции стимулир</w:t>
      </w:r>
      <w:r w:rsidRPr="001D7CF7">
        <w:t>у</w:t>
      </w:r>
      <w:r w:rsidRPr="001D7CF7">
        <w:t>ет, увековечивает и институционализирует нарушения прав человека. Широко признается, что "коррупция снижает степень подотчетности и транспарен</w:t>
      </w:r>
      <w:r w:rsidRPr="001D7CF7">
        <w:t>т</w:t>
      </w:r>
      <w:r w:rsidRPr="001D7CF7">
        <w:t>ность процесса управления государственными делами, а также подрывает соц</w:t>
      </w:r>
      <w:r w:rsidRPr="001D7CF7">
        <w:t>и</w:t>
      </w:r>
      <w:r w:rsidRPr="001D7CF7">
        <w:t>ально-экономическое развитие"</w:t>
      </w:r>
      <w:r w:rsidRPr="001D7CF7">
        <w:rPr>
          <w:rStyle w:val="FootnoteReference"/>
        </w:rPr>
        <w:footnoteReference w:id="11"/>
      </w:r>
      <w:r w:rsidRPr="001D7CF7">
        <w:t>. "Коррупция угрожает верховенству права, демократии и правам человека, подрывает благое управление, равенство и с</w:t>
      </w:r>
      <w:r w:rsidRPr="001D7CF7">
        <w:t>о</w:t>
      </w:r>
      <w:r w:rsidRPr="001D7CF7">
        <w:t>циальную справедливость, деформиру</w:t>
      </w:r>
      <w:r>
        <w:t>ет</w:t>
      </w:r>
      <w:r w:rsidRPr="001D7CF7">
        <w:t xml:space="preserve"> конкуренцию, препятствует эконом</w:t>
      </w:r>
      <w:r w:rsidRPr="001D7CF7">
        <w:t>и</w:t>
      </w:r>
      <w:r w:rsidRPr="001D7CF7">
        <w:t>ческому развитию и несет опасность для стабильности демократических инст</w:t>
      </w:r>
      <w:r w:rsidRPr="001D7CF7">
        <w:t>и</w:t>
      </w:r>
      <w:r w:rsidRPr="001D7CF7">
        <w:t xml:space="preserve">тутов и моральных </w:t>
      </w:r>
      <w:r>
        <w:t>устоев</w:t>
      </w:r>
      <w:r w:rsidRPr="001D7CF7">
        <w:t xml:space="preserve"> общества"</w:t>
      </w:r>
      <w:r w:rsidRPr="001D7CF7">
        <w:rPr>
          <w:rStyle w:val="FootnoteReference"/>
        </w:rPr>
        <w:footnoteReference w:id="12"/>
      </w:r>
      <w:r w:rsidRPr="001D7CF7">
        <w:t>. И напротив, но в связи с этим в преа</w:t>
      </w:r>
      <w:r w:rsidRPr="001D7CF7">
        <w:t>м</w:t>
      </w:r>
      <w:r w:rsidRPr="001D7CF7">
        <w:t>буле французской Декларации прав человека и гражданина 1789 года указыв</w:t>
      </w:r>
      <w:r w:rsidRPr="001D7CF7">
        <w:t>а</w:t>
      </w:r>
      <w:r w:rsidRPr="001D7CF7">
        <w:t>ется, что невежество, забвение прав человека или пренебрежение ими являются единственной причиной общественных бедствий и испорченности прав</w:t>
      </w:r>
      <w:r w:rsidRPr="001D7CF7">
        <w:t>и</w:t>
      </w:r>
      <w:r w:rsidRPr="001D7CF7">
        <w:t xml:space="preserve">тельств. </w:t>
      </w:r>
      <w:r>
        <w:t>Поэтому</w:t>
      </w:r>
      <w:r w:rsidRPr="001D7CF7">
        <w:t xml:space="preserve"> прослеживается тесная признанная связь между злоупотре</w:t>
      </w:r>
      <w:r w:rsidRPr="001D7CF7">
        <w:t>б</w:t>
      </w:r>
      <w:r w:rsidRPr="001D7CF7">
        <w:t>лениями правами человека в целом и коррупцией; коррупция приводит к зл</w:t>
      </w:r>
      <w:r w:rsidRPr="001D7CF7">
        <w:t>о</w:t>
      </w:r>
      <w:r w:rsidRPr="001D7CF7">
        <w:t>употреблениям правами человека, тогда как попрание прав человека подпит</w:t>
      </w:r>
      <w:r w:rsidRPr="001D7CF7">
        <w:t>ы</w:t>
      </w:r>
      <w:r w:rsidRPr="001D7CF7">
        <w:t>вает коррупцию. Проблема носит самоукореняющийся характер, и в целях пр</w:t>
      </w:r>
      <w:r w:rsidRPr="001D7CF7">
        <w:t>е</w:t>
      </w:r>
      <w:r>
        <w:t>дупреждения злоупотреблений</w:t>
      </w:r>
      <w:r w:rsidRPr="001D7CF7">
        <w:t xml:space="preserve"> правами человека, включая пытки и неправ</w:t>
      </w:r>
      <w:r w:rsidRPr="001D7CF7">
        <w:t>о</w:t>
      </w:r>
      <w:r w:rsidRPr="001D7CF7">
        <w:t>мерное обращение, государством должны самым серьезным образом учит</w:t>
      </w:r>
      <w:r w:rsidRPr="001D7CF7">
        <w:t>ы</w:t>
      </w:r>
      <w:r w:rsidRPr="001D7CF7">
        <w:t>ваться правозащитные и демократические принципы, и для искоренения ко</w:t>
      </w:r>
      <w:r w:rsidRPr="001D7CF7">
        <w:t>р</w:t>
      </w:r>
      <w:r w:rsidRPr="001D7CF7">
        <w:t>рупции должны пр</w:t>
      </w:r>
      <w:r w:rsidRPr="001D7CF7">
        <w:t>и</w:t>
      </w:r>
      <w:r w:rsidRPr="001D7CF7">
        <w:t xml:space="preserve">ниматься соответствующие меры. </w:t>
      </w:r>
    </w:p>
    <w:p w:rsidR="00025119" w:rsidRPr="001D7CF7" w:rsidRDefault="00025119" w:rsidP="005A135B">
      <w:pPr>
        <w:pStyle w:val="SingleTxtGR"/>
      </w:pPr>
      <w:r w:rsidRPr="001D7CF7">
        <w:t>77.</w:t>
      </w:r>
      <w:r w:rsidRPr="001D7CF7">
        <w:tab/>
        <w:t>Крайне важное значение и безо всяких исключений имеет то, что "пред</w:t>
      </w:r>
      <w:r w:rsidRPr="001D7CF7">
        <w:t>у</w:t>
      </w:r>
      <w:r w:rsidRPr="001D7CF7">
        <w:t>преждение и искоренение коррупции − это обязанность всех государств"</w:t>
      </w:r>
      <w:r w:rsidRPr="001D7CF7">
        <w:rPr>
          <w:vertAlign w:val="superscript"/>
        </w:rPr>
        <w:footnoteReference w:id="13"/>
      </w:r>
      <w:r w:rsidRPr="001D7CF7">
        <w:t>. Ко</w:t>
      </w:r>
      <w:r w:rsidRPr="001D7CF7">
        <w:t>н</w:t>
      </w:r>
      <w:r w:rsidRPr="001D7CF7">
        <w:t>венция Организации Объединенных Наций против коррупции и другие соотве</w:t>
      </w:r>
      <w:r w:rsidRPr="001D7CF7">
        <w:t>т</w:t>
      </w:r>
      <w:r w:rsidRPr="001D7CF7">
        <w:t xml:space="preserve">ствующие конвенции закладывают </w:t>
      </w:r>
      <w:r>
        <w:t>прочную</w:t>
      </w:r>
      <w:r w:rsidRPr="001D7CF7">
        <w:t xml:space="preserve"> основу для деятельности гос</w:t>
      </w:r>
      <w:r w:rsidRPr="001D7CF7">
        <w:t>у</w:t>
      </w:r>
      <w:r w:rsidRPr="001D7CF7">
        <w:t>дарств по предупреждению и искоренению коррупции, предусматривая, что г</w:t>
      </w:r>
      <w:r w:rsidRPr="001D7CF7">
        <w:t>о</w:t>
      </w:r>
      <w:r w:rsidRPr="001D7CF7">
        <w:t xml:space="preserve">сударствам надлежит обеспечивать принятие мер в целях </w:t>
      </w:r>
      <w:r>
        <w:t xml:space="preserve">осуществления </w:t>
      </w:r>
      <w:r w:rsidRPr="001D7CF7">
        <w:t>кр</w:t>
      </w:r>
      <w:r w:rsidRPr="001D7CF7">
        <w:t>и</w:t>
      </w:r>
      <w:r w:rsidRPr="001D7CF7">
        <w:t xml:space="preserve">минализации и </w:t>
      </w:r>
      <w:r>
        <w:t xml:space="preserve">судебного </w:t>
      </w:r>
      <w:r w:rsidRPr="001D7CF7">
        <w:t>преследования по фактам ко</w:t>
      </w:r>
      <w:r w:rsidRPr="001D7CF7">
        <w:t>р</w:t>
      </w:r>
      <w:r w:rsidRPr="001D7CF7">
        <w:t>рупции. Государства должны также действовать на превентивной основе, добиваясь транспарентн</w:t>
      </w:r>
      <w:r w:rsidRPr="001D7CF7">
        <w:t>о</w:t>
      </w:r>
      <w:r w:rsidRPr="001D7CF7">
        <w:t>сти и подотчетности. С целью искоренения коррупции г</w:t>
      </w:r>
      <w:r w:rsidRPr="001D7CF7">
        <w:t>о</w:t>
      </w:r>
      <w:r w:rsidRPr="001D7CF7">
        <w:t>сударствам следует также сотрудничать с международными партнерами и другими госуда</w:t>
      </w:r>
      <w:r w:rsidRPr="001D7CF7">
        <w:t>р</w:t>
      </w:r>
      <w:r w:rsidRPr="001D7CF7">
        <w:t>ствами.</w:t>
      </w:r>
    </w:p>
    <w:p w:rsidR="00025119" w:rsidRPr="001D7CF7" w:rsidRDefault="00025119" w:rsidP="005A135B">
      <w:pPr>
        <w:pStyle w:val="SingleTxtGR"/>
      </w:pPr>
      <w:r w:rsidRPr="001D7CF7">
        <w:t>78.</w:t>
      </w:r>
      <w:r w:rsidRPr="001D7CF7">
        <w:tab/>
        <w:t>Рассматривая причины коррупции и средства их устранения, правоз</w:t>
      </w:r>
      <w:r w:rsidRPr="001D7CF7">
        <w:t>а</w:t>
      </w:r>
      <w:r w:rsidRPr="001D7CF7">
        <w:t>щитные договорные органы и специальные процедуры Организации Объед</w:t>
      </w:r>
      <w:r w:rsidRPr="001D7CF7">
        <w:t>и</w:t>
      </w:r>
      <w:r w:rsidRPr="001D7CF7">
        <w:t>ненных Наций часто приходят к выводу о том, что государства не могут собл</w:t>
      </w:r>
      <w:r w:rsidRPr="001D7CF7">
        <w:t>ю</w:t>
      </w:r>
      <w:r w:rsidRPr="001D7CF7">
        <w:t>дать свои правозащитные обязательства в случаях наличия широко</w:t>
      </w:r>
      <w:r w:rsidR="00617755">
        <w:t xml:space="preserve"> </w:t>
      </w:r>
      <w:r>
        <w:t>распростр</w:t>
      </w:r>
      <w:r>
        <w:t>а</w:t>
      </w:r>
      <w:r>
        <w:t>ненной</w:t>
      </w:r>
      <w:r w:rsidRPr="001D7CF7">
        <w:t xml:space="preserve"> коррупции. Однако редко разъясняется и точно определяется то, в каких масштабах акты коррупции непосредственно нарушают права человека или приводят к н</w:t>
      </w:r>
      <w:r w:rsidRPr="001D7CF7">
        <w:t>а</w:t>
      </w:r>
      <w:r w:rsidRPr="001D7CF7">
        <w:t>рушениям.</w:t>
      </w:r>
    </w:p>
    <w:p w:rsidR="00025119" w:rsidRPr="001D7CF7" w:rsidRDefault="00025119" w:rsidP="005A135B">
      <w:pPr>
        <w:pStyle w:val="SingleTxtGR"/>
      </w:pPr>
      <w:r w:rsidRPr="001D7CF7">
        <w:t>79.</w:t>
      </w:r>
      <w:r w:rsidRPr="001D7CF7">
        <w:tab/>
        <w:t>В более широком разрезе мер по защите прав человека и коррупции сф</w:t>
      </w:r>
      <w:r w:rsidRPr="001D7CF7">
        <w:t>е</w:t>
      </w:r>
      <w:r w:rsidRPr="001D7CF7">
        <w:t>ра охвата настоящего доклада ограничивается связью между мелкой коррупц</w:t>
      </w:r>
      <w:r w:rsidRPr="001D7CF7">
        <w:t>и</w:t>
      </w:r>
      <w:r w:rsidRPr="001D7CF7">
        <w:t>ей и пытками и другим неправомерным обращением, учитывая опыт Подком</w:t>
      </w:r>
      <w:r w:rsidRPr="001D7CF7">
        <w:t>и</w:t>
      </w:r>
      <w:r w:rsidRPr="001D7CF7">
        <w:t xml:space="preserve">тета при </w:t>
      </w:r>
      <w:r>
        <w:t>проведении</w:t>
      </w:r>
      <w:r w:rsidRPr="001D7CF7">
        <w:t xml:space="preserve"> им своих страновых посещений.</w:t>
      </w:r>
    </w:p>
    <w:p w:rsidR="00025119" w:rsidRPr="001D7CF7" w:rsidRDefault="00025119" w:rsidP="005A135B">
      <w:pPr>
        <w:pStyle w:val="H1GR"/>
      </w:pPr>
      <w:r w:rsidRPr="00DC7AEA">
        <w:tab/>
      </w:r>
      <w:r w:rsidRPr="001D7CF7">
        <w:rPr>
          <w:lang w:val="en-US"/>
        </w:rPr>
        <w:t>D</w:t>
      </w:r>
      <w:r w:rsidRPr="001D7CF7">
        <w:t>.</w:t>
      </w:r>
      <w:r w:rsidRPr="001D7CF7">
        <w:tab/>
        <w:t>Корреляция между коррупцией и пытками и неправомерным обращением</w:t>
      </w:r>
    </w:p>
    <w:p w:rsidR="00025119" w:rsidRPr="001D7CF7" w:rsidRDefault="00025119" w:rsidP="005A135B">
      <w:pPr>
        <w:pStyle w:val="SingleTxtGR"/>
      </w:pPr>
      <w:r w:rsidRPr="001D7CF7">
        <w:t>80.</w:t>
      </w:r>
      <w:r w:rsidRPr="001D7CF7">
        <w:tab/>
        <w:t>Коррупция при</w:t>
      </w:r>
      <w:r>
        <w:t>водит к нарушению прав всех тех, кто</w:t>
      </w:r>
      <w:r w:rsidRPr="001D7CF7">
        <w:t xml:space="preserve"> ею затрагива</w:t>
      </w:r>
      <w:r w:rsidR="00617755">
        <w:t>е</w:t>
      </w:r>
      <w:r w:rsidRPr="001D7CF7">
        <w:t>тся, однако в несоразмерно большей степени отражается на людях, которые прина</w:t>
      </w:r>
      <w:r w:rsidRPr="001D7CF7">
        <w:t>д</w:t>
      </w:r>
      <w:r w:rsidRPr="001D7CF7">
        <w:t>лежат к группам, подверженным особым рискам, таким как меньшинства, к</w:t>
      </w:r>
      <w:r w:rsidRPr="001D7CF7">
        <w:t>о</w:t>
      </w:r>
      <w:r w:rsidRPr="001D7CF7">
        <w:t>ренные народы, трудящиеся-мигранты, инвалиды, лица, инфицир</w:t>
      </w:r>
      <w:r w:rsidRPr="001D7CF7">
        <w:t>о</w:t>
      </w:r>
      <w:r w:rsidRPr="001D7CF7">
        <w:t>ванные ВИЧ/больные СПИДом, беженцы, заключенные, женщины, дети и лица, жив</w:t>
      </w:r>
      <w:r w:rsidRPr="001D7CF7">
        <w:t>у</w:t>
      </w:r>
      <w:r w:rsidRPr="001D7CF7">
        <w:t xml:space="preserve">щие в нищете. При </w:t>
      </w:r>
      <w:r>
        <w:t>выполнении</w:t>
      </w:r>
      <w:r w:rsidRPr="001D7CF7">
        <w:t xml:space="preserve"> своего мандата, направленного на предупре</w:t>
      </w:r>
      <w:r w:rsidRPr="001D7CF7">
        <w:t>ж</w:t>
      </w:r>
      <w:r w:rsidRPr="001D7CF7">
        <w:t>дение пыток и другого неправомерного обращения, Подкомитет отмечал, что, хотя в состоянии уязвимости находятся все содержащиеся под стражей лица, те, кто содер</w:t>
      </w:r>
      <w:r>
        <w:t>жа</w:t>
      </w:r>
      <w:r w:rsidRPr="001D7CF7">
        <w:t>тся в полицейских участках в ожи</w:t>
      </w:r>
      <w:r>
        <w:t>дании допроса, и те, кто отбыв</w:t>
      </w:r>
      <w:r>
        <w:t>а</w:t>
      </w:r>
      <w:r>
        <w:t>ю</w:t>
      </w:r>
      <w:r w:rsidRPr="001D7CF7">
        <w:t>т предварительное заключение или содержание под стражей в иммиграцио</w:t>
      </w:r>
      <w:r w:rsidRPr="001D7CF7">
        <w:t>н</w:t>
      </w:r>
      <w:r w:rsidRPr="001D7CF7">
        <w:t>ных центрах, являются особенно уязвимыми. Аналогичным образом трудящи</w:t>
      </w:r>
      <w:r w:rsidRPr="001D7CF7">
        <w:t>е</w:t>
      </w:r>
      <w:r w:rsidRPr="001D7CF7">
        <w:t>ся-мигранты, не имеющие вида на жительство, могут также становиться жер</w:t>
      </w:r>
      <w:r w:rsidRPr="001D7CF7">
        <w:t>т</w:t>
      </w:r>
      <w:r w:rsidRPr="001D7CF7">
        <w:t xml:space="preserve">вами коррумпированных должностных лиц, которые, зная, что трудящиеся не могут подать жалобы, стремятся вымогать у них деньги посредством угрозы насилия и депортации. Их уязвимость </w:t>
      </w:r>
      <w:r>
        <w:t>возрастает</w:t>
      </w:r>
      <w:r w:rsidRPr="001D7CF7">
        <w:t>, если они не могут позволить себе услуги адвоката или</w:t>
      </w:r>
      <w:r>
        <w:t xml:space="preserve"> вообще</w:t>
      </w:r>
      <w:r w:rsidRPr="001D7CF7">
        <w:t xml:space="preserve"> воспользоваться юридической помощью. Ст</w:t>
      </w:r>
      <w:r w:rsidRPr="001D7CF7">
        <w:t>а</w:t>
      </w:r>
      <w:r w:rsidRPr="001D7CF7">
        <w:t>ло очевидно, что доступ к адвокату выступает весьма целесообразным средс</w:t>
      </w:r>
      <w:r w:rsidRPr="001D7CF7">
        <w:t>т</w:t>
      </w:r>
      <w:r w:rsidRPr="001D7CF7">
        <w:t>вом защиты от коррумпированных должностных лиц, а также превентивной г</w:t>
      </w:r>
      <w:r w:rsidRPr="001D7CF7">
        <w:t>а</w:t>
      </w:r>
      <w:r w:rsidRPr="001D7CF7">
        <w:t>рантией от пыток и др</w:t>
      </w:r>
      <w:r w:rsidRPr="001D7CF7">
        <w:t>у</w:t>
      </w:r>
      <w:r w:rsidRPr="001D7CF7">
        <w:t>гого неправомерного обращения.</w:t>
      </w:r>
    </w:p>
    <w:p w:rsidR="00025119" w:rsidRDefault="00025119" w:rsidP="005A135B">
      <w:pPr>
        <w:pStyle w:val="SingleTxtGR"/>
      </w:pPr>
      <w:r w:rsidRPr="001D7CF7">
        <w:t>81.</w:t>
      </w:r>
      <w:r w:rsidRPr="001D7CF7">
        <w:tab/>
        <w:t xml:space="preserve">Те, кто совершают акты коррупции, будут пытаться </w:t>
      </w:r>
      <w:r>
        <w:t>остаться незамече</w:t>
      </w:r>
      <w:r>
        <w:t>н</w:t>
      </w:r>
      <w:r>
        <w:t>ными</w:t>
      </w:r>
      <w:r w:rsidRPr="001D7CF7">
        <w:t xml:space="preserve"> и сохранить сво</w:t>
      </w:r>
      <w:r>
        <w:t>и</w:t>
      </w:r>
      <w:r w:rsidRPr="001D7CF7">
        <w:t xml:space="preserve"> влиятельн</w:t>
      </w:r>
      <w:r>
        <w:t>ые</w:t>
      </w:r>
      <w:r w:rsidRPr="001D7CF7">
        <w:t xml:space="preserve"> по</w:t>
      </w:r>
      <w:r>
        <w:t>сты</w:t>
      </w:r>
      <w:r w:rsidRPr="001D7CF7">
        <w:t xml:space="preserve">. При этом они, по всей вероятности, будут еще </w:t>
      </w:r>
      <w:r>
        <w:t>сильнее</w:t>
      </w:r>
      <w:r w:rsidRPr="001D7CF7">
        <w:t xml:space="preserve"> подавлять находящихся в уязвимом положении лиц, которые, скорее всего, будут </w:t>
      </w:r>
      <w:r>
        <w:t>еще больше</w:t>
      </w:r>
      <w:r w:rsidRPr="001D7CF7">
        <w:t xml:space="preserve"> эксплуат</w:t>
      </w:r>
      <w:r>
        <w:t>ироваться</w:t>
      </w:r>
      <w:r w:rsidRPr="001D7CF7">
        <w:t>, и им будет еще труднее з</w:t>
      </w:r>
      <w:r w:rsidRPr="001D7CF7">
        <w:t>а</w:t>
      </w:r>
      <w:r w:rsidRPr="001D7CF7">
        <w:t>щитить самих себя.</w:t>
      </w:r>
      <w:r w:rsidR="00F15DB7">
        <w:t xml:space="preserve"> </w:t>
      </w:r>
      <w:r>
        <w:t>Таким образом, коррупция усиливает их отчуждение и ди</w:t>
      </w:r>
      <w:r>
        <w:t>с</w:t>
      </w:r>
      <w:r>
        <w:t>криминацию, кот</w:t>
      </w:r>
      <w:r>
        <w:t>о</w:t>
      </w:r>
      <w:r>
        <w:t>рой они подвергаются.</w:t>
      </w:r>
    </w:p>
    <w:p w:rsidR="00025119" w:rsidRDefault="00025119" w:rsidP="005A135B">
      <w:pPr>
        <w:pStyle w:val="SingleTxtGR"/>
      </w:pPr>
      <w:r>
        <w:t>82.</w:t>
      </w:r>
      <w:r>
        <w:tab/>
        <w:t>Соответственно существует тесная корреляция между уровнями корру</w:t>
      </w:r>
      <w:r>
        <w:t>п</w:t>
      </w:r>
      <w:r>
        <w:t>ции в каком-либо государстве и масштабами распространения там пыток и н</w:t>
      </w:r>
      <w:r>
        <w:t>е</w:t>
      </w:r>
      <w:r>
        <w:t>правомерного обращения. Одна из причин заключается в том, что в государс</w:t>
      </w:r>
      <w:r>
        <w:t>т</w:t>
      </w:r>
      <w:r>
        <w:t>вах со значительными уровнями коррупции может быть меньше возможностей для выявления или судебного преследования случаев пыток и неправомерного обращения. Борьбе за поощрение прав человека и противодействию коррупции присущи много общих посылок. Коррумпированное правительство, отверга</w:t>
      </w:r>
      <w:r>
        <w:t>ю</w:t>
      </w:r>
      <w:r>
        <w:t>щее транспарентность и подотчетность, вряд ли б</w:t>
      </w:r>
      <w:r>
        <w:t>у</w:t>
      </w:r>
      <w:r>
        <w:t>дет уважать права человека. В действительности отказ от транспарентности и подотчетности может затру</w:t>
      </w:r>
      <w:r>
        <w:t>д</w:t>
      </w:r>
      <w:r>
        <w:t>нять защиту прав человека или же делать ее просто невозможной. Поэтому и</w:t>
      </w:r>
      <w:r>
        <w:t>с</w:t>
      </w:r>
      <w:r>
        <w:t>коренение коррупции и предупреждение пыток и неправомерного обращения является не разрозненными, а взаимозависимыми процессами. Коррупция внутри гос</w:t>
      </w:r>
      <w:r>
        <w:t>у</w:t>
      </w:r>
      <w:r>
        <w:t>дарства серьезно препятствует ликвидации пыток и неправомерного обращения. Пр</w:t>
      </w:r>
      <w:r>
        <w:t>е</w:t>
      </w:r>
      <w:r>
        <w:t>дупреждение пыток и неправомерного обращения также имеет крайне важное значение для предупреждения и устранения коррупции. Треб</w:t>
      </w:r>
      <w:r>
        <w:t>у</w:t>
      </w:r>
      <w:r>
        <w:t>ется бдительный подход, и там, где коррупция существует, ее надо надлежащим образом искоренять и пресекать в соответствии с зак</w:t>
      </w:r>
      <w:r>
        <w:t>о</w:t>
      </w:r>
      <w:r>
        <w:t>ном.</w:t>
      </w:r>
    </w:p>
    <w:p w:rsidR="00025119" w:rsidRDefault="00025119" w:rsidP="005A135B">
      <w:pPr>
        <w:pStyle w:val="H1GR"/>
      </w:pPr>
      <w:r>
        <w:tab/>
        <w:t>Е.</w:t>
      </w:r>
      <w:r>
        <w:tab/>
        <w:t>Благодатная почва для процветания коррупция</w:t>
      </w:r>
    </w:p>
    <w:p w:rsidR="00025119" w:rsidRDefault="00025119" w:rsidP="005A135B">
      <w:pPr>
        <w:pStyle w:val="SingleTxtGR"/>
      </w:pPr>
      <w:r>
        <w:t>83.</w:t>
      </w:r>
      <w:r>
        <w:tab/>
        <w:t>На взаимосвязь между пытками и неправомерным обращением и корру</w:t>
      </w:r>
      <w:r>
        <w:t>п</w:t>
      </w:r>
      <w:r>
        <w:t>цией влияет степень экономического развития и масштабы действующей дем</w:t>
      </w:r>
      <w:r>
        <w:t>о</w:t>
      </w:r>
      <w:r>
        <w:t>кратии внутри государства. Хотя порой и считается, что коррупция более ра</w:t>
      </w:r>
      <w:r>
        <w:t>с</w:t>
      </w:r>
      <w:r>
        <w:t>пространена в развива</w:t>
      </w:r>
      <w:r>
        <w:t>ю</w:t>
      </w:r>
      <w:r>
        <w:t>щихся, чем в развитых странах, дело не всегда обстоит так. В реальности некот</w:t>
      </w:r>
      <w:r>
        <w:t>о</w:t>
      </w:r>
      <w:r>
        <w:t>рые развитые страны и корпорации из развитого мира несут ответственность за ко</w:t>
      </w:r>
      <w:r>
        <w:t>р</w:t>
      </w:r>
      <w:r>
        <w:t>рупцию в развивающихся странах. Хотя коррупция в развитых странах зачастую н</w:t>
      </w:r>
      <w:r>
        <w:t>о</w:t>
      </w:r>
      <w:r>
        <w:t>сит более изощренный, утонченный и менее различимый характер по сравнению с развивающимися странами и, следов</w:t>
      </w:r>
      <w:r>
        <w:t>а</w:t>
      </w:r>
      <w:r>
        <w:t>тельно, ее случаи труднее выявить, это отнюдь не о</w:t>
      </w:r>
      <w:r>
        <w:t>з</w:t>
      </w:r>
      <w:r>
        <w:t>начает, что она отсутствует. Однако в целом для демократических государств с сильными экономиками х</w:t>
      </w:r>
      <w:r>
        <w:t>а</w:t>
      </w:r>
      <w:r>
        <w:t>рактерно меньшее число случаев нарушений прав человека.</w:t>
      </w:r>
    </w:p>
    <w:p w:rsidR="00025119" w:rsidRDefault="00025119" w:rsidP="005A135B">
      <w:pPr>
        <w:pStyle w:val="SingleTxtGR"/>
      </w:pPr>
      <w:r>
        <w:t>84.</w:t>
      </w:r>
      <w:r>
        <w:tab/>
        <w:t>В контексте пыток и другого неправомерного обращения это может об</w:t>
      </w:r>
      <w:r>
        <w:t>ъ</w:t>
      </w:r>
      <w:r>
        <w:t>ясняться р</w:t>
      </w:r>
      <w:r>
        <w:t>я</w:t>
      </w:r>
      <w:r w:rsidR="00F15DB7">
        <w:t>дом причин:</w:t>
      </w:r>
    </w:p>
    <w:p w:rsidR="00025119" w:rsidRDefault="00F15DB7" w:rsidP="005A135B">
      <w:pPr>
        <w:pStyle w:val="SingleTxtGR"/>
      </w:pPr>
      <w:r>
        <w:tab/>
        <w:t>а)</w:t>
      </w:r>
      <w:r>
        <w:tab/>
        <w:t>г</w:t>
      </w:r>
      <w:r w:rsidR="00025119">
        <w:t>осударства отличаются по своим финансовым возможностям с</w:t>
      </w:r>
      <w:r>
        <w:t xml:space="preserve"> </w:t>
      </w:r>
      <w:r w:rsidR="00025119">
        <w:t>точки зрения достижения единого приемлемого стандарта, отражающего усл</w:t>
      </w:r>
      <w:r w:rsidR="00025119">
        <w:t>о</w:t>
      </w:r>
      <w:r w:rsidR="00025119">
        <w:t>вия содержания под стражей. Там, где общие условия содержания под стр</w:t>
      </w:r>
      <w:r w:rsidR="00025119">
        <w:t>а</w:t>
      </w:r>
      <w:r w:rsidR="00025119">
        <w:t>жей не соответствуют минимальным приемлемым нормам, больше вероятность т</w:t>
      </w:r>
      <w:r w:rsidR="00025119">
        <w:t>о</w:t>
      </w:r>
      <w:r w:rsidR="00025119">
        <w:t>го, что коррумпированный тюремный персонал может вымогать деньги у з</w:t>
      </w:r>
      <w:r w:rsidR="00025119">
        <w:t>а</w:t>
      </w:r>
      <w:r w:rsidR="00025119">
        <w:t>ключенных, располагающих финансовыми средствами, которые позволяют им получить некоторы</w:t>
      </w:r>
      <w:r>
        <w:t>е привилегии, услуги или льготы;</w:t>
      </w:r>
    </w:p>
    <w:p w:rsidR="00025119" w:rsidRDefault="00025119" w:rsidP="005A135B">
      <w:pPr>
        <w:pStyle w:val="SingleTxtGR"/>
      </w:pPr>
      <w:r>
        <w:tab/>
      </w:r>
      <w:r>
        <w:rPr>
          <w:lang w:val="en-US"/>
        </w:rPr>
        <w:t>b</w:t>
      </w:r>
      <w:r w:rsidRPr="005547D9">
        <w:t>)</w:t>
      </w:r>
      <w:r w:rsidRPr="005547D9">
        <w:tab/>
      </w:r>
      <w:r w:rsidR="00F15DB7">
        <w:t>г</w:t>
      </w:r>
      <w:r>
        <w:t>осударственные служащие в странах с неустойчивыми правител</w:t>
      </w:r>
      <w:r>
        <w:t>ь</w:t>
      </w:r>
      <w:r>
        <w:t>ствами, включая те, которые пережили войну и политическую нестабильность, могут с большей готовностью использовать насилие для сохранения контроля над политизированным населением. В условиях, при которых насилие стан</w:t>
      </w:r>
      <w:r>
        <w:t>о</w:t>
      </w:r>
      <w:r>
        <w:t>вится нормой, такие проявления коррупции, как вымогательство денег под предлогом защиты, скорее будут иметь м</w:t>
      </w:r>
      <w:r>
        <w:t>е</w:t>
      </w:r>
      <w:r w:rsidR="00F15DB7">
        <w:t>сто;</w:t>
      </w:r>
    </w:p>
    <w:p w:rsidR="00025119" w:rsidRDefault="00D41C41" w:rsidP="005A135B">
      <w:pPr>
        <w:pStyle w:val="SingleTxtGR"/>
      </w:pPr>
      <w:r>
        <w:tab/>
        <w:t>с)</w:t>
      </w:r>
      <w:r>
        <w:tab/>
        <w:t>в</w:t>
      </w:r>
      <w:r w:rsidR="00025119">
        <w:t xml:space="preserve"> странах, где государственные служащие могут не получать на</w:t>
      </w:r>
      <w:r w:rsidR="00025119">
        <w:t>д</w:t>
      </w:r>
      <w:r w:rsidR="00025119">
        <w:t>лежащее или достаточное вознаграждение за свой труд, сильнее соблазн к ко</w:t>
      </w:r>
      <w:r w:rsidR="00025119">
        <w:t>р</w:t>
      </w:r>
      <w:r w:rsidR="00025119">
        <w:t>рупции, злоупо</w:t>
      </w:r>
      <w:r w:rsidR="00025119">
        <w:t>т</w:t>
      </w:r>
      <w:r w:rsidR="00025119">
        <w:t>реблению властью и вымогательству денег у содержащихся под стражей лиц, находящихся в уязвимом положении, в качестве средства допо</w:t>
      </w:r>
      <w:r w:rsidR="00025119">
        <w:t>л</w:t>
      </w:r>
      <w:r w:rsidR="00025119">
        <w:t>нительного увеличения заработка. Аналогичным образом в учреждениях, где ощущается нехватка персонала, больше вероятность наличия системы "тюре</w:t>
      </w:r>
      <w:r w:rsidR="00025119">
        <w:t>м</w:t>
      </w:r>
      <w:r w:rsidR="00025119">
        <w:t>ных авторитетов", которые сами могут польз</w:t>
      </w:r>
      <w:r w:rsidR="00025119">
        <w:t>о</w:t>
      </w:r>
      <w:r w:rsidR="00025119">
        <w:t>ваться своим привилегированным положением для вымогательства денег или льгот у других, более уязвимых, з</w:t>
      </w:r>
      <w:r w:rsidR="00025119">
        <w:t>а</w:t>
      </w:r>
      <w:r w:rsidR="00025119">
        <w:t>ключенных.</w:t>
      </w:r>
    </w:p>
    <w:p w:rsidR="00025119" w:rsidRDefault="00025119" w:rsidP="005A135B">
      <w:pPr>
        <w:pStyle w:val="SingleTxtGR"/>
      </w:pPr>
      <w:r>
        <w:t>85.</w:t>
      </w:r>
      <w:r>
        <w:tab/>
        <w:t>По аналогии с этим более широко распространены коррупция и злоупо</w:t>
      </w:r>
      <w:r>
        <w:t>т</w:t>
      </w:r>
      <w:r>
        <w:t>ребления правами человека в государствах, которые не придерживаются дем</w:t>
      </w:r>
      <w:r>
        <w:t>о</w:t>
      </w:r>
      <w:r>
        <w:t>кратических принципов и верховенства права. Открытое участие государств в международной политической и экономической жизни, согласно междунаро</w:t>
      </w:r>
      <w:r>
        <w:t>д</w:t>
      </w:r>
      <w:r>
        <w:t>ному праву и в рамках международных организаций, скорее будет оказывать благотворное воздействие на соблюдение ими прав человека. Это также расш</w:t>
      </w:r>
      <w:r>
        <w:t>и</w:t>
      </w:r>
      <w:r>
        <w:t>ряет возможности для оказания внешнего давления, т</w:t>
      </w:r>
      <w:r>
        <w:t>а</w:t>
      </w:r>
      <w:r>
        <w:t>кого как обусловливание предоставления помощи соблюдением международных правозащитных норм, транспарентностью и благим управлением.</w:t>
      </w:r>
    </w:p>
    <w:p w:rsidR="00025119" w:rsidRDefault="00025119" w:rsidP="005A135B">
      <w:pPr>
        <w:pStyle w:val="SingleTxtGR"/>
      </w:pPr>
      <w:r>
        <w:t>86.</w:t>
      </w:r>
      <w:r>
        <w:tab/>
        <w:t>Еще одним важным элементом служит образование и подготовка госуда</w:t>
      </w:r>
      <w:r>
        <w:t>р</w:t>
      </w:r>
      <w:r>
        <w:t xml:space="preserve">ственных служащих. Слабые критерии отбора и ненадлежащая подготовка, довлеющий эффект предыдущего насилия и халатность </w:t>
      </w:r>
      <w:r w:rsidR="008627B5">
        <w:t xml:space="preserve">или безразличие </w:t>
      </w:r>
      <w:r>
        <w:t>тех, кто стоит у руководства, поощряют государственных служащих к коррупции и репрессалиям, которые зачастую совершаются безнаказанно. Когда коррумп</w:t>
      </w:r>
      <w:r>
        <w:t>и</w:t>
      </w:r>
      <w:r>
        <w:t>рованные или недобросовестные государственные служащие не подвергаются внешнему независимому контролю, масштабы пыток и неправомерного обр</w:t>
      </w:r>
      <w:r>
        <w:t>а</w:t>
      </w:r>
      <w:r>
        <w:t>щения значительно выше. Транспарентность и подотчетность внутри госуда</w:t>
      </w:r>
      <w:r>
        <w:t>р</w:t>
      </w:r>
      <w:r>
        <w:t>ственной системы являются предварительными условиями обеспечения того, чтобы такие действия не остались сокрытыми и безнаказанными. Нет ничего удивительного в том, что указанные принципы, как правило, не соблюдаются в государствах, где господствует коррупция. Расширение транспарентности и подотчетности внутри государственной системы выступает важным средством борьбы с пытками и неправомерным обращением и с коррупцией. Нельзя пер</w:t>
      </w:r>
      <w:r>
        <w:t>е</w:t>
      </w:r>
      <w:r>
        <w:t>оценить значимость того, чтобы государство уважало и поддерживало демокр</w:t>
      </w:r>
      <w:r>
        <w:t>а</w:t>
      </w:r>
      <w:r>
        <w:t>тические принципы и верховенство права, включая транспарентность и подо</w:t>
      </w:r>
      <w:r>
        <w:t>т</w:t>
      </w:r>
      <w:r>
        <w:t xml:space="preserve">четность. </w:t>
      </w:r>
    </w:p>
    <w:p w:rsidR="00025119" w:rsidRDefault="00025119" w:rsidP="005A135B">
      <w:pPr>
        <w:pStyle w:val="H1GR"/>
      </w:pPr>
      <w:r>
        <w:tab/>
      </w:r>
      <w:r>
        <w:rPr>
          <w:lang w:val="en-US"/>
        </w:rPr>
        <w:t>F</w:t>
      </w:r>
      <w:r w:rsidRPr="00A52914">
        <w:t>.</w:t>
      </w:r>
      <w:r>
        <w:tab/>
        <w:t>Конфликт и политические репрессии: важность демократических принципов и верховенства права</w:t>
      </w:r>
    </w:p>
    <w:p w:rsidR="00025119" w:rsidRDefault="00025119" w:rsidP="005A135B">
      <w:pPr>
        <w:pStyle w:val="SingleTxtGR"/>
      </w:pPr>
      <w:r>
        <w:t>87.</w:t>
      </w:r>
      <w:r>
        <w:tab/>
        <w:t>В странах, переживающих или переживших конфликт, представители г</w:t>
      </w:r>
      <w:r>
        <w:t>о</w:t>
      </w:r>
      <w:r>
        <w:t>сударственной власти используют больше насилия, включая пытки и неправ</w:t>
      </w:r>
      <w:r>
        <w:t>о</w:t>
      </w:r>
      <w:r>
        <w:t>мерное обращение, чем в государствах, свободных от конфликта. В недемокр</w:t>
      </w:r>
      <w:r>
        <w:t>а</w:t>
      </w:r>
      <w:r>
        <w:t>тических государствах обостряется опасность подавления политических дисс</w:t>
      </w:r>
      <w:r>
        <w:t>и</w:t>
      </w:r>
      <w:r>
        <w:t>дентов посредством пыток, жестокого обращения, незаконных убийств, исче</w:t>
      </w:r>
      <w:r>
        <w:t>з</w:t>
      </w:r>
      <w:r>
        <w:t>новений и тюремного заключения. Демократии присуща тенденция к сдержив</w:t>
      </w:r>
      <w:r>
        <w:t>а</w:t>
      </w:r>
      <w:r>
        <w:t>нию репрессий, особенно в тех случаях, когда государственные служащие пр</w:t>
      </w:r>
      <w:r>
        <w:t>о</w:t>
      </w:r>
      <w:r>
        <w:t>шли надлежащие процедуры отбора и подготовку по вопросам прав человека и когда существуют независимые механизмы надзора. В демократической среде, где ценятся, в частности, транспарентность, свободная пресса, независимые механизмы надзора и обжалования, а также независимые и беспристрастные судебные органы и судебные процедуры, имеется больше информации в отн</w:t>
      </w:r>
      <w:r>
        <w:t>о</w:t>
      </w:r>
      <w:r>
        <w:t>шении деятельности государственных служащих и, следовательно, существует бо</w:t>
      </w:r>
      <w:r>
        <w:rPr>
          <w:rFonts w:ascii="Tahoma" w:hAnsi="Tahoma" w:cs="Tahoma"/>
        </w:rPr>
        <w:t></w:t>
      </w:r>
      <w:r>
        <w:t>льшая подотчетность, включая возбуждение в надлежащих случаях расслед</w:t>
      </w:r>
      <w:r>
        <w:t>о</w:t>
      </w:r>
      <w:r>
        <w:t>ваний и/или судебного преслед</w:t>
      </w:r>
      <w:r>
        <w:t>о</w:t>
      </w:r>
      <w:r>
        <w:t>вания.</w:t>
      </w:r>
    </w:p>
    <w:p w:rsidR="00025119" w:rsidRDefault="00025119" w:rsidP="005A135B">
      <w:pPr>
        <w:pStyle w:val="SingleTxtGR"/>
      </w:pPr>
      <w:r>
        <w:t>88.</w:t>
      </w:r>
      <w:r>
        <w:tab/>
        <w:t>Незаконная, несанкционированная или нерегулируемая деятельность с</w:t>
      </w:r>
      <w:r>
        <w:t>о</w:t>
      </w:r>
      <w:r>
        <w:t>трудников безопасности, преследующих частные интересы, может существенно способствовать общей атмосфере насилия или даже быть его основной прич</w:t>
      </w:r>
      <w:r>
        <w:t>и</w:t>
      </w:r>
      <w:r>
        <w:t>ной. Государство не должно никогда закрывать глаза на насилие, совершаемое его представителями, однако слишком часто из-за отсутствия демократии именно это и происходит. При демократии подотчетность правительства, п</w:t>
      </w:r>
      <w:r>
        <w:t>о</w:t>
      </w:r>
      <w:r>
        <w:t>строенная на основе избирательного процесса, подр</w:t>
      </w:r>
      <w:r>
        <w:t>а</w:t>
      </w:r>
      <w:r>
        <w:t>зумевает, что те, кто стоят у власти, напрямую заинтересованы в обеспечении подотчетности государс</w:t>
      </w:r>
      <w:r>
        <w:t>т</w:t>
      </w:r>
      <w:r>
        <w:t>венных служащих и установлении гарантии от коррупции и прим</w:t>
      </w:r>
      <w:r>
        <w:t>е</w:t>
      </w:r>
      <w:r>
        <w:t>нения пыток и жестокого обращения.</w:t>
      </w:r>
    </w:p>
    <w:p w:rsidR="00025119" w:rsidRDefault="00025119" w:rsidP="005A135B">
      <w:pPr>
        <w:pStyle w:val="H1GR"/>
      </w:pPr>
      <w:r>
        <w:tab/>
      </w:r>
      <w:r>
        <w:rPr>
          <w:lang w:val="en-US"/>
        </w:rPr>
        <w:t>G</w:t>
      </w:r>
      <w:r>
        <w:t>.</w:t>
      </w:r>
      <w:r>
        <w:tab/>
        <w:t>Мелкая коррупция</w:t>
      </w:r>
    </w:p>
    <w:p w:rsidR="00025119" w:rsidRDefault="00025119" w:rsidP="005A135B">
      <w:pPr>
        <w:pStyle w:val="SingleTxtGR"/>
      </w:pPr>
      <w:r>
        <w:t>89.</w:t>
      </w:r>
      <w:r>
        <w:tab/>
        <w:t>С мелкой коррупцией люди сталкиваются в своих отношениях с корру</w:t>
      </w:r>
      <w:r>
        <w:t>м</w:t>
      </w:r>
      <w:r>
        <w:t>пирова</w:t>
      </w:r>
      <w:r>
        <w:t>н</w:t>
      </w:r>
      <w:r>
        <w:t>ными государственными должностными лицами, включая полицейских, тюремных служащих и представителей служб безопасности, использующих свою власть себе на благо, тем самым усугубляя страдания тех, кому они на с</w:t>
      </w:r>
      <w:r>
        <w:t>а</w:t>
      </w:r>
      <w:r>
        <w:t>мом деле должны служить. Это может быть вызвано общей экономической о</w:t>
      </w:r>
      <w:r>
        <w:t>б</w:t>
      </w:r>
      <w:r>
        <w:t>становкой и/или низким жалованием должностных лиц, стремящихся дополн</w:t>
      </w:r>
      <w:r>
        <w:t>и</w:t>
      </w:r>
      <w:r>
        <w:t>тельно увеличить свой доход.</w:t>
      </w:r>
    </w:p>
    <w:p w:rsidR="00025119" w:rsidRPr="00D25122" w:rsidRDefault="00025119" w:rsidP="005A135B">
      <w:pPr>
        <w:pStyle w:val="SingleTxtGR"/>
      </w:pPr>
      <w:r>
        <w:t>90.</w:t>
      </w:r>
      <w:r>
        <w:tab/>
        <w:t>Подкомитет понимает, что пытки, жестокое обращение или угроза пыток или жестокого обращения могут использоваться государственными должнос</w:t>
      </w:r>
      <w:r>
        <w:t>т</w:t>
      </w:r>
      <w:r>
        <w:t>ными лицами, имеющими низкую зарплату, для вымогательства взяток в поря</w:t>
      </w:r>
      <w:r>
        <w:t>д</w:t>
      </w:r>
      <w:r>
        <w:t xml:space="preserve">ке злоупотребления своей властью. </w:t>
      </w:r>
      <w:r w:rsidRPr="00D25122">
        <w:t>Риск таких</w:t>
      </w:r>
      <w:r>
        <w:t xml:space="preserve"> </w:t>
      </w:r>
      <w:r w:rsidRPr="00D25122">
        <w:t>злоупотреблений</w:t>
      </w:r>
      <w:r>
        <w:t>, мотивирова</w:t>
      </w:r>
      <w:r>
        <w:t>н</w:t>
      </w:r>
      <w:r>
        <w:t xml:space="preserve">ных финансовыми причинами, можно уменьшить путем </w:t>
      </w:r>
      <w:r w:rsidRPr="00D25122">
        <w:t>обеспечения того,</w:t>
      </w:r>
      <w:r>
        <w:t xml:space="preserve"> чт</w:t>
      </w:r>
      <w:r>
        <w:t>о</w:t>
      </w:r>
      <w:r>
        <w:t>бы</w:t>
      </w:r>
      <w:r w:rsidRPr="00D25122">
        <w:t xml:space="preserve"> государственные служащие</w:t>
      </w:r>
      <w:r>
        <w:t xml:space="preserve"> на регулярной основе получали надлежащее </w:t>
      </w:r>
      <w:r w:rsidRPr="00D25122">
        <w:t>вознаграждение</w:t>
      </w:r>
      <w:r>
        <w:t>.</w:t>
      </w:r>
    </w:p>
    <w:p w:rsidR="00025119" w:rsidRDefault="00025119" w:rsidP="005A135B">
      <w:pPr>
        <w:pStyle w:val="SingleTxtGR"/>
      </w:pPr>
      <w:r w:rsidRPr="00D25122">
        <w:t>91</w:t>
      </w:r>
      <w:r>
        <w:t>.</w:t>
      </w:r>
      <w:r>
        <w:tab/>
      </w:r>
      <w:r w:rsidRPr="00D25122">
        <w:t xml:space="preserve">Такие риски </w:t>
      </w:r>
      <w:r>
        <w:t xml:space="preserve">можно </w:t>
      </w:r>
      <w:r w:rsidRPr="00D25122">
        <w:t>также</w:t>
      </w:r>
      <w:r>
        <w:t xml:space="preserve"> ослабить за счет того, что демократические</w:t>
      </w:r>
      <w:r w:rsidRPr="00D25122">
        <w:t xml:space="preserve"> обществ</w:t>
      </w:r>
      <w:r>
        <w:t xml:space="preserve">а, зиждущиеся на верховенстве права, будут устанавливать гарантии для защиты содержащихся под стражей лиц от угрозы неправомерного </w:t>
      </w:r>
      <w:r w:rsidRPr="00D25122">
        <w:t>обращ</w:t>
      </w:r>
      <w:r w:rsidRPr="00D25122">
        <w:t>е</w:t>
      </w:r>
      <w:r w:rsidRPr="00D25122">
        <w:t>ния. В частности, лиц</w:t>
      </w:r>
      <w:r>
        <w:t>а</w:t>
      </w:r>
      <w:r w:rsidRPr="00D25122">
        <w:t>,</w:t>
      </w:r>
      <w:r>
        <w:t xml:space="preserve"> содержащиеся под стражей </w:t>
      </w:r>
      <w:r w:rsidRPr="00D25122">
        <w:t>для допроса</w:t>
      </w:r>
      <w:r>
        <w:t>,</w:t>
      </w:r>
      <w:r w:rsidRPr="00D25122">
        <w:t xml:space="preserve"> или лиц</w:t>
      </w:r>
      <w:r>
        <w:t>а</w:t>
      </w:r>
      <w:r w:rsidRPr="00D25122">
        <w:t>, ожидаю</w:t>
      </w:r>
      <w:r>
        <w:t xml:space="preserve">щие суда, </w:t>
      </w:r>
      <w:r w:rsidRPr="00D25122">
        <w:t xml:space="preserve">должны </w:t>
      </w:r>
      <w:r>
        <w:t xml:space="preserve">иметь возможность доступа к </w:t>
      </w:r>
      <w:r w:rsidRPr="00D25122">
        <w:t xml:space="preserve">юридической </w:t>
      </w:r>
      <w:r>
        <w:t>консул</w:t>
      </w:r>
      <w:r>
        <w:t>ь</w:t>
      </w:r>
      <w:r>
        <w:t xml:space="preserve">тативной </w:t>
      </w:r>
      <w:r w:rsidRPr="00D25122">
        <w:t xml:space="preserve">помощи, </w:t>
      </w:r>
      <w:r>
        <w:t xml:space="preserve">врачебному освидетельствованию и медицинским услугам, должны иметь </w:t>
      </w:r>
      <w:r w:rsidRPr="00D25122">
        <w:t>возможность оспорить законность их задержания в судебных о</w:t>
      </w:r>
      <w:r w:rsidRPr="00D25122">
        <w:t>р</w:t>
      </w:r>
      <w:r w:rsidRPr="00D25122">
        <w:t xml:space="preserve">ганах и </w:t>
      </w:r>
      <w:r>
        <w:t xml:space="preserve">должны </w:t>
      </w:r>
      <w:r w:rsidRPr="00D25122">
        <w:t>иметь доступ к эффективным мех</w:t>
      </w:r>
      <w:r w:rsidRPr="00D25122">
        <w:t>а</w:t>
      </w:r>
      <w:r w:rsidRPr="00D25122">
        <w:t xml:space="preserve">низмам </w:t>
      </w:r>
      <w:r>
        <w:t xml:space="preserve">обжалования; все это снижает риск </w:t>
      </w:r>
      <w:r w:rsidRPr="00D25122">
        <w:t>вымога</w:t>
      </w:r>
      <w:r>
        <w:t>тельства. Способствовать распр</w:t>
      </w:r>
      <w:r>
        <w:t>о</w:t>
      </w:r>
      <w:r>
        <w:t>странению информации, касающейся такой незаконной практики, во всех эшелонах власти будут также независимые системы</w:t>
      </w:r>
      <w:r w:rsidRPr="00D25122">
        <w:t xml:space="preserve"> аудит</w:t>
      </w:r>
      <w:r>
        <w:t xml:space="preserve">а и </w:t>
      </w:r>
      <w:r w:rsidRPr="00D25122">
        <w:t>мониторинга</w:t>
      </w:r>
      <w:r>
        <w:t xml:space="preserve">. </w:t>
      </w:r>
    </w:p>
    <w:p w:rsidR="00025119" w:rsidRPr="00D25122" w:rsidRDefault="00025119" w:rsidP="005A135B">
      <w:pPr>
        <w:pStyle w:val="SingleTxtGR"/>
      </w:pPr>
      <w:r w:rsidRPr="00D25122">
        <w:t>92</w:t>
      </w:r>
      <w:r>
        <w:t>.</w:t>
      </w:r>
      <w:r>
        <w:tab/>
        <w:t>Тем не менее одни лишь указанные меры вряд ли приведут к предупре</w:t>
      </w:r>
      <w:r>
        <w:t>ж</w:t>
      </w:r>
      <w:r>
        <w:t xml:space="preserve">дению </w:t>
      </w:r>
      <w:r w:rsidRPr="00D25122">
        <w:t>злоупотребле</w:t>
      </w:r>
      <w:r>
        <w:t xml:space="preserve">ний. </w:t>
      </w:r>
      <w:r w:rsidRPr="00D25122">
        <w:t>Соответственно, существует</w:t>
      </w:r>
      <w:r>
        <w:t xml:space="preserve"> необходимость в про</w:t>
      </w:r>
      <w:r w:rsidRPr="00D25122">
        <w:t>а</w:t>
      </w:r>
      <w:r w:rsidRPr="00D25122">
        <w:t>к</w:t>
      </w:r>
      <w:r w:rsidRPr="00D25122">
        <w:t>тивной полит</w:t>
      </w:r>
      <w:r w:rsidRPr="00D25122">
        <w:t>и</w:t>
      </w:r>
      <w:r>
        <w:t xml:space="preserve">ке, повышающей уровень как </w:t>
      </w:r>
      <w:r w:rsidRPr="00D25122">
        <w:t>образова</w:t>
      </w:r>
      <w:r>
        <w:t>ния, так</w:t>
      </w:r>
      <w:r w:rsidRPr="00D25122">
        <w:t xml:space="preserve"> и подотчетности. </w:t>
      </w:r>
      <w:r>
        <w:t>Надлежащая подготовка и</w:t>
      </w:r>
      <w:r w:rsidRPr="00D25122">
        <w:t xml:space="preserve"> образование </w:t>
      </w:r>
      <w:r>
        <w:t xml:space="preserve">полицейских и </w:t>
      </w:r>
      <w:r w:rsidRPr="00D25122">
        <w:t>сотрудников</w:t>
      </w:r>
      <w:r>
        <w:t xml:space="preserve"> пенитенц</w:t>
      </w:r>
      <w:r>
        <w:t>и</w:t>
      </w:r>
      <w:r>
        <w:t xml:space="preserve">арного персонала также </w:t>
      </w:r>
      <w:r w:rsidRPr="00D25122">
        <w:t xml:space="preserve">имеет </w:t>
      </w:r>
      <w:r>
        <w:t>с</w:t>
      </w:r>
      <w:r>
        <w:t>у</w:t>
      </w:r>
      <w:r>
        <w:t>щественное</w:t>
      </w:r>
      <w:r w:rsidRPr="00D25122">
        <w:t xml:space="preserve"> значение для</w:t>
      </w:r>
      <w:r>
        <w:t xml:space="preserve"> борьбы с </w:t>
      </w:r>
      <w:r w:rsidRPr="00D25122">
        <w:t>коррупци</w:t>
      </w:r>
      <w:r>
        <w:t>ей</w:t>
      </w:r>
      <w:r w:rsidRPr="00D25122">
        <w:t xml:space="preserve"> и примене</w:t>
      </w:r>
      <w:r>
        <w:t>нием</w:t>
      </w:r>
      <w:r w:rsidRPr="00D25122">
        <w:t xml:space="preserve"> насилия</w:t>
      </w:r>
      <w:r>
        <w:t xml:space="preserve"> и защиты от них.</w:t>
      </w:r>
      <w:r w:rsidRPr="00D25122">
        <w:t xml:space="preserve"> Государствам следует</w:t>
      </w:r>
      <w:r>
        <w:t xml:space="preserve"> исходить из р</w:t>
      </w:r>
      <w:r>
        <w:t>у</w:t>
      </w:r>
      <w:r>
        <w:t xml:space="preserve">ководящих указаний </w:t>
      </w:r>
      <w:r w:rsidRPr="00D25122">
        <w:t>Подкомитета в этой св</w:t>
      </w:r>
      <w:r w:rsidRPr="00D25122">
        <w:t>я</w:t>
      </w:r>
      <w:r>
        <w:t>зи (</w:t>
      </w:r>
      <w:r w:rsidRPr="00D25122">
        <w:rPr>
          <w:lang w:val="en-US"/>
        </w:rPr>
        <w:t>CAT</w:t>
      </w:r>
      <w:r w:rsidRPr="00D25122">
        <w:t>/</w:t>
      </w:r>
      <w:r w:rsidRPr="00D25122">
        <w:rPr>
          <w:lang w:val="en-US"/>
        </w:rPr>
        <w:t>OP</w:t>
      </w:r>
      <w:r w:rsidRPr="00D25122">
        <w:t>/15/</w:t>
      </w:r>
      <w:r w:rsidRPr="00D25122">
        <w:rPr>
          <w:lang w:val="en-US"/>
        </w:rPr>
        <w:t>R</w:t>
      </w:r>
      <w:r w:rsidRPr="00D25122">
        <w:t>.7/</w:t>
      </w:r>
      <w:r w:rsidRPr="00D25122">
        <w:rPr>
          <w:lang w:val="en-US"/>
        </w:rPr>
        <w:t>Rev</w:t>
      </w:r>
      <w:r>
        <w:t>.1</w:t>
      </w:r>
      <w:r w:rsidRPr="00D25122">
        <w:t>)</w:t>
      </w:r>
      <w:r>
        <w:t>.</w:t>
      </w:r>
    </w:p>
    <w:p w:rsidR="00025119" w:rsidRDefault="00025119" w:rsidP="005A135B">
      <w:pPr>
        <w:pStyle w:val="SingleTxtGR"/>
      </w:pPr>
      <w:r w:rsidRPr="00D25122">
        <w:t>93</w:t>
      </w:r>
      <w:r>
        <w:t>.</w:t>
      </w:r>
      <w:r>
        <w:tab/>
        <w:t>Кроме того, важными элементами четко структурированной системы, снижающей вероятность мелкой коррупции и противодействующей безнаказа</w:t>
      </w:r>
      <w:r>
        <w:t>н</w:t>
      </w:r>
      <w:r>
        <w:t>ности, выступают адекватные законы, независимые судебные органы, профе</w:t>
      </w:r>
      <w:r>
        <w:t>с</w:t>
      </w:r>
      <w:r>
        <w:t xml:space="preserve">сионально подготовленные кадры, </w:t>
      </w:r>
      <w:r w:rsidRPr="00D25122">
        <w:t xml:space="preserve">активное гражданское общество и свободная пресса и </w:t>
      </w:r>
      <w:r>
        <w:t xml:space="preserve">другие </w:t>
      </w:r>
      <w:r w:rsidRPr="00D25122">
        <w:t>средства массовой информации</w:t>
      </w:r>
      <w:r>
        <w:t xml:space="preserve">. </w:t>
      </w:r>
    </w:p>
    <w:p w:rsidR="00025119" w:rsidRPr="00703678" w:rsidRDefault="00025119" w:rsidP="005A135B">
      <w:pPr>
        <w:pStyle w:val="H1GR"/>
      </w:pPr>
      <w:r>
        <w:tab/>
      </w:r>
      <w:r w:rsidRPr="00703678">
        <w:rPr>
          <w:lang w:val="en-US"/>
        </w:rPr>
        <w:t>H</w:t>
      </w:r>
      <w:r w:rsidRPr="00703678">
        <w:t>.</w:t>
      </w:r>
      <w:r w:rsidRPr="00703678">
        <w:tab/>
        <w:t xml:space="preserve">Опыт Подкомитета в </w:t>
      </w:r>
      <w:r>
        <w:t xml:space="preserve">деле решения проблемы </w:t>
      </w:r>
      <w:r w:rsidRPr="00703678">
        <w:t>мелкой коррупции и пыток и</w:t>
      </w:r>
      <w:r>
        <w:t xml:space="preserve"> неправомерного </w:t>
      </w:r>
      <w:r w:rsidRPr="00703678">
        <w:t>обращения</w:t>
      </w:r>
    </w:p>
    <w:p w:rsidR="00025119" w:rsidRPr="00D25122" w:rsidRDefault="00025119" w:rsidP="005A135B">
      <w:pPr>
        <w:pStyle w:val="SingleTxtGR"/>
      </w:pPr>
      <w:r w:rsidRPr="00D25122">
        <w:t>94</w:t>
      </w:r>
      <w:r>
        <w:t>.</w:t>
      </w:r>
      <w:r>
        <w:tab/>
      </w:r>
      <w:r w:rsidRPr="00D25122">
        <w:t>Учитывая направленность работы</w:t>
      </w:r>
      <w:r>
        <w:t xml:space="preserve"> Подкомитета в ходе страновых </w:t>
      </w:r>
      <w:r w:rsidRPr="00D25122">
        <w:t>пос</w:t>
      </w:r>
      <w:r w:rsidRPr="00D25122">
        <w:t>е</w:t>
      </w:r>
      <w:r w:rsidRPr="00D25122">
        <w:t>щений</w:t>
      </w:r>
      <w:r>
        <w:t xml:space="preserve">, среди различных видов </w:t>
      </w:r>
      <w:r w:rsidRPr="00D25122">
        <w:t>коррупции Подкомитет</w:t>
      </w:r>
      <w:r>
        <w:t xml:space="preserve"> чаще всего будет ста</w:t>
      </w:r>
      <w:r>
        <w:t>л</w:t>
      </w:r>
      <w:r>
        <w:t xml:space="preserve">киваться именно с </w:t>
      </w:r>
      <w:r w:rsidRPr="00D25122">
        <w:t>мел</w:t>
      </w:r>
      <w:r>
        <w:t>кой</w:t>
      </w:r>
      <w:r w:rsidRPr="00D25122">
        <w:t xml:space="preserve"> корруп</w:t>
      </w:r>
      <w:r>
        <w:t>цией.</w:t>
      </w:r>
      <w:r w:rsidRPr="00D25122">
        <w:t xml:space="preserve"> В свете своего опыта Подкомитет счит</w:t>
      </w:r>
      <w:r w:rsidRPr="00D25122">
        <w:t>а</w:t>
      </w:r>
      <w:r w:rsidRPr="00D25122">
        <w:t>ет, что мелкая коррупция</w:t>
      </w:r>
      <w:r>
        <w:t>, которая</w:t>
      </w:r>
      <w:r w:rsidRPr="00D25122">
        <w:t xml:space="preserve"> совершается</w:t>
      </w:r>
      <w:r>
        <w:t xml:space="preserve"> </w:t>
      </w:r>
      <w:r w:rsidRPr="00D25122">
        <w:t>государст</w:t>
      </w:r>
      <w:r>
        <w:t>венными должнос</w:t>
      </w:r>
      <w:r>
        <w:t>т</w:t>
      </w:r>
      <w:r>
        <w:t>ными лицами, получающими недо</w:t>
      </w:r>
      <w:r>
        <w:t>с</w:t>
      </w:r>
      <w:r>
        <w:t xml:space="preserve">таточное жалованье, </w:t>
      </w:r>
      <w:r w:rsidRPr="00D25122">
        <w:t>широко распространена во многих местах содержания под стр</w:t>
      </w:r>
      <w:r w:rsidRPr="00D25122">
        <w:t>а</w:t>
      </w:r>
      <w:r w:rsidRPr="00D25122">
        <w:t>жей</w:t>
      </w:r>
      <w:r>
        <w:t>,</w:t>
      </w:r>
      <w:r w:rsidRPr="00D25122">
        <w:t xml:space="preserve"> и в частно</w:t>
      </w:r>
      <w:r>
        <w:t>сти</w:t>
      </w:r>
      <w:r w:rsidRPr="00D25122">
        <w:t xml:space="preserve"> в тюрьмах, </w:t>
      </w:r>
      <w:r>
        <w:t xml:space="preserve">затрагивая как лиц, находящихся под стражей до суда, так и </w:t>
      </w:r>
      <w:r w:rsidRPr="00D25122">
        <w:t>осужденных</w:t>
      </w:r>
      <w:r>
        <w:t xml:space="preserve"> заключенных.</w:t>
      </w:r>
    </w:p>
    <w:p w:rsidR="00025119" w:rsidRDefault="00025119" w:rsidP="005A135B">
      <w:pPr>
        <w:pStyle w:val="SingleTxtGR"/>
      </w:pPr>
      <w:r w:rsidRPr="00D25122">
        <w:t>95</w:t>
      </w:r>
      <w:r>
        <w:t>.</w:t>
      </w:r>
      <w:r>
        <w:tab/>
      </w:r>
      <w:r w:rsidRPr="00D25122">
        <w:t xml:space="preserve">Подкомитет часто </w:t>
      </w:r>
      <w:r>
        <w:t>наблюдает</w:t>
      </w:r>
      <w:r w:rsidRPr="00D25122">
        <w:t xml:space="preserve"> ситуации, </w:t>
      </w:r>
      <w:r>
        <w:t>при</w:t>
      </w:r>
      <w:r w:rsidRPr="00D25122">
        <w:t xml:space="preserve"> которых </w:t>
      </w:r>
      <w:r>
        <w:t xml:space="preserve">содержащиеся под стражей лица лишены самых элементарных и </w:t>
      </w:r>
      <w:r w:rsidRPr="00D25122">
        <w:t>необходимых</w:t>
      </w:r>
      <w:r>
        <w:t xml:space="preserve"> условий и</w:t>
      </w:r>
      <w:r w:rsidRPr="00D25122">
        <w:t xml:space="preserve"> удобств</w:t>
      </w:r>
      <w:r>
        <w:t>. Вполне очеви</w:t>
      </w:r>
      <w:r>
        <w:t>д</w:t>
      </w:r>
      <w:r>
        <w:t xml:space="preserve">но, что неудовлетворение базовых потребностей неизбежно привносит опасность </w:t>
      </w:r>
      <w:r w:rsidRPr="00D25122">
        <w:t>или вероятность</w:t>
      </w:r>
      <w:r>
        <w:t xml:space="preserve"> предоставления</w:t>
      </w:r>
      <w:r w:rsidRPr="00D25122">
        <w:t xml:space="preserve"> таких</w:t>
      </w:r>
      <w:r>
        <w:t xml:space="preserve"> условий и </w:t>
      </w:r>
      <w:r w:rsidRPr="00D25122">
        <w:t>удобств</w:t>
      </w:r>
      <w:r>
        <w:t xml:space="preserve"> только тем лицам, которые могут платить или по большей мере фактически за них платят. </w:t>
      </w:r>
    </w:p>
    <w:p w:rsidR="00025119" w:rsidRPr="00D25122" w:rsidRDefault="00025119" w:rsidP="005A135B">
      <w:pPr>
        <w:pStyle w:val="SingleTxtGR"/>
      </w:pPr>
      <w:r w:rsidRPr="00D25122">
        <w:t>96</w:t>
      </w:r>
      <w:r>
        <w:t>.</w:t>
      </w:r>
      <w:r>
        <w:tab/>
        <w:t>Иногда заведен такой порядок, при котором власти либо перекладывают повседневные функции, связанные с функционированием тюрем, на ряд "т</w:t>
      </w:r>
      <w:r>
        <w:t>ю</w:t>
      </w:r>
      <w:r>
        <w:t>ремных авторитетов" и так называемых "старших по камерам", либо попуст</w:t>
      </w:r>
      <w:r>
        <w:t>и</w:t>
      </w:r>
      <w:r>
        <w:t xml:space="preserve">тельствуют действиям паханов. </w:t>
      </w:r>
      <w:r w:rsidRPr="00D25122">
        <w:t xml:space="preserve">Подкомитет </w:t>
      </w:r>
      <w:r>
        <w:t>сталкивался со значительным к</w:t>
      </w:r>
      <w:r>
        <w:t>о</w:t>
      </w:r>
      <w:r>
        <w:t xml:space="preserve">личеством случаев </w:t>
      </w:r>
      <w:r w:rsidRPr="00D25122">
        <w:t>коррупции и злоупотребления</w:t>
      </w:r>
      <w:r>
        <w:t xml:space="preserve"> положением </w:t>
      </w:r>
      <w:r w:rsidRPr="00D25122">
        <w:t>со стороны</w:t>
      </w:r>
      <w:r>
        <w:t xml:space="preserve"> "старших по камерам" и других </w:t>
      </w:r>
      <w:r w:rsidRPr="00D25122">
        <w:t>заключенных</w:t>
      </w:r>
      <w:r>
        <w:t>,</w:t>
      </w:r>
      <w:r w:rsidRPr="00D25122">
        <w:t xml:space="preserve"> а та</w:t>
      </w:r>
      <w:r w:rsidRPr="00D25122">
        <w:t>к</w:t>
      </w:r>
      <w:r w:rsidRPr="00D25122">
        <w:t>же</w:t>
      </w:r>
      <w:r>
        <w:t xml:space="preserve"> тюремных надзирателей, которые</w:t>
      </w:r>
      <w:r w:rsidRPr="00D25122">
        <w:t xml:space="preserve"> также</w:t>
      </w:r>
      <w:r>
        <w:t xml:space="preserve"> практиковали </w:t>
      </w:r>
      <w:r w:rsidRPr="00D25122">
        <w:t xml:space="preserve">вымогательство и взяточничество </w:t>
      </w:r>
      <w:r>
        <w:t xml:space="preserve">наряду с </w:t>
      </w:r>
      <w:r w:rsidRPr="00D25122">
        <w:t>физ</w:t>
      </w:r>
      <w:r w:rsidRPr="00D25122">
        <w:t>и</w:t>
      </w:r>
      <w:r w:rsidRPr="00D25122">
        <w:t>че</w:t>
      </w:r>
      <w:r>
        <w:t xml:space="preserve">ским устрашением и </w:t>
      </w:r>
      <w:r w:rsidRPr="00D25122">
        <w:t>жесток</w:t>
      </w:r>
      <w:r>
        <w:t>им</w:t>
      </w:r>
      <w:r w:rsidRPr="00D25122">
        <w:t xml:space="preserve"> обраще</w:t>
      </w:r>
      <w:r>
        <w:t>нием по отношению к</w:t>
      </w:r>
      <w:r w:rsidRPr="00D25122">
        <w:t xml:space="preserve"> более уязвимым з</w:t>
      </w:r>
      <w:r w:rsidRPr="00D25122">
        <w:t>а</w:t>
      </w:r>
      <w:r w:rsidRPr="00D25122">
        <w:t>клю</w:t>
      </w:r>
      <w:r>
        <w:t>ченным.</w:t>
      </w:r>
    </w:p>
    <w:p w:rsidR="00025119" w:rsidRDefault="00025119" w:rsidP="005A135B">
      <w:pPr>
        <w:pStyle w:val="SingleTxtGR"/>
      </w:pPr>
      <w:r>
        <w:t>97.</w:t>
      </w:r>
      <w:r>
        <w:tab/>
        <w:t>Подкомитет часто слышал от содержащихся под стражей лиц о том, что они должны платить деньги "старшим по камерам", чтобы получать основные предметы первой необходимости и пользоваться своими основополагающими правами, и что часть</w:t>
      </w:r>
      <w:r w:rsidRPr="00F46571">
        <w:t xml:space="preserve"> </w:t>
      </w:r>
      <w:r>
        <w:t>заплаченных денег нередко идет тюремному персоналу. Даже доступ к медицинской п</w:t>
      </w:r>
      <w:r>
        <w:t>о</w:t>
      </w:r>
      <w:r>
        <w:t>мощи, посещения членов семьи, телефонные звонки и возможность подачи жалоб тюремной администрации могут быть об</w:t>
      </w:r>
      <w:r>
        <w:t>у</w:t>
      </w:r>
      <w:r>
        <w:t>словлены платежом мзды "старшим по камерам" или другим содержащимся под стражей лицам и тюремному персоналу. Подкомитет также сталкивался с с</w:t>
      </w:r>
      <w:r>
        <w:t>и</w:t>
      </w:r>
      <w:r>
        <w:t>туациями, когда те немногие, кто способен заплатить деньги, могут быть пом</w:t>
      </w:r>
      <w:r>
        <w:t>е</w:t>
      </w:r>
      <w:r>
        <w:t>щены в менее переполненные или лучше оборудованные камеры, и иметь более широкий доступ к инфраструктуре, и на них может распространяться гораздо менее строгий режим, чем на других заключенных. Такой режим может также предусматривать, в частности, свободу беспрепятственного передвижения по тюремной территории. Это все примеры мелкой коррупции, связанной с пытк</w:t>
      </w:r>
      <w:r>
        <w:t>а</w:t>
      </w:r>
      <w:r>
        <w:t>ми и другим неправомерным обращением, которые, по мнению Комитета, нео</w:t>
      </w:r>
      <w:r>
        <w:t>б</w:t>
      </w:r>
      <w:r>
        <w:t>ходимо искоренять в целях обеспечения того, чтобы лица, содержащиеся под стражей, не подвергались видам обращения, нарушающим ме</w:t>
      </w:r>
      <w:r>
        <w:t>ж</w:t>
      </w:r>
      <w:r>
        <w:t>дународные нормы.</w:t>
      </w:r>
    </w:p>
    <w:p w:rsidR="00025119" w:rsidRDefault="00025119" w:rsidP="005A135B">
      <w:pPr>
        <w:pStyle w:val="H1GR"/>
      </w:pPr>
      <w:r>
        <w:tab/>
      </w:r>
      <w:r>
        <w:rPr>
          <w:lang w:val="en-US"/>
        </w:rPr>
        <w:t>I</w:t>
      </w:r>
      <w:r>
        <w:t>.</w:t>
      </w:r>
      <w:r>
        <w:tab/>
        <w:t>Заключительные замечания</w:t>
      </w:r>
    </w:p>
    <w:p w:rsidR="00025119" w:rsidRDefault="00025119" w:rsidP="005A135B">
      <w:pPr>
        <w:pStyle w:val="SingleTxtGR"/>
      </w:pPr>
      <w:r>
        <w:t>98.</w:t>
      </w:r>
      <w:r>
        <w:tab/>
        <w:t>Пытки, жестокое обращение, злоупотребления правами человека в более широком смысле и коррупция неразрывно связаны; там, где выше уровень ко</w:t>
      </w:r>
      <w:r>
        <w:t>р</w:t>
      </w:r>
      <w:r>
        <w:t>рупции, обычно наблюдается больше случаев пыток и жестокого обращения. В государствах, в которых распространена коррупция, меньше вероятность в</w:t>
      </w:r>
      <w:r>
        <w:t>ы</w:t>
      </w:r>
      <w:r>
        <w:t>явления практики неправомерного обращения и/или принятия надлежащих мер по отношению к виновным. Таким образом, существование коррупции внутри государства серьезно препятствует усилиям по искоренению пыток и другого неправомерного обращения. В целях борьбы с пытками и неправомерным о</w:t>
      </w:r>
      <w:r>
        <w:t>б</w:t>
      </w:r>
      <w:r>
        <w:t>ращением государства должны предпринимать все надлежащие шаги по иск</w:t>
      </w:r>
      <w:r>
        <w:t>о</w:t>
      </w:r>
      <w:r>
        <w:t>ренению коррупции в соответствии с международным правом. Предупреждение пыток и жестокого обращения и предупреждение коррупции − это обязанность всех г</w:t>
      </w:r>
      <w:r>
        <w:t>о</w:t>
      </w:r>
      <w:r>
        <w:t>сударств, без каких-либо исключений.</w:t>
      </w:r>
    </w:p>
    <w:p w:rsidR="00025119" w:rsidRDefault="00025119" w:rsidP="005A135B">
      <w:pPr>
        <w:pStyle w:val="SingleTxtGR"/>
      </w:pPr>
      <w:r>
        <w:t>99.</w:t>
      </w:r>
      <w:r>
        <w:tab/>
        <w:t>Присутствуя во всех государствах, пытки и жестокое обращение и мелкая коррупция переплетаются с более широким контекстом, охватывающим дем</w:t>
      </w:r>
      <w:r>
        <w:t>о</w:t>
      </w:r>
      <w:r>
        <w:t>кратию, верховенство права и экономическую мощь государства. В экономич</w:t>
      </w:r>
      <w:r>
        <w:t>е</w:t>
      </w:r>
      <w:r>
        <w:t>ски уязвимых госуда</w:t>
      </w:r>
      <w:r>
        <w:t>р</w:t>
      </w:r>
      <w:r>
        <w:t>ствах может быть сильнее соблазн к коррупции, включая вымогательства с угрозой применения или фактическим применением насилия, в качестве средства дополнител</w:t>
      </w:r>
      <w:r>
        <w:t>ь</w:t>
      </w:r>
      <w:r>
        <w:t>ного увеличения дохода. Для ослабления этого риска существенно важно, чтобы государственные служащие получали аде</w:t>
      </w:r>
      <w:r>
        <w:t>к</w:t>
      </w:r>
      <w:r>
        <w:t>ватную заработную плату, соразмерную выполняемой ими работе, включая их ответственность за уязвимые группы. Аналогичным образом существенное зн</w:t>
      </w:r>
      <w:r>
        <w:t>а</w:t>
      </w:r>
      <w:r>
        <w:t>чение имеет правильная расстановка кадров, прохождение ими непрерывной подготовки с акцентом на важность прав человека и абсолютное запрещение пыток и жестокого обращения, а также абсолютно четкая установка на тот счет, что коррупции не будет попустительства и что по отношению к любому лицу, признанному виновным в коррупции и коррумпированной практике, будут пр</w:t>
      </w:r>
      <w:r>
        <w:t>и</w:t>
      </w:r>
      <w:r>
        <w:t>ниматься строгие м</w:t>
      </w:r>
      <w:r>
        <w:t>е</w:t>
      </w:r>
      <w:r>
        <w:t>ры.</w:t>
      </w:r>
    </w:p>
    <w:p w:rsidR="00025119" w:rsidRDefault="00025119" w:rsidP="005A135B">
      <w:pPr>
        <w:pStyle w:val="SingleTxtGR"/>
      </w:pPr>
      <w:r>
        <w:t>100.</w:t>
      </w:r>
      <w:r>
        <w:tab/>
        <w:t>Большую значимость для предупреждения пыток, жестокого обращения и коррупции имеют транспарентность и подотчетность. Демократия сдерживает репрессии, а в случае отсутствия демократии и верховенства права случаи п</w:t>
      </w:r>
      <w:r>
        <w:t>ы</w:t>
      </w:r>
      <w:r>
        <w:t>ток, жестокого обращения и коррупции, как правило, встречаются чаще, п</w:t>
      </w:r>
      <w:r>
        <w:t>о</w:t>
      </w:r>
      <w:r>
        <w:t>скольку указанные деяния остаются сокрытыми и безнаказанными. В демокр</w:t>
      </w:r>
      <w:r>
        <w:t>а</w:t>
      </w:r>
      <w:r>
        <w:t>тической среде, где ценятся, в частн</w:t>
      </w:r>
      <w:r>
        <w:t>о</w:t>
      </w:r>
      <w:r>
        <w:t>сти, транспарентность, свободная пресса, свобода информации, просвещение общественности в целях обуздания корру</w:t>
      </w:r>
      <w:r>
        <w:t>п</w:t>
      </w:r>
      <w:r>
        <w:t>ции и злоупотреблений правами человека, независимые механизмы надзора и обжалования, а также независимые и беспристрастные судебные органы и с</w:t>
      </w:r>
      <w:r>
        <w:t>у</w:t>
      </w:r>
      <w:r>
        <w:t>дебные процедуры, имеется больше информации в отношении деятельности г</w:t>
      </w:r>
      <w:r>
        <w:t>о</w:t>
      </w:r>
      <w:r>
        <w:t>сударственных служащих, и, следовательно, существует бо</w:t>
      </w:r>
      <w:r>
        <w:rPr>
          <w:rFonts w:ascii="Tahoma" w:hAnsi="Tahoma"/>
        </w:rPr>
        <w:t></w:t>
      </w:r>
      <w:r>
        <w:t>льшая подотче</w:t>
      </w:r>
      <w:r>
        <w:t>т</w:t>
      </w:r>
      <w:r>
        <w:t>ность. Соответственно, нельзя переоценить значимость уважения демократич</w:t>
      </w:r>
      <w:r>
        <w:t>е</w:t>
      </w:r>
      <w:r>
        <w:t>ских принципов в деле эффективного предупреждения и искоренения пыток, жестокого обращения и ко</w:t>
      </w:r>
      <w:r>
        <w:t>р</w:t>
      </w:r>
      <w:r>
        <w:t xml:space="preserve">рупции. </w:t>
      </w:r>
    </w:p>
    <w:p w:rsidR="00025119" w:rsidRDefault="00025119" w:rsidP="005A135B">
      <w:pPr>
        <w:pStyle w:val="HChGR"/>
      </w:pPr>
      <w:r>
        <w:tab/>
      </w:r>
      <w:r>
        <w:rPr>
          <w:lang w:val="en-US"/>
        </w:rPr>
        <w:t>VI</w:t>
      </w:r>
      <w:r>
        <w:t>.</w:t>
      </w:r>
      <w:r>
        <w:tab/>
        <w:t>Перспективы на будущее</w:t>
      </w:r>
    </w:p>
    <w:p w:rsidR="00025119" w:rsidRPr="00A56EA4" w:rsidRDefault="00025119" w:rsidP="005A135B">
      <w:pPr>
        <w:pStyle w:val="SingleTxtGR"/>
      </w:pPr>
      <w:r>
        <w:t>101.</w:t>
      </w:r>
      <w:r>
        <w:tab/>
        <w:t>Подкомитет опять-таки отреагировал на стоящие перед ним вызовы п</w:t>
      </w:r>
      <w:r>
        <w:t>о</w:t>
      </w:r>
      <w:r>
        <w:t>средством совершенствования своих практических методов работы в интересах усиления воздействия при одновременном повышении эффективности. В п</w:t>
      </w:r>
      <w:r>
        <w:t>о</w:t>
      </w:r>
      <w:r>
        <w:t>следние четыре года он по-новому построил свою работу в отношении НПМ. Он постепенно систематизир</w:t>
      </w:r>
      <w:r>
        <w:t>о</w:t>
      </w:r>
      <w:r>
        <w:t>вал свою внутреннюю деятельность в целях обеспечения того, чтобы положение во всех государствах-участниках постоянно находилось под тщательным наблюдением. Он обеспечил такую увязку своей программы посещений, при которой она служит неотъемлемым элементом его универсального подхода к реализации своего мандата. Он п</w:t>
      </w:r>
      <w:r>
        <w:t>о</w:t>
      </w:r>
      <w:r>
        <w:t>старался развивать сотрудничество с другими учреждениями Организации Объедине</w:t>
      </w:r>
      <w:r>
        <w:t>н</w:t>
      </w:r>
      <w:r>
        <w:t>ных Наций в целях активизации своего диалога с государствами-участниками и пр</w:t>
      </w:r>
      <w:r>
        <w:t>о</w:t>
      </w:r>
      <w:r>
        <w:t>должает предоставлять консультации и помощь государствам-участникам и, при посту</w:t>
      </w:r>
      <w:r>
        <w:t>п</w:t>
      </w:r>
      <w:r>
        <w:t>лении соответствующей просьбы, подписантам и другим сторонам, заинтерес</w:t>
      </w:r>
      <w:r>
        <w:t>о</w:t>
      </w:r>
      <w:r>
        <w:t>ванным в создании механизмов, совместимых с критериями Факультативного протокола, в к</w:t>
      </w:r>
      <w:r>
        <w:t>а</w:t>
      </w:r>
      <w:r>
        <w:t>честве исходной основы для участия в системе Факультативного протокола. Однако то, что может быть достигнуто в рамках существующих структур поддержки Комитета, небезгранично, и Подкомитет признает, что се</w:t>
      </w:r>
      <w:r>
        <w:t>й</w:t>
      </w:r>
      <w:r>
        <w:t>час он работает на пределе вообразимых возможностей. С учетом этого Подк</w:t>
      </w:r>
      <w:r>
        <w:t>о</w:t>
      </w:r>
      <w:r>
        <w:t>митет и построил свои планы на 2014 год.</w:t>
      </w:r>
    </w:p>
    <w:p w:rsidR="00025119" w:rsidRDefault="00025119" w:rsidP="005A135B">
      <w:pPr>
        <w:pStyle w:val="H1GR"/>
      </w:pPr>
      <w:r>
        <w:tab/>
        <w:t>А.</w:t>
      </w:r>
      <w:r>
        <w:tab/>
        <w:t>План работы на 2014 год</w:t>
      </w:r>
    </w:p>
    <w:p w:rsidR="00025119" w:rsidRDefault="00025119" w:rsidP="005A135B">
      <w:pPr>
        <w:pStyle w:val="SingleTxtGR"/>
      </w:pPr>
      <w:r>
        <w:t>102.</w:t>
      </w:r>
      <w:r>
        <w:tab/>
        <w:t>Подкомитет сожалеет, что в 2013 году он не смог восполнить то, что было упущено в 2012 году, когда из-за отсутствия достаточной секретариатской по</w:t>
      </w:r>
      <w:r>
        <w:t>д</w:t>
      </w:r>
      <w:r>
        <w:t>держки ему пришлось о</w:t>
      </w:r>
      <w:r>
        <w:t>т</w:t>
      </w:r>
      <w:r>
        <w:t>ложить одно посещение. В результате посещение Того, запланированное на 2013 год, пришлось отложить до 2014 года. Вместе с тем, поскольку Подкомитет считает крайне важным расширять круг своей деятел</w:t>
      </w:r>
      <w:r>
        <w:t>ь</w:t>
      </w:r>
      <w:r>
        <w:t>ности, учитывая увеличение числа государств-участников, на своей двадцатой сессии он постановил, что в 2014 году проведет восемь официальных посещ</w:t>
      </w:r>
      <w:r>
        <w:t>е</w:t>
      </w:r>
      <w:r>
        <w:t>ний: полномасштабные посещения в Азерба</w:t>
      </w:r>
      <w:r>
        <w:t>й</w:t>
      </w:r>
      <w:r>
        <w:t>джан, Никарагуа и Того (отложено с 2013 года); консультативные посещения в связи с НПМ в Эквадор, Мальту и Нидерланды; и консультативное посещение в связи с Факультативным проток</w:t>
      </w:r>
      <w:r>
        <w:t>о</w:t>
      </w:r>
      <w:r>
        <w:t xml:space="preserve">лом в Нигерию с последующим посещением в соответствии с пунктом 4 статьи 13 Факультативного протокола. </w:t>
      </w:r>
    </w:p>
    <w:p w:rsidR="00025119" w:rsidRDefault="00025119" w:rsidP="005A135B">
      <w:pPr>
        <w:pStyle w:val="SingleTxtGR"/>
      </w:pPr>
      <w:r>
        <w:t>103.</w:t>
      </w:r>
      <w:r>
        <w:tab/>
        <w:t>В дополнение к своей программе посещений и деятельности, связанной с НПМ, Подкомитет в настоящее время также использует свой веб-сайт и н</w:t>
      </w:r>
      <w:r>
        <w:t>а</w:t>
      </w:r>
      <w:r>
        <w:t>стоящий доклад для запрашивания замечаний и предложений в отношении ряда вопросов, по которым он развивает свое аналитическое мышление. Признавая, что конфиденциальность является первостепенным фактором для его функци</w:t>
      </w:r>
      <w:r>
        <w:t>о</w:t>
      </w:r>
      <w:r>
        <w:t>нирования, Подкомитет будет продолжать изыскивать потенциальные возмо</w:t>
      </w:r>
      <w:r>
        <w:t>ж</w:t>
      </w:r>
      <w:r>
        <w:t>ности для взаимодействия с другими органами и организациями, работа кот</w:t>
      </w:r>
      <w:r>
        <w:t>о</w:t>
      </w:r>
      <w:r>
        <w:t xml:space="preserve">рых сходна с его работой. </w:t>
      </w:r>
    </w:p>
    <w:p w:rsidR="00025119" w:rsidRDefault="00025119" w:rsidP="005A135B">
      <w:pPr>
        <w:pStyle w:val="H1GR"/>
      </w:pPr>
      <w:r>
        <w:tab/>
        <w:t>В.</w:t>
      </w:r>
      <w:r>
        <w:tab/>
        <w:t>Проблема ресурсов</w:t>
      </w:r>
    </w:p>
    <w:p w:rsidR="00025119" w:rsidRDefault="00025119" w:rsidP="005A135B">
      <w:pPr>
        <w:pStyle w:val="SingleTxtGR"/>
      </w:pPr>
      <w:r>
        <w:t>104.</w:t>
      </w:r>
      <w:r>
        <w:tab/>
        <w:t>В последние годы Подкомитет осознанно избегал длительных рассужд</w:t>
      </w:r>
      <w:r>
        <w:t>е</w:t>
      </w:r>
      <w:r>
        <w:t>ний по п</w:t>
      </w:r>
      <w:r>
        <w:t>о</w:t>
      </w:r>
      <w:r>
        <w:t>воду недостаточности ресурсов, выделяемых для его работы. Он по-прежнему понимает, что должен вести эффективную работу в рамках бюдже</w:t>
      </w:r>
      <w:r>
        <w:t>т</w:t>
      </w:r>
      <w:r>
        <w:t>ных ассигнований, выделяемых ему УВКПЧ в пределах общего бюджетного покрытия. Подкомитет весьма признателен тем государствам, которые, призн</w:t>
      </w:r>
      <w:r>
        <w:t>а</w:t>
      </w:r>
      <w:r>
        <w:t>вая неадекватность этого положения, различными путями стремятся к удовл</w:t>
      </w:r>
      <w:r>
        <w:t>е</w:t>
      </w:r>
      <w:r>
        <w:t xml:space="preserve">творению его потребностей. </w:t>
      </w:r>
    </w:p>
    <w:p w:rsidR="00025119" w:rsidRDefault="00025119" w:rsidP="005A135B">
      <w:pPr>
        <w:pStyle w:val="SingleTxtGR"/>
      </w:pPr>
      <w:r>
        <w:t>105.</w:t>
      </w:r>
      <w:r>
        <w:tab/>
        <w:t>Однако Подкомитету представляется, что в целях выполнения его н</w:t>
      </w:r>
      <w:r>
        <w:t>ы</w:t>
      </w:r>
      <w:r>
        <w:t>нешних планов на 2014 и последующие годы существенно важно иметь ст</w:t>
      </w:r>
      <w:r>
        <w:t>а</w:t>
      </w:r>
      <w:r>
        <w:t>бильный, основной секретариат для обслуживания его цикла работы; этого в последнее время, к сожалению, недостает. Программа работы Подкомитета на 2014 год требует как минимум т</w:t>
      </w:r>
      <w:r>
        <w:t>о</w:t>
      </w:r>
      <w:r>
        <w:t>го, чтобы укомплектование штатов основного секретариата Подкомитета было вновь таким же, как два года назад (два с</w:t>
      </w:r>
      <w:r>
        <w:t>о</w:t>
      </w:r>
      <w:r>
        <w:t>трудника категории общего обслуживания и три сотрудника категории специ</w:t>
      </w:r>
      <w:r>
        <w:t>а</w:t>
      </w:r>
      <w:r>
        <w:t>листов). Секретариат Подкомитета должен быть дополнительно укреплен в с</w:t>
      </w:r>
      <w:r>
        <w:t>о</w:t>
      </w:r>
      <w:r>
        <w:t>ответствии с рекомендацией Верховного комиссара, содержащейся в ее докладе об укреплении системы договорных органов по правам человека (А/66/860), в котором она признала необходимость в дополнительных ресурсах. Наряду со вспомог</w:t>
      </w:r>
      <w:r>
        <w:t>а</w:t>
      </w:r>
      <w:r>
        <w:t>тельными договоренностями, взятыми на себя другими сторонами, этого будет достаточно для обеспечения того, чтобы Подкомитет был в состо</w:t>
      </w:r>
      <w:r>
        <w:t>я</w:t>
      </w:r>
      <w:r>
        <w:t xml:space="preserve">нии выполнить свою запланированную программу работы на краткосрочную перспективу. </w:t>
      </w:r>
    </w:p>
    <w:p w:rsidR="00025119" w:rsidRDefault="00025119" w:rsidP="005A135B">
      <w:pPr>
        <w:pStyle w:val="SingleTxtGR"/>
      </w:pPr>
      <w:r>
        <w:t>106.</w:t>
      </w:r>
      <w:r>
        <w:tab/>
        <w:t>Лишь чисто гипотетическими выглядят предположения о том, каким о</w:t>
      </w:r>
      <w:r>
        <w:t>б</w:t>
      </w:r>
      <w:r>
        <w:t>разом в долгосрочной перспективе Подкомитет может и далее стремиться удо</w:t>
      </w:r>
      <w:r>
        <w:t>в</w:t>
      </w:r>
      <w:r>
        <w:t>летворять все более растущую потребность государств-участников и НПМ с</w:t>
      </w:r>
      <w:r>
        <w:t>о</w:t>
      </w:r>
      <w:r>
        <w:t>трудничать с Подкомитетом, чтобы добиться сокращения числа случае пыток, без кардинальной переоценки характера ассигнований, предусмотренных для его работы.</w:t>
      </w:r>
    </w:p>
    <w:p w:rsidR="00025119" w:rsidRPr="0017090B" w:rsidRDefault="00025119" w:rsidP="005A135B">
      <w:pPr>
        <w:spacing w:before="240"/>
        <w:jc w:val="center"/>
        <w:rPr>
          <w:u w:val="single"/>
        </w:rPr>
      </w:pPr>
      <w:r>
        <w:rPr>
          <w:u w:val="single"/>
        </w:rPr>
        <w:tab/>
      </w:r>
      <w:r>
        <w:rPr>
          <w:u w:val="single"/>
        </w:rPr>
        <w:tab/>
      </w:r>
      <w:r>
        <w:rPr>
          <w:u w:val="single"/>
        </w:rPr>
        <w:tab/>
      </w:r>
    </w:p>
    <w:sectPr w:rsidR="00025119" w:rsidRPr="0017090B"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C9" w:rsidRDefault="000740C9">
      <w:r>
        <w:rPr>
          <w:lang w:val="en-US"/>
        </w:rPr>
        <w:tab/>
      </w:r>
      <w:r>
        <w:separator/>
      </w:r>
    </w:p>
  </w:endnote>
  <w:endnote w:type="continuationSeparator" w:id="0">
    <w:p w:rsidR="000740C9" w:rsidRDefault="00074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6C" w:rsidRPr="00B74BE2" w:rsidRDefault="000D146C">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sidR="00565930">
      <w:rPr>
        <w:rStyle w:val="PageNumber"/>
        <w:noProof/>
      </w:rPr>
      <w:t>28</w:t>
    </w:r>
    <w:r>
      <w:rPr>
        <w:rStyle w:val="PageNumber"/>
      </w:rPr>
      <w:fldChar w:fldCharType="end"/>
    </w:r>
    <w:r>
      <w:rPr>
        <w:rStyle w:val="PageNumber"/>
        <w:lang w:val="en-US"/>
      </w:rPr>
      <w:tab/>
    </w:r>
    <w:r>
      <w:rPr>
        <w:rStyle w:val="PageNumber"/>
        <w:b w:val="0"/>
        <w:sz w:val="16"/>
        <w:szCs w:val="16"/>
        <w:lang w:val="en-US"/>
      </w:rPr>
      <w:t>GE.14-41818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6C" w:rsidRPr="00B74BE2" w:rsidRDefault="000D146C">
    <w:pPr>
      <w:pStyle w:val="Footer"/>
      <w:rPr>
        <w:b/>
        <w:sz w:val="18"/>
        <w:szCs w:val="18"/>
        <w:lang w:val="en-US"/>
      </w:rPr>
    </w:pPr>
    <w:r>
      <w:rPr>
        <w:lang w:val="en-US"/>
      </w:rPr>
      <w:t>GE.14-41818</w:t>
    </w:r>
    <w:r>
      <w:rPr>
        <w:lang w:val="en-US"/>
      </w:rPr>
      <w:tab/>
    </w:r>
    <w:r>
      <w:rPr>
        <w:rStyle w:val="PageNumber"/>
      </w:rPr>
      <w:fldChar w:fldCharType="begin"/>
    </w:r>
    <w:r>
      <w:rPr>
        <w:rStyle w:val="PageNumber"/>
      </w:rPr>
      <w:instrText xml:space="preserve"> PAGE </w:instrText>
    </w:r>
    <w:r>
      <w:rPr>
        <w:rStyle w:val="PageNumber"/>
      </w:rPr>
      <w:fldChar w:fldCharType="separate"/>
    </w:r>
    <w:r w:rsidR="00565930">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0D146C" w:rsidTr="00A87460">
      <w:trPr>
        <w:cnfStyle w:val="100000000000"/>
        <w:trHeight w:val="438"/>
      </w:trPr>
      <w:tc>
        <w:tcPr>
          <w:tcW w:w="4068" w:type="dxa"/>
          <w:vAlign w:val="bottom"/>
        </w:tcPr>
        <w:p w:rsidR="000D146C" w:rsidRPr="002B682F" w:rsidRDefault="000D146C" w:rsidP="00A87460">
          <w:pPr>
            <w:rPr>
              <w:sz w:val="20"/>
            </w:rPr>
          </w:pPr>
          <w:r w:rsidRPr="002B682F">
            <w:rPr>
              <w:sz w:val="20"/>
              <w:lang w:val="en-US"/>
            </w:rPr>
            <w:t>GE</w:t>
          </w:r>
          <w:r>
            <w:rPr>
              <w:sz w:val="20"/>
              <w:lang w:val="en-US"/>
            </w:rPr>
            <w:t>.</w:t>
          </w:r>
          <w:r w:rsidRPr="002B682F">
            <w:rPr>
              <w:sz w:val="20"/>
              <w:lang w:val="en-US"/>
            </w:rPr>
            <w:t>1</w:t>
          </w:r>
          <w:r>
            <w:rPr>
              <w:sz w:val="20"/>
              <w:lang w:val="en-US"/>
            </w:rPr>
            <w:t>4</w:t>
          </w:r>
          <w:r w:rsidRPr="002B682F">
            <w:rPr>
              <w:sz w:val="20"/>
              <w:lang w:val="en-US"/>
            </w:rPr>
            <w:t>-</w:t>
          </w:r>
          <w:r>
            <w:rPr>
              <w:sz w:val="20"/>
              <w:lang w:val="en-US"/>
            </w:rPr>
            <w:t>41818</w:t>
          </w:r>
          <w:r w:rsidRPr="002B682F">
            <w:rPr>
              <w:sz w:val="20"/>
              <w:lang w:val="en-US"/>
            </w:rPr>
            <w:t xml:space="preserve">   (R)</w:t>
          </w:r>
          <w:r>
            <w:rPr>
              <w:sz w:val="20"/>
            </w:rPr>
            <w:t xml:space="preserve">    150414   160414</w:t>
          </w:r>
        </w:p>
      </w:tc>
      <w:tc>
        <w:tcPr>
          <w:tcW w:w="4663" w:type="dxa"/>
          <w:vMerge w:val="restart"/>
          <w:vAlign w:val="bottom"/>
        </w:tcPr>
        <w:p w:rsidR="000D146C" w:rsidRDefault="000D146C" w:rsidP="00A87460">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0D146C" w:rsidRDefault="000D146C" w:rsidP="00A87460">
          <w:pPr>
            <w:jc w:val="right"/>
          </w:pPr>
          <w:r>
            <w:pict>
              <v:shape id="_x0000_i1027" type="#_x0000_t75" style="width:50.25pt;height:50.25pt">
                <v:imagedata r:id="rId2" o:title="2&amp;Size=2&amp;Lang=R"/>
              </v:shape>
            </w:pict>
          </w:r>
        </w:p>
      </w:tc>
    </w:tr>
    <w:tr w:rsidR="000D146C" w:rsidRPr="00797A78" w:rsidTr="00A87460">
      <w:tc>
        <w:tcPr>
          <w:tcW w:w="4068" w:type="dxa"/>
          <w:vAlign w:val="bottom"/>
        </w:tcPr>
        <w:p w:rsidR="000D146C" w:rsidRPr="00F816B3" w:rsidRDefault="000D146C" w:rsidP="00A87460">
          <w:pPr>
            <w:rPr>
              <w:rFonts w:ascii="C39T30Lfz" w:hAnsi="C39T30Lfz"/>
              <w:spacing w:val="0"/>
              <w:w w:val="100"/>
              <w:kern w:val="0"/>
              <w:sz w:val="56"/>
              <w:szCs w:val="56"/>
              <w:lang w:val="en-US" w:eastAsia="ru-RU"/>
            </w:rPr>
          </w:pP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r w:rsidRPr="00F816B3">
            <w:rPr>
              <w:rFonts w:ascii="C39T30Lfz" w:hAnsi="C39T30Lfz"/>
              <w:spacing w:val="0"/>
              <w:w w:val="100"/>
              <w:kern w:val="0"/>
              <w:sz w:val="56"/>
              <w:szCs w:val="56"/>
              <w:lang w:val="en-US" w:eastAsia="ru-RU"/>
            </w:rPr>
            <w:t></w:t>
          </w:r>
        </w:p>
      </w:tc>
      <w:tc>
        <w:tcPr>
          <w:tcW w:w="4663" w:type="dxa"/>
          <w:vMerge/>
        </w:tcPr>
        <w:p w:rsidR="000D146C" w:rsidRDefault="000D146C" w:rsidP="00A87460"/>
      </w:tc>
      <w:tc>
        <w:tcPr>
          <w:tcW w:w="1124" w:type="dxa"/>
          <w:vMerge/>
        </w:tcPr>
        <w:p w:rsidR="000D146C" w:rsidRDefault="000D146C" w:rsidP="00A87460"/>
      </w:tc>
    </w:tr>
  </w:tbl>
  <w:p w:rsidR="000D146C" w:rsidRDefault="000D146C" w:rsidP="002B682F">
    <w:pPr>
      <w:spacing w:line="240" w:lineRule="auto"/>
      <w:rPr>
        <w:sz w:val="2"/>
        <w:szCs w:val="2"/>
        <w:lang w:val="en-US"/>
      </w:rPr>
    </w:pPr>
  </w:p>
  <w:p w:rsidR="000D146C" w:rsidRDefault="000D146C" w:rsidP="001256F0">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C9" w:rsidRPr="00F71F63" w:rsidRDefault="000740C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740C9" w:rsidRPr="00F71F63" w:rsidRDefault="000740C9" w:rsidP="00635E86">
      <w:pPr>
        <w:tabs>
          <w:tab w:val="right" w:pos="2155"/>
        </w:tabs>
        <w:spacing w:after="80" w:line="240" w:lineRule="auto"/>
        <w:rPr>
          <w:u w:val="single"/>
          <w:lang w:val="en-US"/>
        </w:rPr>
      </w:pPr>
      <w:r w:rsidRPr="00F71F63">
        <w:rPr>
          <w:u w:val="single"/>
          <w:lang w:val="en-US"/>
        </w:rPr>
        <w:tab/>
      </w:r>
    </w:p>
    <w:p w:rsidR="000740C9" w:rsidRPr="00635E86" w:rsidRDefault="000740C9" w:rsidP="00635E86">
      <w:pPr>
        <w:pStyle w:val="Footer"/>
      </w:pPr>
    </w:p>
  </w:footnote>
  <w:footnote w:id="1">
    <w:p w:rsidR="000D146C" w:rsidRPr="00D239EE" w:rsidRDefault="000D146C" w:rsidP="003F374B">
      <w:pPr>
        <w:pStyle w:val="FootnoteText"/>
        <w:rPr>
          <w:lang w:val="ru-RU"/>
        </w:rPr>
      </w:pPr>
      <w:r>
        <w:tab/>
      </w:r>
      <w:r>
        <w:rPr>
          <w:rStyle w:val="FootnoteReference"/>
        </w:rPr>
        <w:footnoteRef/>
      </w:r>
      <w:r w:rsidRPr="00B36D73">
        <w:rPr>
          <w:lang w:val="ru-RU"/>
        </w:rPr>
        <w:tab/>
      </w:r>
      <w:r>
        <w:rPr>
          <w:lang w:val="ru-RU"/>
        </w:rPr>
        <w:t xml:space="preserve">Список государств-участников см. на веб-сайте Подкомитета по адресу </w:t>
      </w:r>
      <w:r w:rsidRPr="00D239EE">
        <w:rPr>
          <w:lang w:val="en-US"/>
        </w:rPr>
        <w:t>www</w:t>
      </w:r>
      <w:r w:rsidRPr="00D239EE">
        <w:rPr>
          <w:lang w:val="ru-RU"/>
        </w:rPr>
        <w:t>.</w:t>
      </w:r>
      <w:r w:rsidRPr="00D239EE">
        <w:rPr>
          <w:lang w:val="en-US"/>
        </w:rPr>
        <w:t>ohchr</w:t>
      </w:r>
      <w:r w:rsidRPr="00D239EE">
        <w:rPr>
          <w:lang w:val="ru-RU"/>
        </w:rPr>
        <w:t>.</w:t>
      </w:r>
      <w:r w:rsidRPr="00D239EE">
        <w:rPr>
          <w:lang w:val="en-US"/>
        </w:rPr>
        <w:t>org</w:t>
      </w:r>
      <w:r w:rsidRPr="00D239EE">
        <w:rPr>
          <w:lang w:val="ru-RU"/>
        </w:rPr>
        <w:t>/</w:t>
      </w:r>
      <w:r w:rsidRPr="00D239EE">
        <w:rPr>
          <w:lang w:val="en-US"/>
        </w:rPr>
        <w:t>EN</w:t>
      </w:r>
      <w:r w:rsidRPr="00D239EE">
        <w:rPr>
          <w:lang w:val="ru-RU"/>
        </w:rPr>
        <w:t>/</w:t>
      </w:r>
      <w:r w:rsidRPr="00D239EE">
        <w:rPr>
          <w:lang w:val="en-US"/>
        </w:rPr>
        <w:t>HRBodies</w:t>
      </w:r>
      <w:r w:rsidRPr="00D239EE">
        <w:rPr>
          <w:lang w:val="ru-RU"/>
        </w:rPr>
        <w:t>/</w:t>
      </w:r>
      <w:r w:rsidRPr="00D239EE">
        <w:rPr>
          <w:lang w:val="en-US"/>
        </w:rPr>
        <w:t>OPCAT</w:t>
      </w:r>
      <w:r w:rsidRPr="00D239EE">
        <w:rPr>
          <w:lang w:val="ru-RU"/>
        </w:rPr>
        <w:t>/</w:t>
      </w:r>
      <w:r w:rsidRPr="00D239EE">
        <w:rPr>
          <w:lang w:val="en-US"/>
        </w:rPr>
        <w:t>Pages</w:t>
      </w:r>
      <w:r w:rsidRPr="00D239EE">
        <w:rPr>
          <w:lang w:val="ru-RU"/>
        </w:rPr>
        <w:t>/</w:t>
      </w:r>
      <w:r w:rsidRPr="00D239EE">
        <w:rPr>
          <w:lang w:val="en-US"/>
        </w:rPr>
        <w:t>OPCATIndex</w:t>
      </w:r>
      <w:r w:rsidRPr="00D239EE">
        <w:rPr>
          <w:lang w:val="ru-RU"/>
        </w:rPr>
        <w:t>.</w:t>
      </w:r>
      <w:r w:rsidRPr="00D239EE">
        <w:rPr>
          <w:lang w:val="en-US"/>
        </w:rPr>
        <w:t>aspx</w:t>
      </w:r>
      <w:r w:rsidRPr="00D239EE">
        <w:rPr>
          <w:lang w:val="ru-RU"/>
        </w:rPr>
        <w:t>.</w:t>
      </w:r>
    </w:p>
    <w:p w:rsidR="000D146C" w:rsidRPr="00B36D73" w:rsidRDefault="000D146C">
      <w:pPr>
        <w:pStyle w:val="FootnoteText"/>
        <w:rPr>
          <w:lang w:val="ru-RU"/>
        </w:rPr>
      </w:pPr>
    </w:p>
  </w:footnote>
  <w:footnote w:id="2">
    <w:p w:rsidR="000D146C" w:rsidRPr="0050089C" w:rsidRDefault="000D146C">
      <w:pPr>
        <w:pStyle w:val="FootnoteText"/>
        <w:rPr>
          <w:lang w:val="ru-RU"/>
        </w:rPr>
      </w:pPr>
      <w:r>
        <w:tab/>
      </w:r>
      <w:r>
        <w:rPr>
          <w:rStyle w:val="FootnoteReference"/>
        </w:rPr>
        <w:footnoteRef/>
      </w:r>
      <w:r w:rsidRPr="0050089C">
        <w:rPr>
          <w:lang w:val="ru-RU"/>
        </w:rPr>
        <w:tab/>
      </w:r>
      <w:r>
        <w:rPr>
          <w:lang w:val="ru-RU"/>
        </w:rPr>
        <w:t>Список членов и продолжительность их мандатов см. на веб-сайте Подкомитета.</w:t>
      </w:r>
    </w:p>
  </w:footnote>
  <w:footnote w:id="3">
    <w:p w:rsidR="000D146C" w:rsidRPr="008415B0" w:rsidRDefault="000D146C" w:rsidP="005A135B">
      <w:pPr>
        <w:pStyle w:val="FootnoteText"/>
        <w:rPr>
          <w:lang w:val="ru-RU"/>
        </w:rPr>
      </w:pPr>
      <w:r>
        <w:tab/>
      </w:r>
      <w:r w:rsidRPr="00496A5F">
        <w:rPr>
          <w:rStyle w:val="FootnoteReference"/>
        </w:rPr>
        <w:footnoteRef/>
      </w:r>
      <w:r w:rsidRPr="008415B0">
        <w:rPr>
          <w:lang w:val="ru-RU"/>
        </w:rPr>
        <w:tab/>
      </w:r>
      <w:r>
        <w:rPr>
          <w:lang w:val="ru-RU"/>
        </w:rPr>
        <w:t>Поскольку</w:t>
      </w:r>
      <w:r w:rsidRPr="008415B0">
        <w:rPr>
          <w:lang w:val="ru-RU"/>
        </w:rPr>
        <w:t xml:space="preserve"> </w:t>
      </w:r>
      <w:r>
        <w:rPr>
          <w:lang w:val="ru-RU"/>
        </w:rPr>
        <w:t>Подкомитет</w:t>
      </w:r>
      <w:r w:rsidRPr="008415B0">
        <w:rPr>
          <w:lang w:val="ru-RU"/>
        </w:rPr>
        <w:t xml:space="preserve"> </w:t>
      </w:r>
      <w:r>
        <w:rPr>
          <w:lang w:val="ru-RU"/>
        </w:rPr>
        <w:t>вслед</w:t>
      </w:r>
      <w:r w:rsidRPr="008415B0">
        <w:rPr>
          <w:lang w:val="ru-RU"/>
        </w:rPr>
        <w:t xml:space="preserve"> </w:t>
      </w:r>
      <w:r>
        <w:rPr>
          <w:lang w:val="ru-RU"/>
        </w:rPr>
        <w:t>за</w:t>
      </w:r>
      <w:r w:rsidRPr="008415B0">
        <w:rPr>
          <w:lang w:val="ru-RU"/>
        </w:rPr>
        <w:t xml:space="preserve"> </w:t>
      </w:r>
      <w:r>
        <w:rPr>
          <w:lang w:val="ru-RU"/>
        </w:rPr>
        <w:t>такими</w:t>
      </w:r>
      <w:r w:rsidRPr="008415B0">
        <w:rPr>
          <w:lang w:val="ru-RU"/>
        </w:rPr>
        <w:t xml:space="preserve"> </w:t>
      </w:r>
      <w:r>
        <w:rPr>
          <w:lang w:val="ru-RU"/>
        </w:rPr>
        <w:t>посещениями</w:t>
      </w:r>
      <w:r w:rsidRPr="008415B0">
        <w:rPr>
          <w:lang w:val="ru-RU"/>
        </w:rPr>
        <w:t xml:space="preserve"> </w:t>
      </w:r>
      <w:r>
        <w:rPr>
          <w:lang w:val="ru-RU"/>
        </w:rPr>
        <w:t>направляет</w:t>
      </w:r>
      <w:r w:rsidRPr="008415B0">
        <w:rPr>
          <w:lang w:val="ru-RU"/>
        </w:rPr>
        <w:t xml:space="preserve"> </w:t>
      </w:r>
      <w:r>
        <w:rPr>
          <w:lang w:val="ru-RU"/>
        </w:rPr>
        <w:t>отдельные</w:t>
      </w:r>
      <w:r w:rsidRPr="008415B0">
        <w:rPr>
          <w:lang w:val="ru-RU"/>
        </w:rPr>
        <w:t xml:space="preserve"> </w:t>
      </w:r>
      <w:r>
        <w:rPr>
          <w:lang w:val="ru-RU"/>
        </w:rPr>
        <w:t>конфиденциальные</w:t>
      </w:r>
      <w:r w:rsidRPr="008415B0">
        <w:rPr>
          <w:lang w:val="ru-RU"/>
        </w:rPr>
        <w:t xml:space="preserve"> </w:t>
      </w:r>
      <w:r>
        <w:rPr>
          <w:lang w:val="ru-RU"/>
        </w:rPr>
        <w:t>доклады</w:t>
      </w:r>
      <w:r w:rsidRPr="008415B0">
        <w:rPr>
          <w:lang w:val="ru-RU"/>
        </w:rPr>
        <w:t xml:space="preserve"> </w:t>
      </w:r>
      <w:r>
        <w:rPr>
          <w:lang w:val="ru-RU"/>
        </w:rPr>
        <w:t>государству</w:t>
      </w:r>
      <w:r w:rsidRPr="008415B0">
        <w:rPr>
          <w:lang w:val="ru-RU"/>
        </w:rPr>
        <w:t>-</w:t>
      </w:r>
      <w:r>
        <w:rPr>
          <w:lang w:val="ru-RU"/>
        </w:rPr>
        <w:t>участнику</w:t>
      </w:r>
      <w:r w:rsidRPr="008415B0">
        <w:rPr>
          <w:lang w:val="ru-RU"/>
        </w:rPr>
        <w:t xml:space="preserve"> </w:t>
      </w:r>
      <w:r>
        <w:rPr>
          <w:lang w:val="ru-RU"/>
        </w:rPr>
        <w:t>и</w:t>
      </w:r>
      <w:r w:rsidRPr="008415B0">
        <w:rPr>
          <w:lang w:val="ru-RU"/>
        </w:rPr>
        <w:t xml:space="preserve"> </w:t>
      </w:r>
      <w:r>
        <w:rPr>
          <w:lang w:val="ru-RU"/>
        </w:rPr>
        <w:t>НПМ</w:t>
      </w:r>
      <w:r w:rsidRPr="008415B0">
        <w:rPr>
          <w:lang w:val="ru-RU"/>
        </w:rPr>
        <w:t xml:space="preserve">, </w:t>
      </w:r>
      <w:r>
        <w:rPr>
          <w:lang w:val="ru-RU"/>
        </w:rPr>
        <w:t>по</w:t>
      </w:r>
      <w:r w:rsidRPr="008415B0">
        <w:rPr>
          <w:lang w:val="ru-RU"/>
        </w:rPr>
        <w:t xml:space="preserve"> </w:t>
      </w:r>
      <w:r>
        <w:rPr>
          <w:lang w:val="ru-RU"/>
        </w:rPr>
        <w:t>итогам</w:t>
      </w:r>
      <w:r w:rsidRPr="008415B0">
        <w:rPr>
          <w:lang w:val="ru-RU"/>
        </w:rPr>
        <w:t xml:space="preserve"> </w:t>
      </w:r>
      <w:r>
        <w:rPr>
          <w:lang w:val="ru-RU"/>
        </w:rPr>
        <w:t>каждого</w:t>
      </w:r>
      <w:r w:rsidRPr="008415B0">
        <w:rPr>
          <w:lang w:val="ru-RU"/>
        </w:rPr>
        <w:t xml:space="preserve"> </w:t>
      </w:r>
      <w:r>
        <w:rPr>
          <w:lang w:val="ru-RU"/>
        </w:rPr>
        <w:t>посещения</w:t>
      </w:r>
      <w:r w:rsidRPr="008415B0">
        <w:rPr>
          <w:lang w:val="ru-RU"/>
        </w:rPr>
        <w:t xml:space="preserve"> </w:t>
      </w:r>
      <w:r>
        <w:rPr>
          <w:lang w:val="ru-RU"/>
        </w:rPr>
        <w:t>подготавливаются</w:t>
      </w:r>
      <w:r w:rsidRPr="008415B0">
        <w:rPr>
          <w:lang w:val="ru-RU"/>
        </w:rPr>
        <w:t xml:space="preserve"> </w:t>
      </w:r>
      <w:r>
        <w:rPr>
          <w:lang w:val="ru-RU"/>
        </w:rPr>
        <w:t>два</w:t>
      </w:r>
      <w:r w:rsidRPr="008415B0">
        <w:rPr>
          <w:lang w:val="ru-RU"/>
        </w:rPr>
        <w:t xml:space="preserve"> </w:t>
      </w:r>
      <w:r>
        <w:rPr>
          <w:lang w:val="ru-RU"/>
        </w:rPr>
        <w:t>доклада</w:t>
      </w:r>
      <w:r w:rsidRPr="008415B0">
        <w:rPr>
          <w:lang w:val="ru-RU"/>
        </w:rPr>
        <w:t>.</w:t>
      </w:r>
    </w:p>
  </w:footnote>
  <w:footnote w:id="4">
    <w:p w:rsidR="000D146C" w:rsidRPr="00511B25" w:rsidRDefault="000D146C" w:rsidP="005A135B">
      <w:pPr>
        <w:pStyle w:val="FootnoteText"/>
        <w:rPr>
          <w:lang w:val="ru-RU"/>
        </w:rPr>
      </w:pPr>
      <w:r>
        <w:rPr>
          <w:lang w:val="ru-RU"/>
        </w:rPr>
        <w:tab/>
      </w:r>
      <w:r>
        <w:rPr>
          <w:rStyle w:val="FootnoteReference"/>
        </w:rPr>
        <w:footnoteRef/>
      </w:r>
      <w:r>
        <w:rPr>
          <w:lang w:val="ru-RU"/>
        </w:rPr>
        <w:tab/>
        <w:t>Специальный фонд получает добровольные взносы от правительств, межправительственных и неправительственных организаций и других частных и государственных субъектов.</w:t>
      </w:r>
    </w:p>
  </w:footnote>
  <w:footnote w:id="5">
    <w:p w:rsidR="000D146C" w:rsidRPr="009B5A67" w:rsidRDefault="000D146C" w:rsidP="005A135B">
      <w:pPr>
        <w:pStyle w:val="FootnoteText"/>
        <w:rPr>
          <w:lang w:val="ru-RU"/>
        </w:rPr>
      </w:pPr>
      <w:r w:rsidRPr="00E732C0">
        <w:rPr>
          <w:lang w:val="ru-RU"/>
        </w:rPr>
        <w:tab/>
      </w:r>
      <w:r>
        <w:rPr>
          <w:rStyle w:val="FootnoteReference"/>
        </w:rPr>
        <w:footnoteRef/>
      </w:r>
      <w:r w:rsidRPr="009B5A67">
        <w:rPr>
          <w:lang w:val="ru-RU"/>
        </w:rPr>
        <w:tab/>
      </w:r>
      <w:r>
        <w:rPr>
          <w:lang w:val="ru-RU"/>
        </w:rPr>
        <w:t>В 2012 году Специальным фондом были получены следующие взносы: 158 227,85 долл. США от Соединенного Королевства, 10 219,56 долл. США от Чешской Республики; 215 982,72 долл. США от Швейцарии; и 18 932,47 долл. США от Италии.</w:t>
      </w:r>
    </w:p>
  </w:footnote>
  <w:footnote w:id="6">
    <w:p w:rsidR="000D146C" w:rsidRPr="00F07696" w:rsidRDefault="000D146C" w:rsidP="005A135B">
      <w:pPr>
        <w:pStyle w:val="FootnoteText"/>
        <w:spacing w:line="240" w:lineRule="auto"/>
        <w:rPr>
          <w:lang w:val="ru-RU"/>
        </w:rPr>
      </w:pPr>
      <w:r>
        <w:tab/>
      </w:r>
      <w:r>
        <w:rPr>
          <w:rStyle w:val="FootnoteReference"/>
        </w:rPr>
        <w:footnoteRef/>
      </w:r>
      <w:r w:rsidRPr="00F07696">
        <w:rPr>
          <w:lang w:val="ru-RU"/>
        </w:rPr>
        <w:tab/>
      </w:r>
      <w:r>
        <w:rPr>
          <w:lang w:val="ru-RU"/>
        </w:rPr>
        <w:t>Концепция права на "жизненные планы" получила развитие в результате судебной практики Межамериканского суда по правам человека.</w:t>
      </w:r>
    </w:p>
  </w:footnote>
  <w:footnote w:id="7">
    <w:p w:rsidR="000D146C" w:rsidRPr="00AF57FF" w:rsidRDefault="000D146C" w:rsidP="005A135B">
      <w:pPr>
        <w:pStyle w:val="FootnoteText"/>
        <w:spacing w:line="240" w:lineRule="auto"/>
        <w:rPr>
          <w:lang w:val="ru-RU"/>
        </w:rPr>
      </w:pPr>
      <w:r w:rsidRPr="00AF57FF">
        <w:rPr>
          <w:lang w:val="ru-RU"/>
        </w:rPr>
        <w:tab/>
      </w:r>
      <w:r>
        <w:rPr>
          <w:rStyle w:val="FootnoteReference"/>
        </w:rPr>
        <w:footnoteRef/>
      </w:r>
      <w:r w:rsidRPr="00970E25">
        <w:rPr>
          <w:lang w:val="ru-RU"/>
        </w:rPr>
        <w:tab/>
      </w:r>
      <w:r>
        <w:rPr>
          <w:lang w:val="ru-RU"/>
        </w:rPr>
        <w:t xml:space="preserve">Подкомитет отмечает, что в Минимальных стандартных правилах обращения с заключенными слово "обращение" в настоящее время, как представляется, используется по меньшей мере в трех различных коннотациях: а) в общем, в качестве скорее неоднозначного понятия с неопределенной сферой охвата (название и правила 1, 8, 22 (1) и (2) и 94; </w:t>
      </w:r>
      <w:r w:rsidRPr="00110ED1">
        <w:rPr>
          <w:lang w:val="en-US"/>
        </w:rPr>
        <w:t>b</w:t>
      </w:r>
      <w:r w:rsidRPr="00110ED1">
        <w:rPr>
          <w:lang w:val="ru-RU"/>
        </w:rPr>
        <w:t xml:space="preserve">) </w:t>
      </w:r>
      <w:r>
        <w:rPr>
          <w:lang w:val="ru-RU"/>
        </w:rPr>
        <w:t xml:space="preserve">в медицинском смысле, применительно к содержащимся под стражей лицам, которые неважно себя чувствуют </w:t>
      </w:r>
      <w:r w:rsidRPr="00110ED1">
        <w:rPr>
          <w:lang w:val="ru-RU"/>
        </w:rPr>
        <w:t>(</w:t>
      </w:r>
      <w:r>
        <w:rPr>
          <w:lang w:val="ru-RU"/>
        </w:rPr>
        <w:t>правила</w:t>
      </w:r>
      <w:r w:rsidRPr="00110ED1">
        <w:rPr>
          <w:lang w:val="ru-RU"/>
        </w:rPr>
        <w:t xml:space="preserve"> 22 (1), 23 (1), 44, 82 (4) </w:t>
      </w:r>
      <w:r>
        <w:rPr>
          <w:lang w:val="ru-RU"/>
        </w:rPr>
        <w:t>и</w:t>
      </w:r>
      <w:r w:rsidRPr="00110ED1">
        <w:rPr>
          <w:lang w:val="ru-RU"/>
        </w:rPr>
        <w:t xml:space="preserve"> 83; </w:t>
      </w:r>
      <w:r>
        <w:rPr>
          <w:lang w:val="ru-RU"/>
        </w:rPr>
        <w:t>и</w:t>
      </w:r>
      <w:r w:rsidRPr="00110ED1">
        <w:rPr>
          <w:lang w:val="ru-RU"/>
        </w:rPr>
        <w:t xml:space="preserve"> </w:t>
      </w:r>
      <w:r w:rsidRPr="00110ED1">
        <w:rPr>
          <w:lang w:val="en-US"/>
        </w:rPr>
        <w:t>c</w:t>
      </w:r>
      <w:r w:rsidRPr="00110ED1">
        <w:rPr>
          <w:lang w:val="ru-RU"/>
        </w:rPr>
        <w:t>)</w:t>
      </w:r>
      <w:r>
        <w:rPr>
          <w:lang w:val="ru-RU"/>
        </w:rPr>
        <w:t xml:space="preserve"> в</w:t>
      </w:r>
      <w:r w:rsidRPr="00110ED1">
        <w:rPr>
          <w:lang w:val="ru-RU"/>
        </w:rPr>
        <w:t xml:space="preserve"> </w:t>
      </w:r>
      <w:r>
        <w:rPr>
          <w:lang w:val="ru-RU"/>
        </w:rPr>
        <w:t xml:space="preserve">порядке описания исправительного/лечебного подхода к содержащимся под стражей лицам </w:t>
      </w:r>
      <w:r w:rsidRPr="00110ED1">
        <w:rPr>
          <w:lang w:val="ru-RU"/>
        </w:rPr>
        <w:t>(</w:t>
      </w:r>
      <w:r>
        <w:rPr>
          <w:lang w:val="ru-RU"/>
        </w:rPr>
        <w:t>правила</w:t>
      </w:r>
      <w:r w:rsidRPr="00110ED1">
        <w:rPr>
          <w:lang w:val="ru-RU"/>
        </w:rPr>
        <w:t xml:space="preserve"> 28 (2), 35 (1), 55, 59, 61, 63 (1) </w:t>
      </w:r>
      <w:r>
        <w:rPr>
          <w:lang w:val="ru-RU"/>
        </w:rPr>
        <w:t>и (3), 65, 67 </w:t>
      </w:r>
      <w:r w:rsidRPr="00110ED1">
        <w:rPr>
          <w:lang w:val="en-US"/>
        </w:rPr>
        <w:t>b</w:t>
      </w:r>
      <w:r w:rsidRPr="00110ED1">
        <w:rPr>
          <w:lang w:val="ru-RU"/>
        </w:rPr>
        <w:t xml:space="preserve">), 68, 70 </w:t>
      </w:r>
      <w:r>
        <w:rPr>
          <w:lang w:val="ru-RU"/>
        </w:rPr>
        <w:t>и</w:t>
      </w:r>
      <w:r w:rsidRPr="00110ED1">
        <w:rPr>
          <w:lang w:val="ru-RU"/>
        </w:rPr>
        <w:t xml:space="preserve"> 75 (2).</w:t>
      </w:r>
      <w:r>
        <w:rPr>
          <w:lang w:val="ru-RU"/>
        </w:rPr>
        <w:t xml:space="preserve"> Именно последний контекст использования данного слова вызывает обеспокоенность Подкомитета. </w:t>
      </w:r>
    </w:p>
  </w:footnote>
  <w:footnote w:id="8">
    <w:p w:rsidR="000D146C" w:rsidRPr="00487C9D" w:rsidRDefault="000D146C" w:rsidP="005A135B">
      <w:pPr>
        <w:pStyle w:val="FootnoteText"/>
        <w:spacing w:line="240" w:lineRule="auto"/>
        <w:rPr>
          <w:lang w:val="ru-RU"/>
        </w:rPr>
      </w:pPr>
      <w:r w:rsidRPr="00AF57FF">
        <w:rPr>
          <w:lang w:val="ru-RU"/>
        </w:rPr>
        <w:tab/>
      </w:r>
      <w:r>
        <w:rPr>
          <w:rStyle w:val="FootnoteReference"/>
        </w:rPr>
        <w:footnoteRef/>
      </w:r>
      <w:r w:rsidRPr="00AF57FF">
        <w:rPr>
          <w:lang w:val="ru-RU"/>
        </w:rPr>
        <w:tab/>
      </w:r>
      <w:r>
        <w:rPr>
          <w:lang w:val="ru-RU"/>
        </w:rPr>
        <w:t>Факультативный протокол, статья 15.</w:t>
      </w:r>
    </w:p>
  </w:footnote>
  <w:footnote w:id="9">
    <w:p w:rsidR="000D146C" w:rsidRPr="0071526B" w:rsidRDefault="000D146C" w:rsidP="005A135B">
      <w:pPr>
        <w:pStyle w:val="FootnoteText"/>
        <w:rPr>
          <w:lang w:val="ru-RU"/>
        </w:rPr>
      </w:pPr>
      <w:r>
        <w:tab/>
      </w:r>
      <w:r>
        <w:rPr>
          <w:rStyle w:val="FootnoteReference"/>
        </w:rPr>
        <w:footnoteRef/>
      </w:r>
      <w:r w:rsidRPr="0071526B">
        <w:rPr>
          <w:lang w:val="ru-RU"/>
        </w:rPr>
        <w:tab/>
      </w:r>
      <w:r>
        <w:rPr>
          <w:lang w:val="ru-RU"/>
        </w:rPr>
        <w:t xml:space="preserve">Выступление Специального докладчика по вопросу о пытках и других жестоких, бесчеловечных или унижающих достоинство видов обращения и наказания Манфреда Новака перед Комиссией по предупреждению преступности и уголовному правосудию 24 апреля 2009 года. См. </w:t>
      </w:r>
      <w:r w:rsidRPr="0071526B">
        <w:rPr>
          <w:lang w:val="ru-RU"/>
        </w:rPr>
        <w:t>www.unodc.org/unodc/en/frontpage/un-human-rights-rapporteur-denounces-torture.html.</w:t>
      </w:r>
    </w:p>
  </w:footnote>
  <w:footnote w:id="10">
    <w:p w:rsidR="000D146C" w:rsidRPr="007F5660" w:rsidRDefault="000D146C" w:rsidP="005A135B">
      <w:pPr>
        <w:pStyle w:val="FootnoteText"/>
        <w:rPr>
          <w:lang w:val="ru-RU"/>
        </w:rPr>
      </w:pPr>
      <w:r>
        <w:tab/>
      </w:r>
      <w:r>
        <w:rPr>
          <w:rStyle w:val="FootnoteReference"/>
        </w:rPr>
        <w:footnoteRef/>
      </w:r>
      <w:r w:rsidRPr="007F5660">
        <w:rPr>
          <w:lang w:val="ru-RU"/>
        </w:rPr>
        <w:tab/>
      </w:r>
      <w:r>
        <w:rPr>
          <w:lang w:val="ru-RU"/>
        </w:rPr>
        <w:t>См. также Конвенцию, разработанную на основании статьи К.3 (2) (с) Договора о Европейском союзе, касающуюся борьбы против коррупции с участием должностных лиц Европейских сообществ или должностных лиц государств − членов Европейского союза (1997 год), Конвенцию по борьбе с подкупом иностранных должностных лиц при осуществлении международных коммерческих сделок (1997 год) Организации по экономическому сотрудничеству и развитию и Конвенцию об уголовной ответственности за коррупцию (1999 год) Совета Европы.</w:t>
      </w:r>
    </w:p>
  </w:footnote>
  <w:footnote w:id="11">
    <w:p w:rsidR="000D146C" w:rsidRPr="00A2737D" w:rsidRDefault="000D146C" w:rsidP="005A135B">
      <w:pPr>
        <w:pStyle w:val="FootnoteText"/>
        <w:rPr>
          <w:lang w:val="ru-RU"/>
        </w:rPr>
      </w:pPr>
      <w:r w:rsidRPr="001D7CF7">
        <w:rPr>
          <w:lang w:val="ru-RU"/>
        </w:rPr>
        <w:tab/>
      </w:r>
      <w:r>
        <w:rPr>
          <w:rStyle w:val="FootnoteReference"/>
        </w:rPr>
        <w:footnoteRef/>
      </w:r>
      <w:r w:rsidRPr="00A2737D">
        <w:rPr>
          <w:lang w:val="ru-RU"/>
        </w:rPr>
        <w:tab/>
      </w:r>
      <w:r>
        <w:rPr>
          <w:lang w:val="ru-RU"/>
        </w:rPr>
        <w:t>Конвенция Африканского союза о предупреждении коррупции и борьбе с ней, преамбула.</w:t>
      </w:r>
    </w:p>
  </w:footnote>
  <w:footnote w:id="12">
    <w:p w:rsidR="000D146C" w:rsidRPr="002C4182" w:rsidRDefault="000D146C" w:rsidP="005A135B">
      <w:pPr>
        <w:pStyle w:val="FootnoteText"/>
        <w:rPr>
          <w:lang w:val="ru-RU"/>
        </w:rPr>
      </w:pPr>
      <w:r w:rsidRPr="001D7CF7">
        <w:rPr>
          <w:lang w:val="ru-RU"/>
        </w:rPr>
        <w:tab/>
      </w:r>
      <w:r>
        <w:rPr>
          <w:rStyle w:val="FootnoteReference"/>
        </w:rPr>
        <w:footnoteRef/>
      </w:r>
      <w:r w:rsidRPr="002C4182">
        <w:rPr>
          <w:lang w:val="ru-RU"/>
        </w:rPr>
        <w:tab/>
      </w:r>
      <w:r>
        <w:rPr>
          <w:lang w:val="ru-RU"/>
        </w:rPr>
        <w:t xml:space="preserve">Конвенция об уголовной ответственности за коррупцию, Совет Европы, преамбула. </w:t>
      </w:r>
    </w:p>
  </w:footnote>
  <w:footnote w:id="13">
    <w:p w:rsidR="000D146C" w:rsidRPr="00470679" w:rsidRDefault="000D146C" w:rsidP="005A135B">
      <w:pPr>
        <w:pStyle w:val="FootnoteText"/>
        <w:rPr>
          <w:lang w:val="ru-RU"/>
        </w:rPr>
      </w:pPr>
      <w:r w:rsidRPr="001D7CF7">
        <w:rPr>
          <w:lang w:val="ru-RU"/>
        </w:rPr>
        <w:tab/>
      </w:r>
      <w:r>
        <w:rPr>
          <w:rStyle w:val="FootnoteReference"/>
        </w:rPr>
        <w:footnoteRef/>
      </w:r>
      <w:r w:rsidRPr="00470679">
        <w:rPr>
          <w:lang w:val="ru-RU"/>
        </w:rPr>
        <w:tab/>
      </w:r>
      <w:r>
        <w:rPr>
          <w:lang w:val="ru-RU"/>
        </w:rPr>
        <w:t xml:space="preserve">Конвенция Организации Объединенных Наций против коррупции, преамбула.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6C" w:rsidRPr="000D4DDF" w:rsidRDefault="000D146C">
    <w:pPr>
      <w:pStyle w:val="Header"/>
      <w:rPr>
        <w:lang w:val="en-US"/>
      </w:rPr>
    </w:pPr>
    <w:r>
      <w:rPr>
        <w:lang w:val="en-US"/>
      </w:rPr>
      <w:t>CAT/</w:t>
    </w:r>
    <w:r w:rsidRPr="000D4DDF">
      <w:rPr>
        <w:lang w:val="en-US"/>
      </w:rPr>
      <w:t>C/52/2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6C" w:rsidRPr="000D4DDF" w:rsidRDefault="000D146C">
    <w:pPr>
      <w:pStyle w:val="Header"/>
      <w:rPr>
        <w:lang w:val="en-US"/>
      </w:rPr>
    </w:pPr>
    <w:r>
      <w:rPr>
        <w:lang w:val="en-US"/>
      </w:rPr>
      <w:tab/>
      <w:t>CAT/</w:t>
    </w:r>
    <w:r w:rsidRPr="000D4DDF">
      <w:rPr>
        <w:lang w:val="en-US"/>
      </w:rPr>
      <w:t>C/52/2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DDF"/>
    <w:rsid w:val="000033D8"/>
    <w:rsid w:val="00005C1C"/>
    <w:rsid w:val="00016553"/>
    <w:rsid w:val="000233B3"/>
    <w:rsid w:val="00023E9E"/>
    <w:rsid w:val="00025119"/>
    <w:rsid w:val="00026B0C"/>
    <w:rsid w:val="0003638E"/>
    <w:rsid w:val="00036FF2"/>
    <w:rsid w:val="0004010A"/>
    <w:rsid w:val="00043D88"/>
    <w:rsid w:val="00046E4D"/>
    <w:rsid w:val="00057DC4"/>
    <w:rsid w:val="0006401A"/>
    <w:rsid w:val="00072C27"/>
    <w:rsid w:val="000740C9"/>
    <w:rsid w:val="00080A04"/>
    <w:rsid w:val="00086182"/>
    <w:rsid w:val="00090891"/>
    <w:rsid w:val="00092E62"/>
    <w:rsid w:val="00093641"/>
    <w:rsid w:val="000959C2"/>
    <w:rsid w:val="00097975"/>
    <w:rsid w:val="000A3DDF"/>
    <w:rsid w:val="000A60A0"/>
    <w:rsid w:val="000C3688"/>
    <w:rsid w:val="000D146C"/>
    <w:rsid w:val="000D4DDF"/>
    <w:rsid w:val="000D6863"/>
    <w:rsid w:val="00117AEE"/>
    <w:rsid w:val="001256F0"/>
    <w:rsid w:val="001463F7"/>
    <w:rsid w:val="0015769C"/>
    <w:rsid w:val="00180752"/>
    <w:rsid w:val="00185076"/>
    <w:rsid w:val="0018543C"/>
    <w:rsid w:val="00190231"/>
    <w:rsid w:val="00192ABD"/>
    <w:rsid w:val="001A75D5"/>
    <w:rsid w:val="001A7D40"/>
    <w:rsid w:val="001D07F7"/>
    <w:rsid w:val="001D384C"/>
    <w:rsid w:val="001D5D08"/>
    <w:rsid w:val="001D7B8F"/>
    <w:rsid w:val="001E48EE"/>
    <w:rsid w:val="001F2D04"/>
    <w:rsid w:val="0020059C"/>
    <w:rsid w:val="002019BD"/>
    <w:rsid w:val="00232D42"/>
    <w:rsid w:val="00237334"/>
    <w:rsid w:val="002444F4"/>
    <w:rsid w:val="002629A0"/>
    <w:rsid w:val="00273BED"/>
    <w:rsid w:val="0028492B"/>
    <w:rsid w:val="00291C8F"/>
    <w:rsid w:val="002B682F"/>
    <w:rsid w:val="002C4F52"/>
    <w:rsid w:val="002C5036"/>
    <w:rsid w:val="002C6A71"/>
    <w:rsid w:val="002C6D5F"/>
    <w:rsid w:val="002D15EA"/>
    <w:rsid w:val="002D6C07"/>
    <w:rsid w:val="002E0CE6"/>
    <w:rsid w:val="002E1163"/>
    <w:rsid w:val="002E43F3"/>
    <w:rsid w:val="003215F5"/>
    <w:rsid w:val="00332891"/>
    <w:rsid w:val="00352AB4"/>
    <w:rsid w:val="00356BB2"/>
    <w:rsid w:val="00360477"/>
    <w:rsid w:val="00367FC9"/>
    <w:rsid w:val="003711A1"/>
    <w:rsid w:val="00372123"/>
    <w:rsid w:val="00376CDC"/>
    <w:rsid w:val="00382D9A"/>
    <w:rsid w:val="00386581"/>
    <w:rsid w:val="00387100"/>
    <w:rsid w:val="003951D3"/>
    <w:rsid w:val="00395291"/>
    <w:rsid w:val="003978C6"/>
    <w:rsid w:val="003B40A9"/>
    <w:rsid w:val="003C016E"/>
    <w:rsid w:val="003D3ECC"/>
    <w:rsid w:val="003D5EBD"/>
    <w:rsid w:val="003E04F9"/>
    <w:rsid w:val="003F374B"/>
    <w:rsid w:val="003F770B"/>
    <w:rsid w:val="00401CE0"/>
    <w:rsid w:val="00403234"/>
    <w:rsid w:val="00407AC3"/>
    <w:rsid w:val="00414586"/>
    <w:rsid w:val="00415059"/>
    <w:rsid w:val="004233D2"/>
    <w:rsid w:val="00424FDD"/>
    <w:rsid w:val="0043033D"/>
    <w:rsid w:val="004313F0"/>
    <w:rsid w:val="00434078"/>
    <w:rsid w:val="00435FE4"/>
    <w:rsid w:val="00442ED2"/>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461F6"/>
    <w:rsid w:val="00565930"/>
    <w:rsid w:val="0056618E"/>
    <w:rsid w:val="00576F59"/>
    <w:rsid w:val="00577A34"/>
    <w:rsid w:val="00580AAD"/>
    <w:rsid w:val="005823C0"/>
    <w:rsid w:val="00593A04"/>
    <w:rsid w:val="005A135B"/>
    <w:rsid w:val="005A6D5A"/>
    <w:rsid w:val="005B01EC"/>
    <w:rsid w:val="005B1B28"/>
    <w:rsid w:val="005B7D51"/>
    <w:rsid w:val="005B7F35"/>
    <w:rsid w:val="005C174C"/>
    <w:rsid w:val="005C2081"/>
    <w:rsid w:val="005C678A"/>
    <w:rsid w:val="005D346D"/>
    <w:rsid w:val="005E74AB"/>
    <w:rsid w:val="0060566A"/>
    <w:rsid w:val="00606A3E"/>
    <w:rsid w:val="006102C2"/>
    <w:rsid w:val="006115AA"/>
    <w:rsid w:val="006120AE"/>
    <w:rsid w:val="00617755"/>
    <w:rsid w:val="00635E86"/>
    <w:rsid w:val="00636A37"/>
    <w:rsid w:val="006457B6"/>
    <w:rsid w:val="006501A5"/>
    <w:rsid w:val="006567B2"/>
    <w:rsid w:val="00662ADE"/>
    <w:rsid w:val="00664106"/>
    <w:rsid w:val="006756F1"/>
    <w:rsid w:val="00677773"/>
    <w:rsid w:val="006805FC"/>
    <w:rsid w:val="0068594A"/>
    <w:rsid w:val="006926C7"/>
    <w:rsid w:val="00694C37"/>
    <w:rsid w:val="006A1BEB"/>
    <w:rsid w:val="006A401C"/>
    <w:rsid w:val="006A7C6E"/>
    <w:rsid w:val="006B23D9"/>
    <w:rsid w:val="006C1814"/>
    <w:rsid w:val="006C2F45"/>
    <w:rsid w:val="006C361A"/>
    <w:rsid w:val="006C5657"/>
    <w:rsid w:val="006D5E4E"/>
    <w:rsid w:val="006E5A26"/>
    <w:rsid w:val="006E6860"/>
    <w:rsid w:val="006E7183"/>
    <w:rsid w:val="006F5FBF"/>
    <w:rsid w:val="0070327E"/>
    <w:rsid w:val="00707B5F"/>
    <w:rsid w:val="00730293"/>
    <w:rsid w:val="00735602"/>
    <w:rsid w:val="0075279B"/>
    <w:rsid w:val="00753748"/>
    <w:rsid w:val="00762446"/>
    <w:rsid w:val="00781ACB"/>
    <w:rsid w:val="007A79EB"/>
    <w:rsid w:val="007B4FD3"/>
    <w:rsid w:val="007C6DE6"/>
    <w:rsid w:val="007D4CA0"/>
    <w:rsid w:val="007D7A23"/>
    <w:rsid w:val="007E38C3"/>
    <w:rsid w:val="007E4828"/>
    <w:rsid w:val="007E549E"/>
    <w:rsid w:val="007E71C9"/>
    <w:rsid w:val="007F7553"/>
    <w:rsid w:val="0080755E"/>
    <w:rsid w:val="008120D4"/>
    <w:rsid w:val="008139A5"/>
    <w:rsid w:val="00817F73"/>
    <w:rsid w:val="0082228E"/>
    <w:rsid w:val="00830402"/>
    <w:rsid w:val="008305D7"/>
    <w:rsid w:val="008319BC"/>
    <w:rsid w:val="0083262E"/>
    <w:rsid w:val="00834887"/>
    <w:rsid w:val="00841A98"/>
    <w:rsid w:val="00842FED"/>
    <w:rsid w:val="008455CF"/>
    <w:rsid w:val="00847689"/>
    <w:rsid w:val="00861C52"/>
    <w:rsid w:val="008627B5"/>
    <w:rsid w:val="008727A1"/>
    <w:rsid w:val="00886B0F"/>
    <w:rsid w:val="00891C08"/>
    <w:rsid w:val="008963FF"/>
    <w:rsid w:val="008A3879"/>
    <w:rsid w:val="008A5FA8"/>
    <w:rsid w:val="008A7575"/>
    <w:rsid w:val="008B5F47"/>
    <w:rsid w:val="008C7B87"/>
    <w:rsid w:val="008D6A7A"/>
    <w:rsid w:val="008E3E87"/>
    <w:rsid w:val="008E7F13"/>
    <w:rsid w:val="008F3185"/>
    <w:rsid w:val="00904C6D"/>
    <w:rsid w:val="00915B0A"/>
    <w:rsid w:val="00921D0C"/>
    <w:rsid w:val="00926904"/>
    <w:rsid w:val="009372F0"/>
    <w:rsid w:val="00955022"/>
    <w:rsid w:val="00957B4D"/>
    <w:rsid w:val="00964EEA"/>
    <w:rsid w:val="00980C86"/>
    <w:rsid w:val="0098496A"/>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25A9"/>
    <w:rsid w:val="00A4025D"/>
    <w:rsid w:val="00A56DA4"/>
    <w:rsid w:val="00A800D1"/>
    <w:rsid w:val="00A86521"/>
    <w:rsid w:val="00A87460"/>
    <w:rsid w:val="00A92699"/>
    <w:rsid w:val="00AA2693"/>
    <w:rsid w:val="00AB5BF0"/>
    <w:rsid w:val="00AC1C95"/>
    <w:rsid w:val="00AC2CCB"/>
    <w:rsid w:val="00AC443A"/>
    <w:rsid w:val="00AE0EA7"/>
    <w:rsid w:val="00AE60E2"/>
    <w:rsid w:val="00B0169F"/>
    <w:rsid w:val="00B05F21"/>
    <w:rsid w:val="00B14EA9"/>
    <w:rsid w:val="00B30A3C"/>
    <w:rsid w:val="00B46A1E"/>
    <w:rsid w:val="00B81305"/>
    <w:rsid w:val="00B86431"/>
    <w:rsid w:val="00BB17DC"/>
    <w:rsid w:val="00BB1AF9"/>
    <w:rsid w:val="00BB4C4A"/>
    <w:rsid w:val="00BC454F"/>
    <w:rsid w:val="00BD2A77"/>
    <w:rsid w:val="00BD3CAE"/>
    <w:rsid w:val="00BD5F3C"/>
    <w:rsid w:val="00C07C0F"/>
    <w:rsid w:val="00C145C4"/>
    <w:rsid w:val="00C20D2F"/>
    <w:rsid w:val="00C2131B"/>
    <w:rsid w:val="00C33267"/>
    <w:rsid w:val="00C37AF8"/>
    <w:rsid w:val="00C37C79"/>
    <w:rsid w:val="00C41BBC"/>
    <w:rsid w:val="00C51419"/>
    <w:rsid w:val="00C54056"/>
    <w:rsid w:val="00C663A3"/>
    <w:rsid w:val="00C75CB2"/>
    <w:rsid w:val="00C90723"/>
    <w:rsid w:val="00C90D5C"/>
    <w:rsid w:val="00CA609E"/>
    <w:rsid w:val="00CA7DA4"/>
    <w:rsid w:val="00CB31FB"/>
    <w:rsid w:val="00CB4A7A"/>
    <w:rsid w:val="00CE3D6F"/>
    <w:rsid w:val="00CE79A5"/>
    <w:rsid w:val="00CF0042"/>
    <w:rsid w:val="00CF262F"/>
    <w:rsid w:val="00D025D5"/>
    <w:rsid w:val="00D1795B"/>
    <w:rsid w:val="00D26B13"/>
    <w:rsid w:val="00D26CC1"/>
    <w:rsid w:val="00D27FB8"/>
    <w:rsid w:val="00D30662"/>
    <w:rsid w:val="00D32A0B"/>
    <w:rsid w:val="00D34CFC"/>
    <w:rsid w:val="00D37226"/>
    <w:rsid w:val="00D41C41"/>
    <w:rsid w:val="00D56812"/>
    <w:rsid w:val="00D6236B"/>
    <w:rsid w:val="00D809D1"/>
    <w:rsid w:val="00D84ECF"/>
    <w:rsid w:val="00DA2851"/>
    <w:rsid w:val="00DA2B7C"/>
    <w:rsid w:val="00DA5686"/>
    <w:rsid w:val="00DB2FC0"/>
    <w:rsid w:val="00DB5746"/>
    <w:rsid w:val="00DB7BF3"/>
    <w:rsid w:val="00DF18FA"/>
    <w:rsid w:val="00DF49CA"/>
    <w:rsid w:val="00DF775B"/>
    <w:rsid w:val="00E007F3"/>
    <w:rsid w:val="00E00DEA"/>
    <w:rsid w:val="00E06EF0"/>
    <w:rsid w:val="00E11679"/>
    <w:rsid w:val="00E21DDF"/>
    <w:rsid w:val="00E307D1"/>
    <w:rsid w:val="00E46A04"/>
    <w:rsid w:val="00E717F3"/>
    <w:rsid w:val="00E722F6"/>
    <w:rsid w:val="00E72C5E"/>
    <w:rsid w:val="00E73451"/>
    <w:rsid w:val="00E7489F"/>
    <w:rsid w:val="00E75147"/>
    <w:rsid w:val="00E8167D"/>
    <w:rsid w:val="00E82706"/>
    <w:rsid w:val="00E907E9"/>
    <w:rsid w:val="00E96BE7"/>
    <w:rsid w:val="00EA2CD0"/>
    <w:rsid w:val="00EB3D25"/>
    <w:rsid w:val="00EC0044"/>
    <w:rsid w:val="00EC6B9F"/>
    <w:rsid w:val="00EE516D"/>
    <w:rsid w:val="00EF4D1B"/>
    <w:rsid w:val="00EF7295"/>
    <w:rsid w:val="00F069D1"/>
    <w:rsid w:val="00F1503D"/>
    <w:rsid w:val="00F15DB7"/>
    <w:rsid w:val="00F22712"/>
    <w:rsid w:val="00F275F5"/>
    <w:rsid w:val="00F33188"/>
    <w:rsid w:val="00F35BDE"/>
    <w:rsid w:val="00F52A0E"/>
    <w:rsid w:val="00F71F63"/>
    <w:rsid w:val="00F73600"/>
    <w:rsid w:val="00F816B3"/>
    <w:rsid w:val="00F87446"/>
    <w:rsid w:val="00F87506"/>
    <w:rsid w:val="00F90607"/>
    <w:rsid w:val="00F92411"/>
    <w:rsid w:val="00F92C41"/>
    <w:rsid w:val="00F934AA"/>
    <w:rsid w:val="00FA5522"/>
    <w:rsid w:val="00FA6E4A"/>
    <w:rsid w:val="00FB2B35"/>
    <w:rsid w:val="00FC4AE1"/>
    <w:rsid w:val="00FD5A3F"/>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28</Pages>
  <Words>11354</Words>
  <Characters>64720</Characters>
  <Application>Microsoft Office Outlook</Application>
  <DocSecurity>4</DocSecurity>
  <Lines>539</Lines>
  <Paragraphs>151</Paragraphs>
  <ScaleCrop>false</ScaleCrop>
  <HeadingPairs>
    <vt:vector size="2" baseType="variant">
      <vt:variant>
        <vt:lpstr>Название</vt:lpstr>
      </vt:variant>
      <vt:variant>
        <vt:i4>1</vt:i4>
      </vt:variant>
    </vt:vector>
  </HeadingPairs>
  <TitlesOfParts>
    <vt:vector size="1" baseType="lpstr">
      <vt:lpstr>1441818</vt:lpstr>
    </vt:vector>
  </TitlesOfParts>
  <Company>CSD</Company>
  <LinksUpToDate>false</LinksUpToDate>
  <CharactersWithSpaces>75923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1441818</dc:title>
  <dc:subject/>
  <dc:creator>Светлана Прокудина</dc:creator>
  <cp:keywords/>
  <dc:description/>
  <cp:lastModifiedBy>Svetlana Prokoudina</cp:lastModifiedBy>
  <cp:revision>2</cp:revision>
  <cp:lastPrinted>2014-04-16T08:51:00Z</cp:lastPrinted>
  <dcterms:created xsi:type="dcterms:W3CDTF">2014-04-16T11:09:00Z</dcterms:created>
  <dcterms:modified xsi:type="dcterms:W3CDTF">2014-04-16T11:09:00Z</dcterms:modified>
</cp:coreProperties>
</file>