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CC5381">
                <w:t>C/LUX/14-17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CC5381">
                <w:rPr>
                  <w:sz w:val="20"/>
                  <w:lang w:val="en-US"/>
                </w:rPr>
                <w:t>29 May 2013</w:t>
              </w:r>
            </w:fldSimple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="004F1D0F" w:rsidRPr="00CC5381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4F1D0F" w:rsidRPr="004F1D0F" w:rsidRDefault="004F1D0F" w:rsidP="004F1D0F">
      <w:pPr>
        <w:spacing w:before="120"/>
        <w:rPr>
          <w:b/>
          <w:sz w:val="24"/>
          <w:szCs w:val="24"/>
        </w:rPr>
      </w:pPr>
      <w:r w:rsidRPr="004F1D0F">
        <w:rPr>
          <w:b/>
          <w:sz w:val="24"/>
          <w:szCs w:val="24"/>
        </w:rPr>
        <w:t>Комитет по л</w:t>
      </w:r>
      <w:r w:rsidR="00A21643">
        <w:rPr>
          <w:b/>
          <w:sz w:val="24"/>
          <w:szCs w:val="24"/>
        </w:rPr>
        <w:t>иквидации расовой дискриминации</w:t>
      </w:r>
    </w:p>
    <w:p w:rsidR="004F1D0F" w:rsidRPr="004F1D0F" w:rsidRDefault="004F1D0F" w:rsidP="004F1D0F">
      <w:pPr>
        <w:pStyle w:val="HMGR"/>
      </w:pPr>
      <w:r w:rsidRPr="004F1D0F">
        <w:tab/>
      </w:r>
      <w:r w:rsidRPr="004F1D0F">
        <w:tab/>
        <w:t>Доклады, представленные государствами-участниками в соот</w:t>
      </w:r>
      <w:r w:rsidR="00A21643">
        <w:t>ветствии со статьей 9 Конвенции</w:t>
      </w:r>
    </w:p>
    <w:p w:rsidR="004F1D0F" w:rsidRPr="004F1D0F" w:rsidRDefault="004F1D0F" w:rsidP="004F1D0F">
      <w:pPr>
        <w:pStyle w:val="HChGR"/>
      </w:pPr>
      <w:r w:rsidRPr="004F1D0F">
        <w:tab/>
      </w:r>
      <w:r w:rsidRPr="004F1D0F">
        <w:tab/>
        <w:t>Четырнадцатый</w:t>
      </w:r>
      <w:r w:rsidR="00822EAA">
        <w:t>−</w:t>
      </w:r>
      <w:r w:rsidRPr="004F1D0F">
        <w:t>семнадцатый периодические доклады государств-участнико</w:t>
      </w:r>
      <w:r w:rsidR="00822EAA">
        <w:t xml:space="preserve">в, подлежавшие представлению в </w:t>
      </w:r>
      <w:r w:rsidRPr="004F1D0F">
        <w:t>2011 году</w:t>
      </w:r>
    </w:p>
    <w:p w:rsidR="004F1D0F" w:rsidRPr="004F1D0F" w:rsidRDefault="004F1D0F" w:rsidP="004F1D0F">
      <w:pPr>
        <w:pStyle w:val="HMGR"/>
      </w:pPr>
      <w:r w:rsidRPr="004F1D0F">
        <w:tab/>
      </w:r>
      <w:r w:rsidRPr="004F1D0F">
        <w:tab/>
        <w:t>Люксембург</w:t>
      </w:r>
      <w:r w:rsidRPr="00822EAA">
        <w:rPr>
          <w:b w:val="0"/>
          <w:sz w:val="20"/>
        </w:rPr>
        <w:footnoteReference w:customMarkFollows="1" w:id="1"/>
        <w:t>*</w:t>
      </w:r>
      <w:r w:rsidRPr="004F1D0F">
        <w:rPr>
          <w:b w:val="0"/>
          <w:sz w:val="18"/>
          <w:szCs w:val="18"/>
        </w:rPr>
        <w:t xml:space="preserve"> </w:t>
      </w:r>
      <w:r w:rsidRPr="00822EAA">
        <w:rPr>
          <w:b w:val="0"/>
          <w:sz w:val="20"/>
        </w:rPr>
        <w:footnoteReference w:customMarkFollows="1" w:id="2"/>
        <w:t>**</w:t>
      </w:r>
    </w:p>
    <w:p w:rsidR="004F1D0F" w:rsidRPr="004F1D0F" w:rsidRDefault="004F1D0F" w:rsidP="004F1D0F">
      <w:pPr>
        <w:pStyle w:val="SingleTxtGR"/>
        <w:jc w:val="right"/>
      </w:pPr>
      <w:r w:rsidRPr="004F1D0F">
        <w:t>[17 декабря 2012 года]</w:t>
      </w:r>
    </w:p>
    <w:p w:rsidR="00C67016" w:rsidRDefault="004F1D0F" w:rsidP="00C67016">
      <w:pPr>
        <w:pStyle w:val="SingleTxtGR"/>
        <w:suppressAutoHyphens/>
        <w:ind w:left="0" w:right="0"/>
        <w:jc w:val="left"/>
        <w:rPr>
          <w:sz w:val="28"/>
        </w:rPr>
      </w:pPr>
      <w:r w:rsidRPr="004F1D0F">
        <w:br w:type="page"/>
      </w:r>
      <w:r w:rsidR="00C67016">
        <w:rPr>
          <w:sz w:val="28"/>
        </w:rPr>
        <w:t>Содержание</w:t>
      </w:r>
    </w:p>
    <w:p w:rsidR="00C67016" w:rsidRDefault="00C67016" w:rsidP="00C6701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929"/>
          <w:tab w:val="right" w:pos="9638"/>
        </w:tabs>
        <w:suppressAutoHyphens/>
        <w:ind w:left="283" w:right="0"/>
        <w:jc w:val="left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4F1D0F" w:rsidRPr="004F1D0F" w:rsidRDefault="004F1D0F" w:rsidP="00A5267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620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4F1D0F">
        <w:tab/>
      </w:r>
      <w:r w:rsidRPr="004F1D0F">
        <w:tab/>
        <w:t>Статья 1</w:t>
      </w:r>
      <w:r w:rsidRPr="004F1D0F">
        <w:tab/>
      </w:r>
      <w:r w:rsidR="00C67016" w:rsidRPr="006752CB">
        <w:tab/>
      </w:r>
      <w:r w:rsidRPr="004F1D0F">
        <w:t>1</w:t>
      </w:r>
      <w:r w:rsidRPr="004F1D0F">
        <w:tab/>
      </w:r>
      <w:r w:rsidR="006752CB">
        <w:t>3</w:t>
      </w:r>
    </w:p>
    <w:p w:rsidR="004F1D0F" w:rsidRPr="004F1D0F" w:rsidRDefault="004F1D0F" w:rsidP="00A5267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620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4F1D0F">
        <w:tab/>
      </w:r>
      <w:r w:rsidRPr="004F1D0F">
        <w:tab/>
        <w:t>Статья 2</w:t>
      </w:r>
      <w:r w:rsidRPr="004F1D0F">
        <w:tab/>
      </w:r>
      <w:r w:rsidRPr="004F1D0F">
        <w:tab/>
        <w:t>2–22</w:t>
      </w:r>
      <w:r w:rsidRPr="004F1D0F">
        <w:tab/>
      </w:r>
      <w:r w:rsidR="006752CB">
        <w:t>3</w:t>
      </w:r>
    </w:p>
    <w:p w:rsidR="004F1D0F" w:rsidRPr="004F1D0F" w:rsidRDefault="004F1D0F" w:rsidP="00C6701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4F1D0F">
        <w:tab/>
      </w:r>
      <w:r w:rsidRPr="004F1D0F">
        <w:tab/>
      </w:r>
      <w:r w:rsidRPr="004F1D0F">
        <w:tab/>
      </w:r>
      <w:r w:rsidRPr="00C67016">
        <w:t>A</w:t>
      </w:r>
      <w:r w:rsidRPr="004F1D0F">
        <w:t>.</w:t>
      </w:r>
      <w:r w:rsidRPr="004F1D0F">
        <w:tab/>
        <w:t xml:space="preserve">Правовые рамки и общая политика, направленные </w:t>
      </w:r>
      <w:r w:rsidR="006752CB">
        <w:br/>
      </w:r>
      <w:r w:rsidR="006752CB">
        <w:tab/>
      </w:r>
      <w:r w:rsidR="006752CB">
        <w:tab/>
      </w:r>
      <w:r w:rsidR="006752CB">
        <w:tab/>
      </w:r>
      <w:r w:rsidR="006752CB">
        <w:tab/>
      </w:r>
      <w:r w:rsidRPr="004F1D0F">
        <w:t>на ликвидацию расовой дискриминации</w:t>
      </w:r>
      <w:r w:rsidRPr="004F1D0F">
        <w:tab/>
      </w:r>
      <w:r w:rsidRPr="004F1D0F">
        <w:tab/>
        <w:t>2–13</w:t>
      </w:r>
      <w:r w:rsidRPr="004F1D0F">
        <w:tab/>
      </w:r>
      <w:r w:rsidR="006752CB">
        <w:t>3</w:t>
      </w:r>
    </w:p>
    <w:p w:rsidR="004F1D0F" w:rsidRPr="004F1D0F" w:rsidRDefault="004F1D0F" w:rsidP="00C6701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4F1D0F">
        <w:tab/>
      </w:r>
      <w:r w:rsidRPr="004F1D0F">
        <w:tab/>
      </w:r>
      <w:r w:rsidRPr="004F1D0F">
        <w:tab/>
      </w:r>
      <w:r w:rsidRPr="00C67016">
        <w:t>B</w:t>
      </w:r>
      <w:r w:rsidRPr="004F1D0F">
        <w:t>.</w:t>
      </w:r>
      <w:r w:rsidRPr="004F1D0F">
        <w:tab/>
        <w:t xml:space="preserve">Конкретная информация о принятых законодательных, </w:t>
      </w:r>
      <w:r w:rsidR="00C67016" w:rsidRPr="00C67016">
        <w:br/>
      </w:r>
      <w:r w:rsidR="00C67016" w:rsidRPr="00C67016">
        <w:tab/>
      </w:r>
      <w:r w:rsidR="00C67016" w:rsidRPr="00C67016">
        <w:tab/>
      </w:r>
      <w:r w:rsidR="00C67016" w:rsidRPr="00C67016">
        <w:tab/>
      </w:r>
      <w:r w:rsidR="00C67016" w:rsidRPr="00C67016">
        <w:tab/>
      </w:r>
      <w:r w:rsidRPr="004F1D0F">
        <w:t>судебных, административных или иных мерах</w:t>
      </w:r>
      <w:r w:rsidRPr="004F1D0F">
        <w:tab/>
      </w:r>
      <w:r w:rsidRPr="004F1D0F">
        <w:tab/>
        <w:t>14–22</w:t>
      </w:r>
      <w:r w:rsidRPr="004F1D0F">
        <w:tab/>
      </w:r>
      <w:r w:rsidR="006752CB">
        <w:t>4</w:t>
      </w:r>
    </w:p>
    <w:p w:rsidR="004F1D0F" w:rsidRPr="004F1D0F" w:rsidRDefault="00C67016" w:rsidP="00C76B7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pos="2160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6752CB">
        <w:tab/>
      </w:r>
      <w:r w:rsidRPr="006752CB">
        <w:rPr>
          <w:spacing w:val="2"/>
          <w:w w:val="102"/>
        </w:rPr>
        <w:tab/>
      </w:r>
      <w:r w:rsidR="004A05A2" w:rsidRPr="003B0634">
        <w:rPr>
          <w:spacing w:val="2"/>
          <w:w w:val="102"/>
        </w:rPr>
        <w:t>Статья 3</w:t>
      </w:r>
      <w:r w:rsidRPr="004A05A2">
        <w:tab/>
      </w:r>
      <w:r w:rsidR="004F1D0F" w:rsidRPr="004F1D0F">
        <w:t xml:space="preserve">Информация о законодательных, судебных, </w:t>
      </w:r>
      <w:r w:rsidR="003B0634">
        <w:br/>
      </w:r>
      <w:r w:rsidR="003B0634">
        <w:tab/>
      </w:r>
      <w:r w:rsidR="003B0634">
        <w:tab/>
      </w:r>
      <w:r w:rsidR="003B0634">
        <w:tab/>
      </w:r>
      <w:r w:rsidR="003B0634">
        <w:tab/>
      </w:r>
      <w:r w:rsidR="004F1D0F" w:rsidRPr="004F1D0F">
        <w:t>административных или</w:t>
      </w:r>
      <w:r w:rsidR="00C76B71" w:rsidRPr="00C76B71">
        <w:t xml:space="preserve"> </w:t>
      </w:r>
      <w:r w:rsidR="00C76B71">
        <w:t>и</w:t>
      </w:r>
      <w:r w:rsidR="004F1D0F" w:rsidRPr="004F1D0F">
        <w:t xml:space="preserve">ных мерах, обеспечивающих </w:t>
      </w:r>
      <w:r w:rsidR="003B0634">
        <w:br/>
      </w:r>
      <w:r w:rsidR="003B0634">
        <w:tab/>
      </w:r>
      <w:r w:rsidR="003B0634">
        <w:tab/>
      </w:r>
      <w:r w:rsidR="003B0634">
        <w:tab/>
      </w:r>
      <w:r w:rsidR="003B0634">
        <w:tab/>
      </w:r>
      <w:r w:rsidR="004F1D0F" w:rsidRPr="004F1D0F">
        <w:t>осуществление положений статьи 3 Конвенции</w:t>
      </w:r>
      <w:r w:rsidR="004F1D0F" w:rsidRPr="004F1D0F">
        <w:tab/>
      </w:r>
      <w:r w:rsidR="004F1D0F" w:rsidRPr="004F1D0F">
        <w:tab/>
        <w:t>23–41</w:t>
      </w:r>
      <w:r w:rsidR="004F1D0F" w:rsidRPr="004F1D0F">
        <w:tab/>
      </w:r>
      <w:r w:rsidR="006752CB">
        <w:t>7</w:t>
      </w:r>
    </w:p>
    <w:p w:rsidR="004F1D0F" w:rsidRPr="004F1D0F" w:rsidRDefault="004F1D0F" w:rsidP="00A5267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800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4F1D0F">
        <w:tab/>
      </w:r>
      <w:r w:rsidRPr="004F1D0F">
        <w:tab/>
        <w:t>Статья 4</w:t>
      </w:r>
      <w:r w:rsidRPr="004F1D0F">
        <w:tab/>
      </w:r>
      <w:r w:rsidRPr="004F1D0F">
        <w:tab/>
        <w:t>42</w:t>
      </w:r>
      <w:r w:rsidRPr="004F1D0F">
        <w:tab/>
      </w:r>
      <w:r w:rsidR="006752CB">
        <w:t>10</w:t>
      </w:r>
    </w:p>
    <w:p w:rsidR="004F1D0F" w:rsidRPr="004F1D0F" w:rsidRDefault="00C76B71" w:rsidP="00C76B7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pos="2160"/>
          <w:tab w:val="left" w:pos="2340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>
        <w:tab/>
      </w:r>
      <w:r w:rsidRPr="004A05A2">
        <w:rPr>
          <w:spacing w:val="2"/>
          <w:w w:val="102"/>
        </w:rPr>
        <w:tab/>
      </w:r>
      <w:r w:rsidR="004A05A2" w:rsidRPr="004A05A2">
        <w:rPr>
          <w:spacing w:val="2"/>
          <w:w w:val="102"/>
        </w:rPr>
        <w:t>Статья 5</w:t>
      </w:r>
      <w:r w:rsidR="004F1D0F" w:rsidRPr="004F1D0F">
        <w:tab/>
        <w:t xml:space="preserve">Информация о законодательных, судебных, </w:t>
      </w:r>
      <w:r w:rsidR="004A05A2">
        <w:br/>
      </w:r>
      <w:r w:rsidR="004A05A2">
        <w:tab/>
      </w:r>
      <w:r w:rsidR="004A05A2">
        <w:tab/>
      </w:r>
      <w:r w:rsidR="004A05A2">
        <w:tab/>
      </w:r>
      <w:r w:rsidR="004A05A2">
        <w:tab/>
      </w:r>
      <w:r w:rsidR="004F1D0F" w:rsidRPr="004F1D0F">
        <w:t>административных или</w:t>
      </w:r>
      <w:r>
        <w:t xml:space="preserve"> </w:t>
      </w:r>
      <w:r w:rsidR="004F1D0F" w:rsidRPr="004F1D0F">
        <w:t xml:space="preserve">иных мерах, обеспечивающих </w:t>
      </w:r>
      <w:r w:rsidR="004A05A2">
        <w:br/>
      </w:r>
      <w:r w:rsidR="004A05A2">
        <w:tab/>
      </w:r>
      <w:r w:rsidR="004A05A2">
        <w:tab/>
      </w:r>
      <w:r w:rsidR="004A05A2">
        <w:tab/>
      </w:r>
      <w:r w:rsidR="004A05A2">
        <w:tab/>
      </w:r>
      <w:r w:rsidR="004F1D0F" w:rsidRPr="004F1D0F">
        <w:t>осуществление положений статьи 5 Конвенции</w:t>
      </w:r>
      <w:r w:rsidR="004F1D0F" w:rsidRPr="004F1D0F">
        <w:tab/>
      </w:r>
      <w:r w:rsidR="004F1D0F" w:rsidRPr="004F1D0F">
        <w:tab/>
        <w:t>43–116</w:t>
      </w:r>
      <w:r w:rsidR="004F1D0F" w:rsidRPr="004F1D0F">
        <w:tab/>
      </w:r>
      <w:r w:rsidR="006752CB">
        <w:t>10</w:t>
      </w:r>
    </w:p>
    <w:p w:rsidR="004F1D0F" w:rsidRPr="004F1D0F" w:rsidRDefault="004F1D0F" w:rsidP="00C76B7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pos="2160"/>
          <w:tab w:val="left" w:pos="2340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4F1D0F">
        <w:tab/>
      </w:r>
      <w:r w:rsidRPr="004F1D0F">
        <w:tab/>
      </w:r>
      <w:r w:rsidRPr="004F1D0F">
        <w:tab/>
      </w:r>
      <w:r w:rsidRPr="00C67016">
        <w:t>A</w:t>
      </w:r>
      <w:r w:rsidRPr="004F1D0F">
        <w:t>.</w:t>
      </w:r>
      <w:r w:rsidRPr="004F1D0F">
        <w:tab/>
        <w:t>Право на рав</w:t>
      </w:r>
      <w:r w:rsidR="006752CB">
        <w:t>енство перед судом и всеми другими</w:t>
      </w:r>
      <w:r w:rsidRPr="004F1D0F">
        <w:t xml:space="preserve"> о</w:t>
      </w:r>
      <w:r w:rsidRPr="004F1D0F">
        <w:t>р</w:t>
      </w:r>
      <w:r w:rsidRPr="004F1D0F">
        <w:t>гана</w:t>
      </w:r>
      <w:r w:rsidR="006752CB">
        <w:t>ми</w:t>
      </w:r>
      <w:r w:rsidRPr="004F1D0F">
        <w:t xml:space="preserve">, </w:t>
      </w:r>
      <w:r w:rsidRPr="004F1D0F">
        <w:br/>
      </w:r>
      <w:r w:rsidR="00C76B71">
        <w:tab/>
      </w:r>
      <w:r w:rsidR="00C76B71">
        <w:tab/>
      </w:r>
      <w:r w:rsidR="00C76B71">
        <w:tab/>
      </w:r>
      <w:r w:rsidR="00C76B71">
        <w:tab/>
      </w:r>
      <w:r w:rsidRPr="004F1D0F">
        <w:t>отправл</w:t>
      </w:r>
      <w:r w:rsidR="006752CB">
        <w:t>яющими</w:t>
      </w:r>
      <w:r w:rsidRPr="004F1D0F">
        <w:t xml:space="preserve"> правосудие</w:t>
      </w:r>
      <w:r w:rsidRPr="004F1D0F">
        <w:tab/>
      </w:r>
      <w:r w:rsidR="00C76B71">
        <w:tab/>
      </w:r>
      <w:r w:rsidRPr="004F1D0F">
        <w:tab/>
      </w:r>
      <w:r w:rsidR="006752CB">
        <w:t>10</w:t>
      </w:r>
    </w:p>
    <w:p w:rsidR="004F1D0F" w:rsidRPr="004F1D0F" w:rsidRDefault="004F1D0F" w:rsidP="00C76B7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pos="2160"/>
          <w:tab w:val="left" w:pos="2340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4F1D0F">
        <w:tab/>
      </w:r>
      <w:r w:rsidRPr="004F1D0F">
        <w:tab/>
      </w:r>
      <w:r w:rsidRPr="004F1D0F">
        <w:tab/>
      </w:r>
      <w:r w:rsidRPr="00C67016">
        <w:t>B</w:t>
      </w:r>
      <w:r w:rsidRPr="004F1D0F">
        <w:t>.</w:t>
      </w:r>
      <w:r w:rsidRPr="004F1D0F">
        <w:tab/>
        <w:t xml:space="preserve">Право на личную </w:t>
      </w:r>
      <w:r w:rsidR="006752CB">
        <w:t>безопасность</w:t>
      </w:r>
      <w:r w:rsidRPr="004F1D0F">
        <w:t xml:space="preserve"> и защиту со стороны </w:t>
      </w:r>
      <w:r w:rsidR="006752CB">
        <w:br/>
      </w:r>
      <w:r w:rsidR="006752CB">
        <w:tab/>
      </w:r>
      <w:r w:rsidR="006752CB">
        <w:tab/>
      </w:r>
      <w:r w:rsidR="006752CB">
        <w:tab/>
      </w:r>
      <w:r w:rsidR="006752CB">
        <w:tab/>
      </w:r>
      <w:r w:rsidRPr="004F1D0F">
        <w:t>государства</w:t>
      </w:r>
      <w:r w:rsidR="00C76B71">
        <w:t xml:space="preserve"> </w:t>
      </w:r>
      <w:r w:rsidRPr="004F1D0F">
        <w:t xml:space="preserve">от насилия или телесных повреждений, </w:t>
      </w:r>
      <w:r w:rsidR="006752CB">
        <w:br/>
      </w:r>
      <w:r w:rsidR="006752CB">
        <w:tab/>
      </w:r>
      <w:r w:rsidR="006752CB">
        <w:tab/>
      </w:r>
      <w:r w:rsidR="006752CB">
        <w:tab/>
      </w:r>
      <w:r w:rsidR="006752CB">
        <w:tab/>
        <w:t xml:space="preserve">причиняемых </w:t>
      </w:r>
      <w:r w:rsidRPr="004F1D0F">
        <w:t xml:space="preserve">как </w:t>
      </w:r>
      <w:r w:rsidR="006752CB">
        <w:t xml:space="preserve">правительственными </w:t>
      </w:r>
      <w:r w:rsidRPr="004F1D0F">
        <w:t xml:space="preserve">должностными </w:t>
      </w:r>
      <w:r w:rsidR="006752CB">
        <w:br/>
      </w:r>
      <w:r w:rsidR="006752CB">
        <w:tab/>
      </w:r>
      <w:r w:rsidR="006752CB">
        <w:tab/>
      </w:r>
      <w:r w:rsidR="006752CB">
        <w:tab/>
      </w:r>
      <w:r w:rsidR="006752CB">
        <w:tab/>
      </w:r>
      <w:r w:rsidRPr="004F1D0F">
        <w:t xml:space="preserve">лицами, так и </w:t>
      </w:r>
      <w:r w:rsidR="0048296E">
        <w:t xml:space="preserve">какими бы то ни было отдельными </w:t>
      </w:r>
      <w:r w:rsidRPr="004F1D0F">
        <w:t xml:space="preserve">лицами, </w:t>
      </w:r>
      <w:r w:rsidR="0048296E">
        <w:br/>
      </w:r>
      <w:r w:rsidR="0048296E">
        <w:tab/>
      </w:r>
      <w:r w:rsidR="0048296E">
        <w:tab/>
      </w:r>
      <w:r w:rsidR="0048296E">
        <w:tab/>
      </w:r>
      <w:r w:rsidR="0048296E">
        <w:tab/>
      </w:r>
      <w:r w:rsidRPr="004F1D0F">
        <w:t xml:space="preserve">группами </w:t>
      </w:r>
      <w:r w:rsidR="00C76B71" w:rsidRPr="004F1D0F">
        <w:t xml:space="preserve">или </w:t>
      </w:r>
      <w:r w:rsidRPr="004F1D0F">
        <w:t>учреждениями</w:t>
      </w:r>
      <w:r w:rsidRPr="004F1D0F">
        <w:tab/>
      </w:r>
      <w:r w:rsidRPr="004F1D0F">
        <w:tab/>
        <w:t>44–54</w:t>
      </w:r>
      <w:r w:rsidRPr="004F1D0F">
        <w:tab/>
      </w:r>
      <w:r w:rsidR="0048296E">
        <w:t>10</w:t>
      </w:r>
    </w:p>
    <w:p w:rsidR="004F1D0F" w:rsidRPr="004F1D0F" w:rsidRDefault="004F1D0F" w:rsidP="00C76B7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pos="2160"/>
          <w:tab w:val="left" w:pos="2340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4F1D0F">
        <w:tab/>
      </w:r>
      <w:r w:rsidRPr="004F1D0F">
        <w:tab/>
      </w:r>
      <w:r w:rsidRPr="004F1D0F">
        <w:tab/>
      </w:r>
      <w:r w:rsidRPr="00C67016">
        <w:t>C</w:t>
      </w:r>
      <w:r w:rsidRPr="004F1D0F">
        <w:t>.</w:t>
      </w:r>
      <w:r w:rsidRPr="004F1D0F">
        <w:tab/>
        <w:t>Политические права</w:t>
      </w:r>
      <w:r w:rsidRPr="004F1D0F">
        <w:tab/>
      </w:r>
      <w:r w:rsidRPr="004F1D0F">
        <w:tab/>
        <w:t>55–71</w:t>
      </w:r>
      <w:r w:rsidRPr="004F1D0F">
        <w:tab/>
      </w:r>
      <w:r w:rsidR="0048296E">
        <w:t>12</w:t>
      </w:r>
    </w:p>
    <w:p w:rsidR="004F1D0F" w:rsidRPr="004F1D0F" w:rsidRDefault="004F1D0F" w:rsidP="00C76B7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pos="2160"/>
          <w:tab w:val="left" w:pos="2340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4F1D0F">
        <w:tab/>
      </w:r>
      <w:r w:rsidRPr="004F1D0F">
        <w:tab/>
      </w:r>
      <w:r w:rsidRPr="004F1D0F">
        <w:tab/>
      </w:r>
      <w:r w:rsidRPr="00C67016">
        <w:t>D</w:t>
      </w:r>
      <w:r w:rsidRPr="004F1D0F">
        <w:t>.</w:t>
      </w:r>
      <w:r w:rsidRPr="004F1D0F">
        <w:tab/>
        <w:t>Другие гражданские права</w:t>
      </w:r>
      <w:r w:rsidRPr="004F1D0F">
        <w:tab/>
      </w:r>
      <w:r w:rsidRPr="004F1D0F">
        <w:tab/>
        <w:t>72–76</w:t>
      </w:r>
      <w:r w:rsidRPr="004F1D0F">
        <w:tab/>
      </w:r>
      <w:r w:rsidR="0048296E">
        <w:t>14</w:t>
      </w:r>
    </w:p>
    <w:p w:rsidR="004F1D0F" w:rsidRPr="004F1D0F" w:rsidRDefault="004F1D0F" w:rsidP="00C76B7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pos="2160"/>
          <w:tab w:val="left" w:pos="2340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4F1D0F">
        <w:tab/>
      </w:r>
      <w:r w:rsidRPr="004F1D0F">
        <w:tab/>
      </w:r>
      <w:r w:rsidRPr="004F1D0F">
        <w:tab/>
      </w:r>
      <w:r w:rsidRPr="00C67016">
        <w:t>E</w:t>
      </w:r>
      <w:r w:rsidRPr="004F1D0F">
        <w:t>.</w:t>
      </w:r>
      <w:r w:rsidRPr="004F1D0F">
        <w:tab/>
        <w:t>Права в экономической, социальной и культурной о</w:t>
      </w:r>
      <w:r w:rsidRPr="004F1D0F">
        <w:t>б</w:t>
      </w:r>
      <w:r w:rsidRPr="004F1D0F">
        <w:t>ластях</w:t>
      </w:r>
      <w:r w:rsidRPr="004F1D0F">
        <w:tab/>
      </w:r>
      <w:r w:rsidRPr="004F1D0F">
        <w:tab/>
        <w:t>77–116</w:t>
      </w:r>
      <w:r w:rsidRPr="004F1D0F">
        <w:tab/>
      </w:r>
      <w:r w:rsidR="0048296E">
        <w:t>15</w:t>
      </w:r>
    </w:p>
    <w:p w:rsidR="004F1D0F" w:rsidRPr="004F1D0F" w:rsidRDefault="004F1D0F" w:rsidP="00A5267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620"/>
          <w:tab w:val="left" w:pos="1800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4F1D0F">
        <w:tab/>
      </w:r>
      <w:r w:rsidRPr="004F1D0F">
        <w:tab/>
        <w:t>Статья 6</w:t>
      </w:r>
      <w:r w:rsidR="00A867C6">
        <w:tab/>
      </w:r>
      <w:r w:rsidRPr="004F1D0F">
        <w:tab/>
        <w:t>117–118</w:t>
      </w:r>
      <w:r w:rsidRPr="004F1D0F">
        <w:tab/>
      </w:r>
      <w:r w:rsidR="0048296E">
        <w:t>23</w:t>
      </w:r>
    </w:p>
    <w:p w:rsidR="004F1D0F" w:rsidRPr="004F1D0F" w:rsidRDefault="004F1D0F" w:rsidP="00C76B7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pos="2160"/>
          <w:tab w:val="left" w:pos="2340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4F1D0F">
        <w:tab/>
      </w:r>
      <w:r w:rsidRPr="004F1D0F">
        <w:tab/>
      </w:r>
      <w:r w:rsidRPr="004F1D0F">
        <w:tab/>
      </w:r>
      <w:r w:rsidRPr="00C67016">
        <w:t>A</w:t>
      </w:r>
      <w:r w:rsidRPr="004F1D0F">
        <w:t>.</w:t>
      </w:r>
      <w:r w:rsidRPr="004F1D0F">
        <w:tab/>
        <w:t xml:space="preserve">Информация о законодательных, судебных, </w:t>
      </w:r>
      <w:r w:rsidR="00A867C6">
        <w:br/>
      </w:r>
      <w:r w:rsidR="00A867C6">
        <w:tab/>
      </w:r>
      <w:r w:rsidR="00A867C6">
        <w:tab/>
      </w:r>
      <w:r w:rsidR="00A867C6">
        <w:tab/>
      </w:r>
      <w:r w:rsidR="00A867C6">
        <w:tab/>
      </w:r>
      <w:r w:rsidRPr="004F1D0F">
        <w:t xml:space="preserve">административных или иных мерах, обеспечивающих </w:t>
      </w:r>
      <w:r w:rsidR="00822EAA">
        <w:br/>
      </w:r>
      <w:r w:rsidR="00822EAA">
        <w:tab/>
      </w:r>
      <w:r w:rsidR="00822EAA">
        <w:tab/>
      </w:r>
      <w:r w:rsidR="00822EAA">
        <w:tab/>
      </w:r>
      <w:r w:rsidR="00822EAA">
        <w:tab/>
      </w:r>
      <w:r w:rsidRPr="004F1D0F">
        <w:t>осуществление положений статьи 6 Конвенции</w:t>
      </w:r>
      <w:r w:rsidRPr="004F1D0F">
        <w:tab/>
      </w:r>
      <w:r w:rsidRPr="004F1D0F">
        <w:tab/>
        <w:t>117</w:t>
      </w:r>
      <w:r w:rsidRPr="004F1D0F">
        <w:tab/>
      </w:r>
      <w:r w:rsidR="0048296E">
        <w:t>23</w:t>
      </w:r>
    </w:p>
    <w:p w:rsidR="004F1D0F" w:rsidRDefault="004F1D0F" w:rsidP="00C76B7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pos="2160"/>
          <w:tab w:val="left" w:pos="2340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4F1D0F">
        <w:tab/>
      </w:r>
      <w:r w:rsidRPr="004F1D0F">
        <w:tab/>
      </w:r>
      <w:r w:rsidRPr="004F1D0F">
        <w:tab/>
      </w:r>
      <w:r w:rsidRPr="00C67016">
        <w:t>B</w:t>
      </w:r>
      <w:r w:rsidRPr="004F1D0F">
        <w:t>.</w:t>
      </w:r>
      <w:r w:rsidRPr="004F1D0F">
        <w:tab/>
      </w:r>
      <w:r w:rsidR="0048296E">
        <w:t>Информация</w:t>
      </w:r>
      <w:r w:rsidRPr="004F1D0F">
        <w:t xml:space="preserve"> об осуществлении пункта 2 статьи 14</w:t>
      </w:r>
      <w:r w:rsidRPr="004F1D0F">
        <w:tab/>
      </w:r>
      <w:r w:rsidRPr="004F1D0F">
        <w:tab/>
        <w:t>118</w:t>
      </w:r>
      <w:r w:rsidRPr="004F1D0F">
        <w:tab/>
      </w:r>
      <w:r w:rsidR="0048296E">
        <w:t>24</w:t>
      </w:r>
    </w:p>
    <w:p w:rsidR="004A05A2" w:rsidRPr="004A05A2" w:rsidRDefault="004A05A2" w:rsidP="00C76B7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pos="2160"/>
          <w:tab w:val="left" w:pos="2340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  <w:rPr>
          <w:spacing w:val="2"/>
        </w:rPr>
      </w:pPr>
      <w:r>
        <w:tab/>
      </w:r>
      <w:r w:rsidRPr="004A05A2">
        <w:rPr>
          <w:w w:val="102"/>
        </w:rPr>
        <w:tab/>
      </w:r>
      <w:r w:rsidRPr="004A05A2">
        <w:rPr>
          <w:spacing w:val="2"/>
          <w:w w:val="102"/>
        </w:rPr>
        <w:t>Статья 7</w:t>
      </w:r>
      <w:r w:rsidRPr="004A05A2">
        <w:rPr>
          <w:spacing w:val="2"/>
        </w:rPr>
        <w:tab/>
      </w:r>
      <w:r w:rsidRPr="004F1D0F">
        <w:t>Информация о законодательных, судебных,</w:t>
      </w:r>
      <w:r>
        <w:br/>
      </w:r>
      <w:r>
        <w:tab/>
      </w:r>
      <w:r>
        <w:tab/>
      </w:r>
      <w:r>
        <w:tab/>
      </w:r>
      <w:r>
        <w:tab/>
      </w:r>
      <w:r w:rsidRPr="004F1D0F">
        <w:t>административных или иных мерах, обеспечивающих</w:t>
      </w:r>
      <w:r>
        <w:br/>
      </w:r>
      <w:r>
        <w:tab/>
      </w:r>
      <w:r>
        <w:tab/>
      </w:r>
      <w:r>
        <w:tab/>
      </w:r>
      <w:r>
        <w:tab/>
      </w:r>
      <w:r w:rsidRPr="004F1D0F">
        <w:t>осуществление положений статьи 7 Конвенции</w:t>
      </w:r>
      <w:r>
        <w:tab/>
      </w:r>
      <w:r>
        <w:tab/>
      </w:r>
      <w:r w:rsidRPr="004F1D0F">
        <w:t>119–140</w:t>
      </w:r>
      <w:r>
        <w:tab/>
      </w:r>
      <w:r w:rsidR="0048296E">
        <w:t>24</w:t>
      </w:r>
    </w:p>
    <w:p w:rsidR="004F1D0F" w:rsidRPr="004F1D0F" w:rsidRDefault="004F1D0F" w:rsidP="00C6701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4F1D0F">
        <w:tab/>
      </w:r>
      <w:r w:rsidRPr="004F1D0F">
        <w:tab/>
      </w:r>
      <w:r w:rsidRPr="004F1D0F">
        <w:tab/>
      </w:r>
      <w:r w:rsidRPr="00C67016">
        <w:t>A</w:t>
      </w:r>
      <w:r w:rsidRPr="004F1D0F">
        <w:t>.</w:t>
      </w:r>
      <w:r w:rsidRPr="004F1D0F">
        <w:tab/>
        <w:t>Воспитание и преподавание</w:t>
      </w:r>
      <w:r w:rsidRPr="004F1D0F">
        <w:tab/>
      </w:r>
      <w:r w:rsidRPr="004F1D0F">
        <w:tab/>
        <w:t>119–121</w:t>
      </w:r>
      <w:r w:rsidRPr="004F1D0F">
        <w:tab/>
      </w:r>
      <w:r w:rsidR="0048296E">
        <w:t>24</w:t>
      </w:r>
    </w:p>
    <w:p w:rsidR="004F1D0F" w:rsidRPr="004F1D0F" w:rsidRDefault="004F1D0F" w:rsidP="00C6701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4F1D0F">
        <w:tab/>
      </w:r>
      <w:r w:rsidRPr="004F1D0F">
        <w:tab/>
      </w:r>
      <w:r w:rsidRPr="004F1D0F">
        <w:tab/>
      </w:r>
      <w:r w:rsidRPr="00C67016">
        <w:t>B</w:t>
      </w:r>
      <w:r w:rsidRPr="004F1D0F">
        <w:t>.</w:t>
      </w:r>
      <w:r w:rsidRPr="004F1D0F">
        <w:tab/>
        <w:t>Культура</w:t>
      </w:r>
      <w:r w:rsidRPr="004F1D0F">
        <w:tab/>
      </w:r>
      <w:r w:rsidRPr="004F1D0F">
        <w:tab/>
        <w:t>122–131</w:t>
      </w:r>
      <w:r w:rsidRPr="004F1D0F">
        <w:tab/>
      </w:r>
      <w:r w:rsidR="0048296E">
        <w:t>25</w:t>
      </w:r>
    </w:p>
    <w:p w:rsidR="004F1D0F" w:rsidRPr="004F1D0F" w:rsidRDefault="004F1D0F" w:rsidP="00C6701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ind w:left="0" w:right="0"/>
        <w:jc w:val="left"/>
      </w:pPr>
      <w:r w:rsidRPr="004F1D0F">
        <w:tab/>
      </w:r>
      <w:r w:rsidRPr="004F1D0F">
        <w:tab/>
      </w:r>
      <w:r w:rsidRPr="004F1D0F">
        <w:tab/>
      </w:r>
      <w:r w:rsidRPr="00C67016">
        <w:t>C</w:t>
      </w:r>
      <w:r w:rsidRPr="004F1D0F">
        <w:t>.</w:t>
      </w:r>
      <w:r w:rsidRPr="004F1D0F">
        <w:tab/>
        <w:t>Информация</w:t>
      </w:r>
      <w:r w:rsidRPr="004F1D0F">
        <w:tab/>
      </w:r>
      <w:r w:rsidRPr="004F1D0F">
        <w:tab/>
        <w:t>132–136</w:t>
      </w:r>
      <w:r w:rsidRPr="004F1D0F">
        <w:tab/>
      </w:r>
      <w:r w:rsidR="0048296E">
        <w:t>26</w:t>
      </w:r>
    </w:p>
    <w:p w:rsidR="004F1D0F" w:rsidRPr="004F1D0F" w:rsidRDefault="004F1D0F" w:rsidP="00C45213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360"/>
          <w:tab w:val="left" w:pos="540"/>
          <w:tab w:val="left" w:leader="dot" w:pos="8931"/>
          <w:tab w:val="right" w:pos="9638"/>
        </w:tabs>
        <w:suppressAutoHyphens/>
        <w:ind w:left="0" w:right="0"/>
        <w:jc w:val="left"/>
      </w:pPr>
      <w:r w:rsidRPr="004F1D0F">
        <w:t>Приложение</w:t>
      </w:r>
      <w:r w:rsidRPr="004F1D0F">
        <w:tab/>
      </w:r>
      <w:r w:rsidR="00A867C6">
        <w:tab/>
      </w:r>
      <w:r w:rsidR="0048296E">
        <w:t>28</w:t>
      </w:r>
    </w:p>
    <w:p w:rsidR="004F1D0F" w:rsidRPr="001914B3" w:rsidRDefault="004F1D0F" w:rsidP="001914B3">
      <w:pPr>
        <w:pStyle w:val="HChGR"/>
      </w:pPr>
      <w:r w:rsidRPr="004F1D0F">
        <w:br w:type="page"/>
      </w:r>
      <w:r w:rsidRPr="004F1D0F">
        <w:tab/>
      </w:r>
      <w:r w:rsidRPr="004F1D0F">
        <w:tab/>
        <w:t>Статья</w:t>
      </w:r>
      <w:r w:rsidRPr="001914B3">
        <w:t xml:space="preserve"> 1</w:t>
      </w:r>
    </w:p>
    <w:p w:rsidR="004F1D0F" w:rsidRPr="004F1D0F" w:rsidRDefault="001914B3" w:rsidP="004F1D0F">
      <w:pPr>
        <w:pStyle w:val="SingleTxtGR"/>
      </w:pPr>
      <w:r>
        <w:t>1.</w:t>
      </w:r>
      <w:r>
        <w:tab/>
        <w:t xml:space="preserve">Касаясь вопроса об </w:t>
      </w:r>
      <w:r w:rsidR="004F1D0F" w:rsidRPr="004F1D0F">
        <w:t>оценк</w:t>
      </w:r>
      <w:r>
        <w:t>е</w:t>
      </w:r>
      <w:r w:rsidR="004F1D0F" w:rsidRPr="004F1D0F">
        <w:t xml:space="preserve"> соответствия определения расовой дискрим</w:t>
      </w:r>
      <w:r w:rsidR="004F1D0F" w:rsidRPr="004F1D0F">
        <w:t>и</w:t>
      </w:r>
      <w:r w:rsidR="004F1D0F" w:rsidRPr="004F1D0F">
        <w:t>нации во внутреннем законодательстве определению, фигурирующе</w:t>
      </w:r>
      <w:r>
        <w:t>му в пун</w:t>
      </w:r>
      <w:r>
        <w:t>к</w:t>
      </w:r>
      <w:r>
        <w:t>те </w:t>
      </w:r>
      <w:r w:rsidR="004F1D0F" w:rsidRPr="004F1D0F">
        <w:t xml:space="preserve">1 статьи 1 Конвенции, следует отметить, что 13 февраля 2011 </w:t>
      </w:r>
      <w:r w:rsidR="003B0634">
        <w:t xml:space="preserve">года </w:t>
      </w:r>
      <w:r w:rsidR="004F1D0F" w:rsidRPr="004F1D0F">
        <w:t>был пр</w:t>
      </w:r>
      <w:r w:rsidR="004F1D0F" w:rsidRPr="004F1D0F">
        <w:t>и</w:t>
      </w:r>
      <w:r>
        <w:t>нят З</w:t>
      </w:r>
      <w:r w:rsidR="004F1D0F" w:rsidRPr="004F1D0F">
        <w:t>акон о внесении изменений в статью 457-3 Уголовного кодекса, обеспеч</w:t>
      </w:r>
      <w:r w:rsidR="004F1D0F" w:rsidRPr="004F1D0F">
        <w:t>и</w:t>
      </w:r>
      <w:r w:rsidR="004F1D0F" w:rsidRPr="004F1D0F">
        <w:t>вающий инкорпорацию рамочного постановления от 28 ноября 2008 года о борьбе с некоторыми формами и проявлениями расизма и ксенофобии посре</w:t>
      </w:r>
      <w:r w:rsidR="004F1D0F" w:rsidRPr="004F1D0F">
        <w:t>д</w:t>
      </w:r>
      <w:r w:rsidR="004F1D0F" w:rsidRPr="004F1D0F">
        <w:t>ством уголовного зак</w:t>
      </w:r>
      <w:r w:rsidR="004F1D0F" w:rsidRPr="004F1D0F">
        <w:t>о</w:t>
      </w:r>
      <w:r w:rsidR="004F1D0F" w:rsidRPr="004F1D0F">
        <w:t>нодательства (отрицание Холокоста).</w:t>
      </w:r>
    </w:p>
    <w:p w:rsidR="004F1D0F" w:rsidRPr="001914B3" w:rsidRDefault="004F1D0F" w:rsidP="001914B3">
      <w:pPr>
        <w:pStyle w:val="HChGR"/>
      </w:pPr>
      <w:r w:rsidRPr="001914B3">
        <w:tab/>
      </w:r>
      <w:r w:rsidRPr="001914B3">
        <w:tab/>
        <w:t>Статья 2</w:t>
      </w:r>
    </w:p>
    <w:p w:rsidR="004F1D0F" w:rsidRPr="004F1D0F" w:rsidRDefault="004F1D0F" w:rsidP="001914B3">
      <w:pPr>
        <w:pStyle w:val="H1GR"/>
      </w:pPr>
      <w:r w:rsidRPr="004F1D0F">
        <w:tab/>
      </w:r>
      <w:r w:rsidRPr="004F1D0F">
        <w:rPr>
          <w:lang w:val="fr-FR"/>
        </w:rPr>
        <w:t>A</w:t>
      </w:r>
      <w:r w:rsidRPr="004F1D0F">
        <w:t>.</w:t>
      </w:r>
      <w:r w:rsidRPr="004F1D0F">
        <w:tab/>
        <w:t xml:space="preserve">Правовые рамки и общая политика, </w:t>
      </w:r>
      <w:r w:rsidR="001914B3">
        <w:t>направленные на </w:t>
      </w:r>
      <w:r w:rsidRPr="004F1D0F">
        <w:t>ликвидацию расовой дискр</w:t>
      </w:r>
      <w:r w:rsidRPr="004F1D0F">
        <w:t>и</w:t>
      </w:r>
      <w:r w:rsidRPr="004F1D0F">
        <w:t xml:space="preserve">минации </w:t>
      </w:r>
    </w:p>
    <w:p w:rsidR="004F1D0F" w:rsidRPr="004F1D0F" w:rsidRDefault="001914B3" w:rsidP="004F1D0F">
      <w:pPr>
        <w:pStyle w:val="SingleTxtGR"/>
      </w:pPr>
      <w:r>
        <w:t>2.</w:t>
      </w:r>
      <w:r>
        <w:tab/>
        <w:t xml:space="preserve">В связи с </w:t>
      </w:r>
      <w:r w:rsidR="004F1D0F" w:rsidRPr="004F1D0F">
        <w:t>вопрос</w:t>
      </w:r>
      <w:r>
        <w:t xml:space="preserve">ом </w:t>
      </w:r>
      <w:r w:rsidR="004F1D0F" w:rsidRPr="004F1D0F">
        <w:t>о правовых рамках и общей политике, направленных на ликвидацию расовой дискриминации, следует упомянуть принятие следу</w:t>
      </w:r>
      <w:r w:rsidR="004F1D0F" w:rsidRPr="004F1D0F">
        <w:t>ю</w:t>
      </w:r>
      <w:r w:rsidR="004F1D0F" w:rsidRPr="004F1D0F">
        <w:t>щих документов, обеспечивающих максимально широкое рассмотрение пр</w:t>
      </w:r>
      <w:r w:rsidR="004F1D0F" w:rsidRPr="004F1D0F">
        <w:t>о</w:t>
      </w:r>
      <w:r w:rsidR="004F1D0F" w:rsidRPr="004F1D0F">
        <w:t>блематики расизма и дискриминации.</w:t>
      </w:r>
    </w:p>
    <w:p w:rsidR="004F1D0F" w:rsidRPr="004F1D0F" w:rsidRDefault="001914B3" w:rsidP="004F1D0F">
      <w:pPr>
        <w:pStyle w:val="SingleTxtGR"/>
      </w:pPr>
      <w:r>
        <w:t>3.</w:t>
      </w:r>
      <w:r>
        <w:tab/>
      </w:r>
      <w:r w:rsidR="004F1D0F" w:rsidRPr="004F1D0F">
        <w:t>Три закона от 6 марта 2006 года: соответственно об одобрении Протокола № 12 к Конвенции о защите прав человека и основных свобод (ЕКПЧ) относ</w:t>
      </w:r>
      <w:r w:rsidR="004F1D0F" w:rsidRPr="004F1D0F">
        <w:t>и</w:t>
      </w:r>
      <w:r w:rsidR="004F1D0F" w:rsidRPr="004F1D0F">
        <w:t xml:space="preserve">тельно запрещения дискриминации, Протокола № 13 к ЕКПЧ </w:t>
      </w:r>
      <w:r>
        <w:t xml:space="preserve">об </w:t>
      </w:r>
      <w:r w:rsidR="004F1D0F" w:rsidRPr="004F1D0F">
        <w:t>от</w:t>
      </w:r>
      <w:r>
        <w:t>мене</w:t>
      </w:r>
      <w:r w:rsidR="004F1D0F" w:rsidRPr="004F1D0F">
        <w:t xml:space="preserve"> смер</w:t>
      </w:r>
      <w:r w:rsidR="004F1D0F" w:rsidRPr="004F1D0F">
        <w:t>т</w:t>
      </w:r>
      <w:r w:rsidR="004F1D0F" w:rsidRPr="004F1D0F">
        <w:t xml:space="preserve">ной казни </w:t>
      </w:r>
      <w:r>
        <w:t>при</w:t>
      </w:r>
      <w:r w:rsidR="004F1D0F" w:rsidRPr="004F1D0F">
        <w:t xml:space="preserve"> любых обстоятельствах и Протокола № 14 к ЕКПЧ, дополняющ</w:t>
      </w:r>
      <w:r w:rsidR="004F1D0F" w:rsidRPr="004F1D0F">
        <w:t>е</w:t>
      </w:r>
      <w:r w:rsidR="004F1D0F" w:rsidRPr="004F1D0F">
        <w:t>го контрольную систему Конвенции.</w:t>
      </w:r>
    </w:p>
    <w:p w:rsidR="004F1D0F" w:rsidRPr="001914B3" w:rsidRDefault="001914B3" w:rsidP="004F1D0F">
      <w:pPr>
        <w:pStyle w:val="SingleTxtGR"/>
      </w:pPr>
      <w:r>
        <w:t>4.</w:t>
      </w:r>
      <w:r>
        <w:tab/>
      </w:r>
      <w:r w:rsidR="004F1D0F" w:rsidRPr="004F1D0F">
        <w:t>Закон от 23 октября 2008 года о гражданстве Люксембурга, в котором предусмотрена возможность сохранения гражданства</w:t>
      </w:r>
      <w:r>
        <w:t xml:space="preserve"> страны</w:t>
      </w:r>
      <w:r w:rsidR="004F1D0F" w:rsidRPr="004F1D0F">
        <w:t xml:space="preserve"> происхождения в случае добровольного приобретения люксембургского гражданства и наоборот, в соответствии с условиями постоянного проживания, обеспечивающими до</w:t>
      </w:r>
      <w:r w:rsidR="004F1D0F" w:rsidRPr="004F1D0F">
        <w:t>с</w:t>
      </w:r>
      <w:r w:rsidR="004F1D0F" w:rsidRPr="004F1D0F">
        <w:t>таточную ассимиляцию и интеграцию (двойное гражданство).</w:t>
      </w:r>
    </w:p>
    <w:p w:rsidR="004F1D0F" w:rsidRPr="0007108D" w:rsidRDefault="001914B3" w:rsidP="004F1D0F">
      <w:pPr>
        <w:pStyle w:val="SingleTxtGR"/>
      </w:pPr>
      <w:r>
        <w:t>5.</w:t>
      </w:r>
      <w:r>
        <w:tab/>
      </w:r>
      <w:r w:rsidR="004F1D0F" w:rsidRPr="004F1D0F">
        <w:t>Закон от 13 марта 2009 года о борьбе с торговлей людьми, одобряющий Конвенцию Совета Европы о борьбе с торговлей людьми и Протокол о пред</w:t>
      </w:r>
      <w:r w:rsidR="004F1D0F" w:rsidRPr="004F1D0F">
        <w:t>у</w:t>
      </w:r>
      <w:r w:rsidR="004F1D0F" w:rsidRPr="004F1D0F">
        <w:t>преждении и пресечении торговли людьми, особенно женщинами и детьми, и наказании за нее, дополняющий Конвенцию Орг</w:t>
      </w:r>
      <w:r w:rsidR="004F1D0F" w:rsidRPr="004F1D0F">
        <w:t>а</w:t>
      </w:r>
      <w:r w:rsidR="004F1D0F" w:rsidRPr="004F1D0F">
        <w:t>низации Объединенных Наций против транснациональной организованной преступности.</w:t>
      </w:r>
    </w:p>
    <w:p w:rsidR="004F1D0F" w:rsidRPr="004F1D0F" w:rsidRDefault="0007108D" w:rsidP="004F1D0F">
      <w:pPr>
        <w:pStyle w:val="SingleTxtGR"/>
      </w:pPr>
      <w:r>
        <w:t>6.</w:t>
      </w:r>
      <w:r>
        <w:tab/>
      </w:r>
      <w:r w:rsidR="004F1D0F" w:rsidRPr="004F1D0F">
        <w:t>Закон от 11 апреля 2010 года об одобрении Факультативного протокола к Конвенции против пыток и других жестоких, бесчеловечных или унижающих достоинство видов обращения и наказания, пред</w:t>
      </w:r>
      <w:r w:rsidR="004F1D0F" w:rsidRPr="004F1D0F">
        <w:t>у</w:t>
      </w:r>
      <w:r w:rsidR="004F1D0F" w:rsidRPr="004F1D0F">
        <w:t>сматривающего установление внешнего контроля над местами содержания под стражей и возложение этих новых функций на омбудсмена.</w:t>
      </w:r>
    </w:p>
    <w:p w:rsidR="004F1D0F" w:rsidRPr="004F1D0F" w:rsidRDefault="0007108D" w:rsidP="004F1D0F">
      <w:pPr>
        <w:pStyle w:val="SingleTxtGR"/>
      </w:pPr>
      <w:r>
        <w:t>7.</w:t>
      </w:r>
      <w:r>
        <w:tab/>
      </w:r>
      <w:r w:rsidR="004F1D0F" w:rsidRPr="004F1D0F">
        <w:t>Закон от 16 июля 2011 года об одобрении Конвенции Совета Европы о защите детей от сексуальной эксплуатации и сексуального насилия, открыт</w:t>
      </w:r>
      <w:r w:rsidR="003B0634">
        <w:t>ой</w:t>
      </w:r>
      <w:r w:rsidR="004F1D0F" w:rsidRPr="004F1D0F">
        <w:t xml:space="preserve"> для подписания на Лансароте, и Факультативного протокола к Конвенции Орг</w:t>
      </w:r>
      <w:r w:rsidR="004F1D0F" w:rsidRPr="004F1D0F">
        <w:t>а</w:t>
      </w:r>
      <w:r w:rsidR="004F1D0F" w:rsidRPr="004F1D0F">
        <w:t>низации Объединенных Наций о правах ребенка, касающегося торговли детьми, детской проституции и детской порнографии, а также рамочно</w:t>
      </w:r>
      <w:r>
        <w:t>го постановл</w:t>
      </w:r>
      <w:r>
        <w:t>е</w:t>
      </w:r>
      <w:r>
        <w:t>ния </w:t>
      </w:r>
      <w:r w:rsidR="004F1D0F" w:rsidRPr="004F1D0F">
        <w:t>2004/68/</w:t>
      </w:r>
      <w:r w:rsidR="004F1D0F" w:rsidRPr="004F1D0F">
        <w:rPr>
          <w:lang w:val="fr-FR"/>
        </w:rPr>
        <w:t>JAI</w:t>
      </w:r>
      <w:r w:rsidR="004F1D0F" w:rsidRPr="004F1D0F">
        <w:t xml:space="preserve"> Совета от 22 декабря 2003 года о борьбе против сексуальной эксплуатации детей и детской порнографии. </w:t>
      </w:r>
    </w:p>
    <w:p w:rsidR="004F1D0F" w:rsidRPr="004F1D0F" w:rsidRDefault="0007108D" w:rsidP="004F1D0F">
      <w:pPr>
        <w:pStyle w:val="SingleTxtGR"/>
      </w:pPr>
      <w:r>
        <w:t>8.</w:t>
      </w:r>
      <w:r>
        <w:tab/>
      </w:r>
      <w:r w:rsidR="004F1D0F" w:rsidRPr="004F1D0F">
        <w:t>Закон от 27 февраля 2012 года о приведении внутреннего законодательс</w:t>
      </w:r>
      <w:r w:rsidR="004F1D0F" w:rsidRPr="004F1D0F">
        <w:t>т</w:t>
      </w:r>
      <w:r w:rsidR="004F1D0F" w:rsidRPr="004F1D0F">
        <w:t>ва в соответствие с Римским статутом Международного уголовного суда.</w:t>
      </w:r>
    </w:p>
    <w:p w:rsidR="004F1D0F" w:rsidRPr="004F1D0F" w:rsidRDefault="0007108D" w:rsidP="004F1D0F">
      <w:pPr>
        <w:pStyle w:val="SingleTxtGR"/>
      </w:pPr>
      <w:r>
        <w:t>9.</w:t>
      </w:r>
      <w:r>
        <w:tab/>
      </w:r>
      <w:r w:rsidR="004F1D0F" w:rsidRPr="004F1D0F">
        <w:t>Закон от 27 февраля 2012 года об упорядочении условий сотрудничества с Международным уголовным судом.</w:t>
      </w:r>
    </w:p>
    <w:p w:rsidR="004F1D0F" w:rsidRPr="0007108D" w:rsidRDefault="0007108D" w:rsidP="004F1D0F">
      <w:pPr>
        <w:pStyle w:val="SingleTxtGR"/>
      </w:pPr>
      <w:r>
        <w:t>10.</w:t>
      </w:r>
      <w:r>
        <w:tab/>
      </w:r>
      <w:r w:rsidR="004F1D0F" w:rsidRPr="004F1D0F">
        <w:t>Закон от 21 июля 2012 года об одобрении Протокола против незаконного ввоза мигрантов по суше, морю и воздуху, дополняющего Конвенцию Орган</w:t>
      </w:r>
      <w:r w:rsidR="004F1D0F" w:rsidRPr="004F1D0F">
        <w:t>и</w:t>
      </w:r>
      <w:r w:rsidR="004F1D0F" w:rsidRPr="004F1D0F">
        <w:t>зации Объединенных Наций против международной организованной престу</w:t>
      </w:r>
      <w:r w:rsidR="004F1D0F" w:rsidRPr="004F1D0F">
        <w:t>п</w:t>
      </w:r>
      <w:r w:rsidR="004F1D0F" w:rsidRPr="004F1D0F">
        <w:t xml:space="preserve">ности. </w:t>
      </w:r>
    </w:p>
    <w:p w:rsidR="004F1D0F" w:rsidRPr="004F1D0F" w:rsidRDefault="0007108D" w:rsidP="004F1D0F">
      <w:pPr>
        <w:pStyle w:val="SingleTxtGR"/>
      </w:pPr>
      <w:r>
        <w:t>11.</w:t>
      </w:r>
      <w:r>
        <w:tab/>
      </w:r>
      <w:r w:rsidR="004F1D0F" w:rsidRPr="004F1D0F">
        <w:t>Наконец, в стадии рассмотрения находится законопроект, направленный на борьбу против принудител</w:t>
      </w:r>
      <w:r w:rsidR="004F1D0F" w:rsidRPr="004F1D0F">
        <w:t>ь</w:t>
      </w:r>
      <w:r w:rsidR="004F1D0F" w:rsidRPr="004F1D0F">
        <w:t>ных и фиктивных браков и сожительства.</w:t>
      </w:r>
    </w:p>
    <w:p w:rsidR="004F1D0F" w:rsidRPr="0007108D" w:rsidRDefault="0007108D" w:rsidP="004F1D0F">
      <w:pPr>
        <w:pStyle w:val="SingleTxtGR"/>
      </w:pPr>
      <w:r>
        <w:t>12.</w:t>
      </w:r>
      <w:r>
        <w:tab/>
      </w:r>
      <w:r w:rsidR="004F1D0F" w:rsidRPr="004F1D0F">
        <w:t xml:space="preserve">Наряду с этим планируется одобрить Международную конвенцию для защиты всех лиц от насильственных исчезновений, а также Конвенцию Совета Европы о преступности </w:t>
      </w:r>
      <w:r>
        <w:t xml:space="preserve">в киберпространстве </w:t>
      </w:r>
      <w:r w:rsidR="004F1D0F" w:rsidRPr="004F1D0F">
        <w:t>и Пр</w:t>
      </w:r>
      <w:r w:rsidR="004F1D0F" w:rsidRPr="004F1D0F">
        <w:t>о</w:t>
      </w:r>
      <w:r w:rsidR="004F1D0F" w:rsidRPr="004F1D0F">
        <w:t>токол к ней</w:t>
      </w:r>
      <w:r w:rsidR="004F1D0F" w:rsidRPr="0007108D">
        <w:t>.</w:t>
      </w:r>
    </w:p>
    <w:p w:rsidR="004F1D0F" w:rsidRPr="004F1D0F" w:rsidRDefault="0007108D" w:rsidP="004F1D0F">
      <w:pPr>
        <w:pStyle w:val="SingleTxtGR"/>
      </w:pPr>
      <w:r>
        <w:t>13.</w:t>
      </w:r>
      <w:r>
        <w:tab/>
      </w:r>
      <w:r w:rsidR="004F1D0F" w:rsidRPr="004F1D0F">
        <w:t>С принятием Закона от 16 декабря 2008 года о приеме и интеграции ин</w:t>
      </w:r>
      <w:r w:rsidR="004F1D0F" w:rsidRPr="004F1D0F">
        <w:t>о</w:t>
      </w:r>
      <w:r w:rsidR="004F1D0F" w:rsidRPr="004F1D0F">
        <w:t>странцев в Великом Герцогстве Люксембург (Меморандум 209/2008) Люксе</w:t>
      </w:r>
      <w:r w:rsidR="004F1D0F" w:rsidRPr="004F1D0F">
        <w:t>м</w:t>
      </w:r>
      <w:r w:rsidR="004F1D0F" w:rsidRPr="004F1D0F">
        <w:t>бург усилил свой правовой арсенал законодательным актом, касающимся инт</w:t>
      </w:r>
      <w:r w:rsidR="004F1D0F" w:rsidRPr="004F1D0F">
        <w:t>е</w:t>
      </w:r>
      <w:r w:rsidR="004F1D0F" w:rsidRPr="004F1D0F">
        <w:t>грации и борьбы с проявл</w:t>
      </w:r>
      <w:r w:rsidR="004F1D0F" w:rsidRPr="004F1D0F">
        <w:t>е</w:t>
      </w:r>
      <w:r w:rsidR="004F1D0F" w:rsidRPr="004F1D0F">
        <w:t>ниями дискриминации.</w:t>
      </w:r>
    </w:p>
    <w:p w:rsidR="004F1D0F" w:rsidRPr="004F1D0F" w:rsidRDefault="004F1D0F" w:rsidP="0007108D">
      <w:pPr>
        <w:pStyle w:val="H1GR"/>
      </w:pPr>
      <w:r w:rsidRPr="004F1D0F">
        <w:tab/>
      </w:r>
      <w:r w:rsidRPr="004F1D0F">
        <w:rPr>
          <w:lang w:val="fr-FR"/>
        </w:rPr>
        <w:t>B</w:t>
      </w:r>
      <w:r w:rsidRPr="004F1D0F">
        <w:t>.</w:t>
      </w:r>
      <w:r w:rsidRPr="004F1D0F">
        <w:tab/>
        <w:t>Конкретная информация о принятых законодательных, судебных, административных или иных мерах</w:t>
      </w:r>
    </w:p>
    <w:p w:rsidR="004F1D0F" w:rsidRPr="004F1D0F" w:rsidRDefault="003B0634" w:rsidP="004F1D0F">
      <w:pPr>
        <w:pStyle w:val="SingleTxtGR"/>
      </w:pPr>
      <w:r>
        <w:t>14.</w:t>
      </w:r>
      <w:r>
        <w:tab/>
      </w:r>
      <w:r w:rsidR="004F1D0F" w:rsidRPr="004F1D0F">
        <w:t>Закон от 16 декабря 2008 года о приеме и интеграции иностранцев в В</w:t>
      </w:r>
      <w:r w:rsidR="004F1D0F" w:rsidRPr="004F1D0F">
        <w:t>е</w:t>
      </w:r>
      <w:r w:rsidR="004F1D0F" w:rsidRPr="004F1D0F">
        <w:t>ликом Герцогстве Люксембург (Меморандум 209/2008) предусматривает созд</w:t>
      </w:r>
      <w:r w:rsidR="004F1D0F" w:rsidRPr="004F1D0F">
        <w:t>а</w:t>
      </w:r>
      <w:r w:rsidR="004F1D0F" w:rsidRPr="004F1D0F">
        <w:t>ние Управления по вопросам приема и интеграции Лю</w:t>
      </w:r>
      <w:r w:rsidR="004F1D0F" w:rsidRPr="004F1D0F">
        <w:t>к</w:t>
      </w:r>
      <w:r w:rsidR="004F1D0F" w:rsidRPr="004F1D0F">
        <w:t>сембурга (УИПЛ).</w:t>
      </w:r>
    </w:p>
    <w:p w:rsidR="004F1D0F" w:rsidRPr="004F1D0F" w:rsidRDefault="0007108D" w:rsidP="004F1D0F">
      <w:pPr>
        <w:pStyle w:val="SingleTxtGR"/>
      </w:pPr>
      <w:r>
        <w:tab/>
      </w:r>
      <w:r w:rsidR="004F1D0F" w:rsidRPr="004F1D0F">
        <w:rPr>
          <w:lang w:val="fr-FR"/>
        </w:rPr>
        <w:t>a</w:t>
      </w:r>
      <w:r w:rsidR="004F1D0F" w:rsidRPr="004F1D0F">
        <w:t>)</w:t>
      </w:r>
      <w:r w:rsidR="004F1D0F" w:rsidRPr="004F1D0F">
        <w:tab/>
        <w:t>Осуществление национального многолетнего плана действий по борьбе с дискриминацией на 2010</w:t>
      </w:r>
      <w:r w:rsidR="003B0634">
        <w:t>−</w:t>
      </w:r>
      <w:r w:rsidR="004F1D0F" w:rsidRPr="004F1D0F">
        <w:t>2014 годы, в котором участвуют 14 госуда</w:t>
      </w:r>
      <w:r w:rsidR="004F1D0F" w:rsidRPr="004F1D0F">
        <w:t>р</w:t>
      </w:r>
      <w:r w:rsidR="004F1D0F" w:rsidRPr="004F1D0F">
        <w:t>ственных министерств и ведомств. В основу этого плана действий, рассчита</w:t>
      </w:r>
      <w:r w:rsidR="004F1D0F" w:rsidRPr="004F1D0F">
        <w:t>н</w:t>
      </w:r>
      <w:r w:rsidR="004F1D0F" w:rsidRPr="004F1D0F">
        <w:t xml:space="preserve">ного на </w:t>
      </w:r>
      <w:r w:rsidR="003B0634">
        <w:t>5</w:t>
      </w:r>
      <w:r w:rsidR="004F1D0F" w:rsidRPr="004F1D0F">
        <w:t xml:space="preserve"> лет, заложены 11 руководящих принципов европейской политики в области интеграции, которые со всей очевидностью свидетельствуют о знач</w:t>
      </w:r>
      <w:r w:rsidR="004F1D0F" w:rsidRPr="004F1D0F">
        <w:t>и</w:t>
      </w:r>
      <w:r w:rsidR="004F1D0F" w:rsidRPr="004F1D0F">
        <w:t>мости гл</w:t>
      </w:r>
      <w:r w:rsidR="004F1D0F" w:rsidRPr="004F1D0F">
        <w:t>о</w:t>
      </w:r>
      <w:r w:rsidR="004F1D0F" w:rsidRPr="004F1D0F">
        <w:t xml:space="preserve">бального подхода к интеграции. Мониторингом и оценкой реализации этого плана занимается Экономический и </w:t>
      </w:r>
      <w:r>
        <w:t>С</w:t>
      </w:r>
      <w:r w:rsidR="004F1D0F" w:rsidRPr="004F1D0F">
        <w:t xml:space="preserve">оциальный </w:t>
      </w:r>
      <w:r>
        <w:t>С</w:t>
      </w:r>
      <w:r w:rsidR="004F1D0F" w:rsidRPr="004F1D0F">
        <w:t>овет. В 2011 и 2012 г</w:t>
      </w:r>
      <w:r w:rsidR="004F1D0F" w:rsidRPr="004F1D0F">
        <w:t>о</w:t>
      </w:r>
      <w:r w:rsidR="004F1D0F" w:rsidRPr="004F1D0F">
        <w:t>дах была проведена консультация с общественностью в целях ее опроса о пр</w:t>
      </w:r>
      <w:r w:rsidR="004F1D0F" w:rsidRPr="004F1D0F">
        <w:t>и</w:t>
      </w:r>
      <w:r w:rsidR="004F1D0F" w:rsidRPr="004F1D0F">
        <w:t>оритетах и мероприятиях на 2012 и 2013 годы. Эта консультация также дала возможность провести обсуждение со всеми субъектами гражданского общес</w:t>
      </w:r>
      <w:r w:rsidR="004F1D0F" w:rsidRPr="004F1D0F">
        <w:t>т</w:t>
      </w:r>
      <w:r w:rsidR="004F1D0F" w:rsidRPr="004F1D0F">
        <w:t xml:space="preserve">ва при высокой активности с их стороны. </w:t>
      </w:r>
    </w:p>
    <w:p w:rsidR="004F1D0F" w:rsidRPr="004F1D0F" w:rsidRDefault="0007108D" w:rsidP="004F1D0F">
      <w:pPr>
        <w:pStyle w:val="SingleTxtGR"/>
      </w:pPr>
      <w:r>
        <w:tab/>
      </w:r>
      <w:r w:rsidR="004F1D0F" w:rsidRPr="004F1D0F">
        <w:rPr>
          <w:lang w:val="fr-FR"/>
        </w:rPr>
        <w:t>b</w:t>
      </w:r>
      <w:r w:rsidR="004F1D0F" w:rsidRPr="004F1D0F">
        <w:t>)</w:t>
      </w:r>
      <w:r w:rsidR="004F1D0F" w:rsidRPr="004F1D0F">
        <w:tab/>
        <w:t>В соответствии с контрактом по приему и интеграции правительс</w:t>
      </w:r>
      <w:r w:rsidR="004F1D0F" w:rsidRPr="004F1D0F">
        <w:t>т</w:t>
      </w:r>
      <w:r w:rsidR="004F1D0F" w:rsidRPr="004F1D0F">
        <w:t xml:space="preserve">во обязуется предоставить курс обучения люксембургскому, французскому или немецкому языку и курс </w:t>
      </w:r>
      <w:r>
        <w:t>по изучению прав и обязанностей гражданина</w:t>
      </w:r>
      <w:r w:rsidR="004F1D0F" w:rsidRPr="004F1D0F">
        <w:t xml:space="preserve">, а также обеспечить заключившим такой контракт лицам проведение ознакомительного дня. Кроме того, статья 3 упомянутого закона гласит, что </w:t>
      </w:r>
      <w:r>
        <w:t>"</w:t>
      </w:r>
      <w:r w:rsidR="004F1D0F" w:rsidRPr="004F1D0F">
        <w:t xml:space="preserve">цель УИПЛ </w:t>
      </w:r>
      <w:r>
        <w:t xml:space="preserve">− </w:t>
      </w:r>
      <w:r w:rsidR="004F1D0F" w:rsidRPr="004F1D0F">
        <w:t>зан</w:t>
      </w:r>
      <w:r w:rsidR="004F1D0F" w:rsidRPr="004F1D0F">
        <w:t>и</w:t>
      </w:r>
      <w:r w:rsidR="004F1D0F" w:rsidRPr="004F1D0F">
        <w:t>маться организацией приема вновь прибывших иностранцев, способствовать процессу интеграции иностранцев путем проведения и координации политики приема и интеграции, одним их главных элементов которой является борьба с дискрим</w:t>
      </w:r>
      <w:r w:rsidR="004F1D0F" w:rsidRPr="004F1D0F">
        <w:t>и</w:t>
      </w:r>
      <w:r w:rsidR="004F1D0F" w:rsidRPr="004F1D0F">
        <w:t>нацией</w:t>
      </w:r>
      <w:r>
        <w:t>"</w:t>
      </w:r>
      <w:r w:rsidR="004F1D0F" w:rsidRPr="004F1D0F">
        <w:t xml:space="preserve">. </w:t>
      </w:r>
    </w:p>
    <w:p w:rsidR="004F1D0F" w:rsidRPr="0007108D" w:rsidRDefault="0007108D" w:rsidP="004F1D0F">
      <w:pPr>
        <w:pStyle w:val="SingleTxtGR"/>
      </w:pPr>
      <w:r>
        <w:tab/>
      </w:r>
      <w:r w:rsidR="004F1D0F" w:rsidRPr="004F1D0F">
        <w:rPr>
          <w:lang w:val="fr-FR"/>
        </w:rPr>
        <w:t>c</w:t>
      </w:r>
      <w:r w:rsidR="004F1D0F" w:rsidRPr="004F1D0F">
        <w:t>)</w:t>
      </w:r>
      <w:r w:rsidR="004F1D0F" w:rsidRPr="004F1D0F">
        <w:tab/>
        <w:t>В соответствии с Законом о равном обращении от 28 ноя</w:t>
      </w:r>
      <w:r>
        <w:t>бря 2006 </w:t>
      </w:r>
      <w:r w:rsidR="004F1D0F" w:rsidRPr="004F1D0F">
        <w:t xml:space="preserve">года был учрежден Центр по вопросам равного обращения (ЦРО). При выполнении своих функций ЦРО, в частности, уполномочен: </w:t>
      </w:r>
    </w:p>
    <w:p w:rsidR="004F1D0F" w:rsidRPr="004F1D0F" w:rsidRDefault="004F1D0F" w:rsidP="0007108D">
      <w:pPr>
        <w:pStyle w:val="Bullet1GR"/>
      </w:pPr>
      <w:r w:rsidRPr="004F1D0F">
        <w:t>публиковать доклады, давать заключения и рекомендации, а также пров</w:t>
      </w:r>
      <w:r w:rsidRPr="004F1D0F">
        <w:t>о</w:t>
      </w:r>
      <w:r w:rsidRPr="004F1D0F">
        <w:t>дить исследования по всем в</w:t>
      </w:r>
      <w:r w:rsidRPr="004F1D0F">
        <w:t>о</w:t>
      </w:r>
      <w:r w:rsidRPr="004F1D0F">
        <w:t>просам, связанным с дискриминацией;</w:t>
      </w:r>
    </w:p>
    <w:p w:rsidR="004F1D0F" w:rsidRPr="004F1D0F" w:rsidRDefault="004F1D0F" w:rsidP="0007108D">
      <w:pPr>
        <w:pStyle w:val="Bullet1GR"/>
      </w:pPr>
      <w:r w:rsidRPr="004F1D0F">
        <w:t>готовить и предоставлять любую информацию и любую документацию, которые полезны для выполн</w:t>
      </w:r>
      <w:r w:rsidRPr="004F1D0F">
        <w:t>е</w:t>
      </w:r>
      <w:r w:rsidRPr="004F1D0F">
        <w:t xml:space="preserve">ния его задачи; </w:t>
      </w:r>
    </w:p>
    <w:p w:rsidR="004F1D0F" w:rsidRPr="004F1D0F" w:rsidRDefault="004F1D0F" w:rsidP="0007108D">
      <w:pPr>
        <w:pStyle w:val="Bullet1GR"/>
      </w:pPr>
      <w:r w:rsidRPr="004F1D0F">
        <w:t>оказывать помощь лицам, которые считают себя жертвами дискримин</w:t>
      </w:r>
      <w:r w:rsidRPr="004F1D0F">
        <w:t>а</w:t>
      </w:r>
      <w:r w:rsidRPr="004F1D0F">
        <w:t>ции, путем предоставления им услуг по консультации и ориентации, чт</w:t>
      </w:r>
      <w:r w:rsidRPr="004F1D0F">
        <w:t>о</w:t>
      </w:r>
      <w:r w:rsidRPr="004F1D0F">
        <w:t>бы информировать потерпевших об их индивидуальных правах, закон</w:t>
      </w:r>
      <w:r w:rsidRPr="004F1D0F">
        <w:t>о</w:t>
      </w:r>
      <w:r w:rsidRPr="004F1D0F">
        <w:t>дательстве, судебной практике и средствах восстановления своих прав.</w:t>
      </w:r>
    </w:p>
    <w:p w:rsidR="004F1D0F" w:rsidRPr="004F1D0F" w:rsidRDefault="0007108D" w:rsidP="004F1D0F">
      <w:pPr>
        <w:pStyle w:val="SingleTxtGR"/>
      </w:pPr>
      <w:r>
        <w:t>15.</w:t>
      </w:r>
      <w:r>
        <w:tab/>
      </w:r>
      <w:r w:rsidR="004F1D0F" w:rsidRPr="004F1D0F">
        <w:t>В постановлении Великого Герцогства от 15 ноября 2011 года о порядке назначения представителей иностранцев в состав Национального совета по д</w:t>
      </w:r>
      <w:r w:rsidR="004F1D0F" w:rsidRPr="004F1D0F">
        <w:t>е</w:t>
      </w:r>
      <w:r w:rsidR="004F1D0F" w:rsidRPr="004F1D0F">
        <w:t>лам иностранцев, а также их распределения по признаку гражданства больше не предусматривается создани</w:t>
      </w:r>
      <w:r w:rsidR="00087F64">
        <w:t>е</w:t>
      </w:r>
      <w:r w:rsidR="004F1D0F" w:rsidRPr="004F1D0F">
        <w:t xml:space="preserve"> постоянной консультативной комиссии по в</w:t>
      </w:r>
      <w:r w:rsidR="004F1D0F" w:rsidRPr="004F1D0F">
        <w:t>о</w:t>
      </w:r>
      <w:r w:rsidR="004F1D0F" w:rsidRPr="004F1D0F">
        <w:t>просам борьбы с расовой дискр</w:t>
      </w:r>
      <w:r w:rsidR="004F1D0F" w:rsidRPr="004F1D0F">
        <w:t>и</w:t>
      </w:r>
      <w:r w:rsidR="004F1D0F" w:rsidRPr="004F1D0F">
        <w:t xml:space="preserve">минацией. </w:t>
      </w:r>
    </w:p>
    <w:p w:rsidR="004F1D0F" w:rsidRPr="004F1D0F" w:rsidRDefault="0007108D" w:rsidP="004F1D0F">
      <w:pPr>
        <w:pStyle w:val="SingleTxtGR"/>
      </w:pPr>
      <w:r>
        <w:t>16.</w:t>
      </w:r>
      <w:r>
        <w:tab/>
      </w:r>
      <w:r w:rsidR="004F1D0F" w:rsidRPr="004F1D0F">
        <w:t>Поскольку срок полномочий нового состава Национального совета нача</w:t>
      </w:r>
      <w:r w:rsidR="004F1D0F" w:rsidRPr="004F1D0F">
        <w:t>л</w:t>
      </w:r>
      <w:r w:rsidR="004F1D0F" w:rsidRPr="004F1D0F">
        <w:t>ся лишь 13 сентября 2012 года, ему предстоит принять решение о том, следует или не следует создавать такую к</w:t>
      </w:r>
      <w:r w:rsidR="004F1D0F" w:rsidRPr="004F1D0F">
        <w:t>о</w:t>
      </w:r>
      <w:r w:rsidR="004F1D0F" w:rsidRPr="004F1D0F">
        <w:t>миссию.</w:t>
      </w:r>
    </w:p>
    <w:p w:rsidR="004F1D0F" w:rsidRPr="004F1D0F" w:rsidRDefault="00087F64" w:rsidP="004F1D0F">
      <w:pPr>
        <w:pStyle w:val="SingleTxtGR"/>
      </w:pPr>
      <w:r>
        <w:t>17.</w:t>
      </w:r>
      <w:r>
        <w:tab/>
      </w:r>
      <w:r w:rsidR="004F1D0F" w:rsidRPr="004F1D0F">
        <w:t>При этом ЦРО, задача которого заключается в приеме жалоб от лиц, сч</w:t>
      </w:r>
      <w:r w:rsidR="004F1D0F" w:rsidRPr="004F1D0F">
        <w:t>и</w:t>
      </w:r>
      <w:r w:rsidR="004F1D0F" w:rsidRPr="004F1D0F">
        <w:t>тающих себя жертвами расовой дискриминации, является органом, который по о</w:t>
      </w:r>
      <w:r w:rsidR="004F1D0F" w:rsidRPr="004F1D0F">
        <w:t>п</w:t>
      </w:r>
      <w:r w:rsidR="004F1D0F" w:rsidRPr="004F1D0F">
        <w:t>ределению призван принимать жалобы в соответствии с пунктом 2 статьи 14 Международной конвенции о ликвидации всех форм расовой дискриминации.</w:t>
      </w:r>
    </w:p>
    <w:p w:rsidR="004F1D0F" w:rsidRPr="004F1D0F" w:rsidRDefault="00087F64" w:rsidP="004F1D0F">
      <w:pPr>
        <w:pStyle w:val="SingleTxtGR"/>
      </w:pPr>
      <w:r>
        <w:t>18.</w:t>
      </w:r>
      <w:r>
        <w:tab/>
      </w:r>
      <w:r w:rsidR="004F1D0F" w:rsidRPr="004F1D0F">
        <w:t>В соответствии со статьей 2 Закона от 28 июля 2011 года Консультати</w:t>
      </w:r>
      <w:r w:rsidR="004F1D0F" w:rsidRPr="004F1D0F">
        <w:t>в</w:t>
      </w:r>
      <w:r w:rsidR="004F1D0F" w:rsidRPr="004F1D0F">
        <w:t>ная комиссия по правам человека (ККПЧ) и ЦРО назначены независимыми н</w:t>
      </w:r>
      <w:r w:rsidR="004F1D0F" w:rsidRPr="004F1D0F">
        <w:t>а</w:t>
      </w:r>
      <w:r w:rsidR="004F1D0F" w:rsidRPr="004F1D0F">
        <w:t>циональными механизмами по поощрению и мониторингу применения Конве</w:t>
      </w:r>
      <w:r w:rsidR="004F1D0F" w:rsidRPr="004F1D0F">
        <w:t>н</w:t>
      </w:r>
      <w:r w:rsidR="004F1D0F" w:rsidRPr="004F1D0F">
        <w:t xml:space="preserve">ции о правах инвалидов. </w:t>
      </w:r>
    </w:p>
    <w:p w:rsidR="004F1D0F" w:rsidRPr="004F1D0F" w:rsidRDefault="00087F64" w:rsidP="004F1D0F">
      <w:pPr>
        <w:pStyle w:val="SingleTxtGR"/>
      </w:pPr>
      <w:r>
        <w:t>19.</w:t>
      </w:r>
      <w:r>
        <w:tab/>
      </w:r>
      <w:r w:rsidR="004F1D0F" w:rsidRPr="004F1D0F">
        <w:t>Кроме того, Министерство по делам семьи через посредство Управления по вопросам приема и интеграции Люксембурга (УИПЛ) при поддержке со ст</w:t>
      </w:r>
      <w:r w:rsidR="004F1D0F" w:rsidRPr="004F1D0F">
        <w:t>о</w:t>
      </w:r>
      <w:r w:rsidR="004F1D0F" w:rsidRPr="004F1D0F">
        <w:t xml:space="preserve">роны европейской программы </w:t>
      </w:r>
      <w:r>
        <w:t>"</w:t>
      </w:r>
      <w:r w:rsidR="004F1D0F" w:rsidRPr="004F1D0F">
        <w:t>Прогресс</w:t>
      </w:r>
      <w:r>
        <w:t>"</w:t>
      </w:r>
      <w:r w:rsidR="004F1D0F" w:rsidRPr="004F1D0F">
        <w:t xml:space="preserve"> провело в 2002</w:t>
      </w:r>
      <w:r>
        <w:t>−</w:t>
      </w:r>
      <w:r w:rsidR="004F1D0F" w:rsidRPr="004F1D0F">
        <w:t>2011 годах информ</w:t>
      </w:r>
      <w:r w:rsidR="004F1D0F" w:rsidRPr="004F1D0F">
        <w:t>а</w:t>
      </w:r>
      <w:r w:rsidR="004F1D0F" w:rsidRPr="004F1D0F">
        <w:t>ционно-просветительскую кампанию по вопросам борьбы с дискриминацией. Эта программа была ориентирована одновременно как на широкую обществе</w:t>
      </w:r>
      <w:r w:rsidR="004F1D0F" w:rsidRPr="004F1D0F">
        <w:t>н</w:t>
      </w:r>
      <w:r w:rsidR="004F1D0F" w:rsidRPr="004F1D0F">
        <w:t>ность, так и на определенные группы н</w:t>
      </w:r>
      <w:r w:rsidR="004F1D0F" w:rsidRPr="004F1D0F">
        <w:t>а</w:t>
      </w:r>
      <w:r w:rsidR="004F1D0F" w:rsidRPr="004F1D0F">
        <w:t>селения и позволила ввести в действие ряд средств обучения (электронное обучение, программы подготовки юристов, набор дидактических материалов для специалистов по работе с детьми младш</w:t>
      </w:r>
      <w:r w:rsidR="004F1D0F" w:rsidRPr="004F1D0F">
        <w:t>е</w:t>
      </w:r>
      <w:r w:rsidR="004F1D0F" w:rsidRPr="004F1D0F">
        <w:t>го возраста), арсенал пропагандистских средств для населения в целом (ре</w:t>
      </w:r>
      <w:r w:rsidR="004F1D0F" w:rsidRPr="004F1D0F">
        <w:t>к</w:t>
      </w:r>
      <w:r w:rsidR="004F1D0F" w:rsidRPr="004F1D0F">
        <w:t xml:space="preserve">ламные ролики, кампании, портал по вопросам </w:t>
      </w:r>
      <w:r>
        <w:t>мног</w:t>
      </w:r>
      <w:r w:rsidR="004F1D0F" w:rsidRPr="004F1D0F">
        <w:t>ообразия), а также прове</w:t>
      </w:r>
      <w:r w:rsidR="004F1D0F" w:rsidRPr="004F1D0F">
        <w:t>с</w:t>
      </w:r>
      <w:r w:rsidR="004F1D0F" w:rsidRPr="004F1D0F">
        <w:t xml:space="preserve">ти </w:t>
      </w:r>
      <w:r w:rsidRPr="004F1D0F">
        <w:t xml:space="preserve">мероприятия </w:t>
      </w:r>
      <w:r w:rsidR="004F1D0F" w:rsidRPr="004F1D0F">
        <w:t>более целе</w:t>
      </w:r>
      <w:r>
        <w:t>направленного характера</w:t>
      </w:r>
      <w:r w:rsidR="004F1D0F" w:rsidRPr="004F1D0F">
        <w:t>, в частности в отношении рынка труда (например, введение Союзом предприятий Люксембурга через п</w:t>
      </w:r>
      <w:r w:rsidR="004F1D0F" w:rsidRPr="004F1D0F">
        <w:t>о</w:t>
      </w:r>
      <w:r w:rsidR="004F1D0F" w:rsidRPr="004F1D0F">
        <w:t xml:space="preserve">средство Национального института по вопросам устойчивого развития (НИУР) знака </w:t>
      </w:r>
      <w:r>
        <w:t>"</w:t>
      </w:r>
      <w:r w:rsidR="004F1D0F" w:rsidRPr="004F1D0F">
        <w:t>Предприятие социальной ответственности</w:t>
      </w:r>
      <w:r>
        <w:t>"</w:t>
      </w:r>
      <w:r w:rsidR="004F1D0F" w:rsidRPr="004F1D0F">
        <w:t>, деятельность которого ча</w:t>
      </w:r>
      <w:r w:rsidR="004F1D0F" w:rsidRPr="004F1D0F">
        <w:t>с</w:t>
      </w:r>
      <w:r w:rsidR="004F1D0F" w:rsidRPr="004F1D0F">
        <w:t>тично ориентирована на проблемы социальной сферы и равенства возможн</w:t>
      </w:r>
      <w:r w:rsidR="004F1D0F" w:rsidRPr="004F1D0F">
        <w:t>о</w:t>
      </w:r>
      <w:r w:rsidR="004F1D0F" w:rsidRPr="004F1D0F">
        <w:t>стей на профессионал</w:t>
      </w:r>
      <w:r w:rsidR="004F1D0F" w:rsidRPr="004F1D0F">
        <w:t>ь</w:t>
      </w:r>
      <w:r w:rsidR="004F1D0F" w:rsidRPr="004F1D0F">
        <w:t xml:space="preserve">ном поприще). </w:t>
      </w:r>
    </w:p>
    <w:p w:rsidR="004F1D0F" w:rsidRPr="004F1D0F" w:rsidRDefault="00183A26" w:rsidP="004F1D0F">
      <w:pPr>
        <w:pStyle w:val="SingleTxtGR"/>
      </w:pPr>
      <w:r>
        <w:t>20.</w:t>
      </w:r>
      <w:r>
        <w:tab/>
      </w:r>
      <w:r w:rsidR="004F1D0F" w:rsidRPr="004F1D0F">
        <w:t>С 2009 года эти мероприятия включаются в Национальный план действий в области интеграции и борьбы с дискриминацией. Хотя в 2012 году Люксе</w:t>
      </w:r>
      <w:r w:rsidR="004F1D0F" w:rsidRPr="004F1D0F">
        <w:t>м</w:t>
      </w:r>
      <w:r w:rsidR="004F1D0F" w:rsidRPr="004F1D0F">
        <w:t>бург не получил помощи со стороны Сообщества, он продолжает свою деятел</w:t>
      </w:r>
      <w:r w:rsidR="004F1D0F" w:rsidRPr="004F1D0F">
        <w:t>ь</w:t>
      </w:r>
      <w:r w:rsidR="004F1D0F" w:rsidRPr="004F1D0F">
        <w:t xml:space="preserve">ность в сфере просвещения и информации, в частности оказывая содействие Институту общественного движения (ИОД) в разработке </w:t>
      </w:r>
      <w:r w:rsidR="00087F64">
        <w:t>"Хартии много</w:t>
      </w:r>
      <w:r w:rsidR="004F1D0F" w:rsidRPr="004F1D0F">
        <w:t>образия Люксембурга</w:t>
      </w:r>
      <w:r w:rsidR="00087F64">
        <w:t>"</w:t>
      </w:r>
      <w:r w:rsidR="004F1D0F" w:rsidRPr="004F1D0F">
        <w:t>. Оно также предоставляет помощь Центру по вопросам равного о</w:t>
      </w:r>
      <w:r w:rsidR="004F1D0F" w:rsidRPr="004F1D0F">
        <w:t>б</w:t>
      </w:r>
      <w:r w:rsidR="004F1D0F" w:rsidRPr="004F1D0F">
        <w:t xml:space="preserve">ращения в реализации проектов, например по проведению дня, посвященного рассмотрению вопросов тестирования, и ассоциациям, принявшим участие в организации обсуждения проблем  дискриминации с участием представителей различных поколений. </w:t>
      </w:r>
    </w:p>
    <w:p w:rsidR="004F1D0F" w:rsidRPr="004F1D0F" w:rsidRDefault="00183A26" w:rsidP="004F1D0F">
      <w:pPr>
        <w:pStyle w:val="SingleTxtGR"/>
      </w:pPr>
      <w:r>
        <w:t>21.</w:t>
      </w:r>
      <w:r>
        <w:tab/>
      </w:r>
      <w:r w:rsidR="004F1D0F" w:rsidRPr="004F1D0F">
        <w:t>Кроме того, в соответствии с Законом от 16 декабря 2008 года о приеме и интеграции иностранцев при правительстве Люксембурга было учреждено УИПЛ – управление, которое действует под эгидой Министерства по делам с</w:t>
      </w:r>
      <w:r w:rsidR="004F1D0F" w:rsidRPr="004F1D0F">
        <w:t>е</w:t>
      </w:r>
      <w:r w:rsidR="004F1D0F" w:rsidRPr="004F1D0F">
        <w:t>мьи и занимается координацией политики Великого Герцогства в сфере инт</w:t>
      </w:r>
      <w:r w:rsidR="004F1D0F" w:rsidRPr="004F1D0F">
        <w:t>е</w:t>
      </w:r>
      <w:r w:rsidR="004F1D0F" w:rsidRPr="004F1D0F">
        <w:t xml:space="preserve">грации. Статья 3 упомянутого </w:t>
      </w:r>
      <w:r>
        <w:t>З</w:t>
      </w:r>
      <w:r w:rsidR="004F1D0F" w:rsidRPr="004F1D0F">
        <w:t>акона гласит, что борьба с дискриминацией я</w:t>
      </w:r>
      <w:r w:rsidR="004F1D0F" w:rsidRPr="004F1D0F">
        <w:t>в</w:t>
      </w:r>
      <w:r w:rsidR="004F1D0F" w:rsidRPr="004F1D0F">
        <w:t>ляется основным элементом и неотъемлемой частью проводимой УИПЛ пол</w:t>
      </w:r>
      <w:r w:rsidR="004F1D0F" w:rsidRPr="004F1D0F">
        <w:t>и</w:t>
      </w:r>
      <w:r w:rsidR="004F1D0F" w:rsidRPr="004F1D0F">
        <w:t>тики при</w:t>
      </w:r>
      <w:r w:rsidR="004F1D0F" w:rsidRPr="004F1D0F">
        <w:t>е</w:t>
      </w:r>
      <w:r w:rsidR="004F1D0F" w:rsidRPr="004F1D0F">
        <w:t>ма и интеграции. Законом от 16 декабря 2008 года была заложена правовая основа, которая теперь охватывает все сферы деятельности УИПЛ в данной области, а именно проблемы, обусловленные этническим или расовым происхождением, религией или убеждениями, инвалидностью, возрастом и се</w:t>
      </w:r>
      <w:r w:rsidR="004F1D0F" w:rsidRPr="004F1D0F">
        <w:t>к</w:t>
      </w:r>
      <w:r w:rsidR="004F1D0F" w:rsidRPr="004F1D0F">
        <w:t>суальной ориентацией.</w:t>
      </w:r>
    </w:p>
    <w:p w:rsidR="004F1D0F" w:rsidRPr="004F1D0F" w:rsidRDefault="00183A26" w:rsidP="004F1D0F">
      <w:pPr>
        <w:pStyle w:val="SingleTxtGR"/>
      </w:pPr>
      <w:r>
        <w:t>22.</w:t>
      </w:r>
      <w:r>
        <w:tab/>
      </w:r>
      <w:r w:rsidR="004F1D0F" w:rsidRPr="004F1D0F">
        <w:t xml:space="preserve">Наконец, в соответствии с упомянутым </w:t>
      </w:r>
      <w:r>
        <w:t>З</w:t>
      </w:r>
      <w:r w:rsidR="004F1D0F" w:rsidRPr="004F1D0F">
        <w:t>аконом на государственный о</w:t>
      </w:r>
      <w:r w:rsidR="004F1D0F" w:rsidRPr="004F1D0F">
        <w:t>р</w:t>
      </w:r>
      <w:r w:rsidR="004F1D0F" w:rsidRPr="004F1D0F">
        <w:t>ган впервые возложена задача по координации и проведению политики в обла</w:t>
      </w:r>
      <w:r w:rsidR="004F1D0F" w:rsidRPr="004F1D0F">
        <w:t>с</w:t>
      </w:r>
      <w:r w:rsidR="004F1D0F" w:rsidRPr="004F1D0F">
        <w:t xml:space="preserve">ти приема и интеграции иностранцев. В нем интеграция определена как </w:t>
      </w:r>
      <w:r w:rsidR="00087F64">
        <w:t>"</w:t>
      </w:r>
      <w:r w:rsidR="004F1D0F" w:rsidRPr="004F1D0F">
        <w:t>дв</w:t>
      </w:r>
      <w:r w:rsidR="004F1D0F" w:rsidRPr="004F1D0F">
        <w:t>у</w:t>
      </w:r>
      <w:r w:rsidR="004F1D0F" w:rsidRPr="004F1D0F">
        <w:t>сторонний процесс, в рамках которого иностранец проявляет стремление п</w:t>
      </w:r>
      <w:r w:rsidR="004F1D0F" w:rsidRPr="004F1D0F">
        <w:t>о</w:t>
      </w:r>
      <w:r w:rsidR="004F1D0F" w:rsidRPr="004F1D0F">
        <w:t>стоянно участвовать в жизни принимающего общества, которое принимает в отношении него все необходимые меры в социальной, экономической, полит</w:t>
      </w:r>
      <w:r w:rsidR="004F1D0F" w:rsidRPr="004F1D0F">
        <w:t>и</w:t>
      </w:r>
      <w:r w:rsidR="004F1D0F" w:rsidRPr="004F1D0F">
        <w:t>ческой и культурной областях для поощрения и облегчения этого процесса</w:t>
      </w:r>
      <w:r w:rsidR="00087F64">
        <w:t>"</w:t>
      </w:r>
      <w:r w:rsidR="004F1D0F" w:rsidRPr="004F1D0F">
        <w:t xml:space="preserve"> (статья 2). С этой целью в Законе от 16 декабря 2008 года были предусмотрены два инструмента: контракт по приему и интеграции и Национальный многоле</w:t>
      </w:r>
      <w:r w:rsidR="004F1D0F" w:rsidRPr="004F1D0F">
        <w:t>т</w:t>
      </w:r>
      <w:r w:rsidR="004F1D0F" w:rsidRPr="004F1D0F">
        <w:t>ний план действий в области интеграции и борьбы с дискриминац</w:t>
      </w:r>
      <w:r w:rsidR="004F1D0F" w:rsidRPr="004F1D0F">
        <w:t>и</w:t>
      </w:r>
      <w:r w:rsidR="004F1D0F" w:rsidRPr="004F1D0F">
        <w:t>ей.</w:t>
      </w:r>
    </w:p>
    <w:p w:rsidR="004F1D0F" w:rsidRPr="004F1D0F" w:rsidRDefault="00183A26" w:rsidP="004F1D0F">
      <w:pPr>
        <w:pStyle w:val="SingleTxtGR"/>
      </w:pPr>
      <w:r>
        <w:tab/>
      </w:r>
      <w:r w:rsidR="004F1D0F" w:rsidRPr="004F1D0F">
        <w:rPr>
          <w:lang w:val="fr-FR"/>
        </w:rPr>
        <w:t>a</w:t>
      </w:r>
      <w:r w:rsidR="004F1D0F" w:rsidRPr="004F1D0F">
        <w:t>)</w:t>
      </w:r>
      <w:r w:rsidR="004F1D0F" w:rsidRPr="004F1D0F">
        <w:tab/>
        <w:t>Контракт по приему и интеграции (КПИ) заключается на двухле</w:t>
      </w:r>
      <w:r w:rsidR="004F1D0F" w:rsidRPr="004F1D0F">
        <w:t>т</w:t>
      </w:r>
      <w:r w:rsidR="004F1D0F" w:rsidRPr="004F1D0F">
        <w:t>ний срок. В нем оговорены вз</w:t>
      </w:r>
      <w:r w:rsidR="004F1D0F" w:rsidRPr="004F1D0F">
        <w:t>а</w:t>
      </w:r>
      <w:r w:rsidR="004F1D0F" w:rsidRPr="004F1D0F">
        <w:t>имные обязательства государства и иностранного гражданина по организации и облегчению интеграции последнего. Для гос</w:t>
      </w:r>
      <w:r w:rsidR="004F1D0F" w:rsidRPr="004F1D0F">
        <w:t>у</w:t>
      </w:r>
      <w:r w:rsidR="004F1D0F" w:rsidRPr="004F1D0F">
        <w:t>дарства речь идет о том, чтобы предоставить ему курс по изучению языка, курс гражданского воспитания и проведение ознакомительного дня, в ходе которого кандидаты, подписавшие контракт, получают практическую информацию о жизни общества в Люксембурге.</w:t>
      </w:r>
    </w:p>
    <w:p w:rsidR="004F1D0F" w:rsidRPr="004F1D0F" w:rsidRDefault="00183A26" w:rsidP="004F1D0F">
      <w:pPr>
        <w:pStyle w:val="SingleTxtGR"/>
      </w:pPr>
      <w:r>
        <w:tab/>
      </w:r>
      <w:r w:rsidR="004F1D0F" w:rsidRPr="004F1D0F">
        <w:rPr>
          <w:lang w:val="fr-FR"/>
        </w:rPr>
        <w:t>b</w:t>
      </w:r>
      <w:r w:rsidR="004F1D0F" w:rsidRPr="004F1D0F">
        <w:t>)</w:t>
      </w:r>
      <w:r w:rsidR="004F1D0F" w:rsidRPr="004F1D0F">
        <w:tab/>
        <w:t>Национальный многолетний план действий является инструментом стратегической и оперативной координации при проведении всеобъемлющей интеграционной политики. Он объединяет усилия 14 министерств и админис</w:t>
      </w:r>
      <w:r w:rsidR="004F1D0F" w:rsidRPr="004F1D0F">
        <w:t>т</w:t>
      </w:r>
      <w:r w:rsidR="004F1D0F" w:rsidRPr="004F1D0F">
        <w:t>ративных органов, направленные на обеспечение межведомственной координ</w:t>
      </w:r>
      <w:r w:rsidR="004F1D0F" w:rsidRPr="004F1D0F">
        <w:t>а</w:t>
      </w:r>
      <w:r w:rsidR="004F1D0F" w:rsidRPr="004F1D0F">
        <w:t>ции тех мероприятий по интеграции иностранцев в Люксембурге и по борьбе с ди</w:t>
      </w:r>
      <w:r w:rsidR="004F1D0F" w:rsidRPr="004F1D0F">
        <w:t>с</w:t>
      </w:r>
      <w:r w:rsidR="004F1D0F" w:rsidRPr="004F1D0F">
        <w:t>криминацией, которые они реализуют, которым они оказывают финансовую поддержку и за которые несут ответственность. Этот план действий рассчитан на пятилетний период и основан на 11 руководящих принципах европейской политики интеграции. Его осуществление отслеживается и оценивается Экон</w:t>
      </w:r>
      <w:r w:rsidR="004F1D0F" w:rsidRPr="004F1D0F">
        <w:t>о</w:t>
      </w:r>
      <w:r w:rsidR="004F1D0F" w:rsidRPr="004F1D0F">
        <w:t>мическим и Социальным Советом на предмет установления соответствия его результатов поставленным целям и выявления встреченных трудностей и соо</w:t>
      </w:r>
      <w:r w:rsidR="004F1D0F" w:rsidRPr="004F1D0F">
        <w:t>т</w:t>
      </w:r>
      <w:r w:rsidR="004F1D0F" w:rsidRPr="004F1D0F">
        <w:t>ветствующих коррективов. Эта оценка также позволит сформулировать рек</w:t>
      </w:r>
      <w:r w:rsidR="004F1D0F" w:rsidRPr="004F1D0F">
        <w:t>о</w:t>
      </w:r>
      <w:r w:rsidR="004F1D0F" w:rsidRPr="004F1D0F">
        <w:t>мендации о дальнейших шагах после завершения плана действий. Наконец, для налаживания диалога с гражданским обществом ежегодно проводится консул</w:t>
      </w:r>
      <w:r w:rsidR="004F1D0F" w:rsidRPr="004F1D0F">
        <w:t>ь</w:t>
      </w:r>
      <w:r w:rsidR="004F1D0F" w:rsidRPr="004F1D0F">
        <w:t>тация с общественностью, способс</w:t>
      </w:r>
      <w:r w:rsidR="004F1D0F" w:rsidRPr="004F1D0F">
        <w:t>т</w:t>
      </w:r>
      <w:r w:rsidR="004F1D0F" w:rsidRPr="004F1D0F">
        <w:t>вующая расстановке приоритетов.</w:t>
      </w:r>
    </w:p>
    <w:p w:rsidR="004F1D0F" w:rsidRPr="001914B3" w:rsidRDefault="009120A7" w:rsidP="001914B3">
      <w:pPr>
        <w:pStyle w:val="HChGR"/>
      </w:pPr>
      <w:r>
        <w:tab/>
      </w:r>
      <w:r>
        <w:tab/>
        <w:t>Статья 3</w:t>
      </w:r>
      <w:r>
        <w:br/>
      </w:r>
      <w:r w:rsidR="004F1D0F" w:rsidRPr="001914B3">
        <w:t>Информация о законодательных, судебных, административных или иных мерах, обеспечивающих осуществление положений статьи 3 Конвенции</w:t>
      </w:r>
    </w:p>
    <w:p w:rsidR="004F1D0F" w:rsidRPr="004F1D0F" w:rsidRDefault="00183A26" w:rsidP="004F1D0F">
      <w:pPr>
        <w:pStyle w:val="SingleTxtGR"/>
      </w:pPr>
      <w:r>
        <w:tab/>
      </w:r>
      <w:r w:rsidR="004F1D0F" w:rsidRPr="004F1D0F">
        <w:rPr>
          <w:lang w:val="fr-FR"/>
        </w:rPr>
        <w:t>a</w:t>
      </w:r>
      <w:r w:rsidR="004F1D0F" w:rsidRPr="004F1D0F">
        <w:t>)</w:t>
      </w:r>
      <w:r>
        <w:tab/>
      </w:r>
      <w:r w:rsidR="004F1D0F" w:rsidRPr="004F1D0F">
        <w:t>Меры по предотвращению, запрещению и искоренению любой практики расовой сегрегации на территориях, находящихся под юрисдикцией представляющего доклад государства;</w:t>
      </w:r>
    </w:p>
    <w:p w:rsidR="004F1D0F" w:rsidRPr="004F1D0F" w:rsidRDefault="00183A26" w:rsidP="004F1D0F">
      <w:pPr>
        <w:pStyle w:val="SingleTxtGR"/>
      </w:pPr>
      <w:r>
        <w:tab/>
      </w:r>
      <w:r w:rsidR="004F1D0F" w:rsidRPr="004F1D0F">
        <w:rPr>
          <w:lang w:val="fr-FR"/>
        </w:rPr>
        <w:t>b</w:t>
      </w:r>
      <w:r w:rsidR="004F1D0F" w:rsidRPr="004F1D0F">
        <w:t>)</w:t>
      </w:r>
      <w:r w:rsidR="004F1D0F" w:rsidRPr="004F1D0F">
        <w:tab/>
      </w:r>
      <w:r w:rsidR="009120A7">
        <w:t>м</w:t>
      </w:r>
      <w:r w:rsidR="004F1D0F" w:rsidRPr="004F1D0F">
        <w:t>еры по обеспечению надлежащего контроля за всеми тенденци</w:t>
      </w:r>
      <w:r w:rsidR="004F1D0F" w:rsidRPr="004F1D0F">
        <w:t>я</w:t>
      </w:r>
      <w:r w:rsidR="004F1D0F" w:rsidRPr="004F1D0F">
        <w:t>ми, которые могут привести к расовой сегрегации или созданию гетто;</w:t>
      </w:r>
    </w:p>
    <w:p w:rsidR="004F1D0F" w:rsidRPr="004F1D0F" w:rsidRDefault="00183A26" w:rsidP="004F1D0F">
      <w:pPr>
        <w:pStyle w:val="SingleTxtGR"/>
      </w:pPr>
      <w:r>
        <w:tab/>
      </w:r>
      <w:r w:rsidR="004F1D0F" w:rsidRPr="004F1D0F">
        <w:rPr>
          <w:lang w:val="fr-FR"/>
        </w:rPr>
        <w:t>c</w:t>
      </w:r>
      <w:r w:rsidR="004F1D0F" w:rsidRPr="004F1D0F">
        <w:t>)</w:t>
      </w:r>
      <w:r w:rsidR="004F1D0F" w:rsidRPr="004F1D0F">
        <w:tab/>
      </w:r>
      <w:r w:rsidR="009120A7">
        <w:t>м</w:t>
      </w:r>
      <w:r w:rsidR="004F1D0F" w:rsidRPr="004F1D0F">
        <w:t>еры по предотвращению и максимально возможному недопущ</w:t>
      </w:r>
      <w:r w:rsidR="004F1D0F" w:rsidRPr="004F1D0F">
        <w:t>е</w:t>
      </w:r>
      <w:r w:rsidR="004F1D0F" w:rsidRPr="004F1D0F">
        <w:t>нию сегрегации защищаемых Конвенцией групп и отдельных лиц, включая р</w:t>
      </w:r>
      <w:r w:rsidR="004F1D0F" w:rsidRPr="004F1D0F">
        <w:t>о</w:t>
      </w:r>
      <w:r w:rsidR="004F1D0F" w:rsidRPr="004F1D0F">
        <w:t>ма/цыган, общин, построе</w:t>
      </w:r>
      <w:r w:rsidR="004F1D0F" w:rsidRPr="004F1D0F">
        <w:t>н</w:t>
      </w:r>
      <w:r w:rsidR="004F1D0F" w:rsidRPr="004F1D0F">
        <w:t>ных по родовому признаку, и неграждан, особенно в сферах образования и обеспечения жильем.</w:t>
      </w:r>
    </w:p>
    <w:p w:rsidR="004F1D0F" w:rsidRPr="004F1D0F" w:rsidRDefault="00183A26" w:rsidP="004F1D0F">
      <w:pPr>
        <w:pStyle w:val="SingleTxtGR"/>
      </w:pPr>
      <w:r>
        <w:t>23.</w:t>
      </w:r>
      <w:r>
        <w:tab/>
      </w:r>
      <w:r w:rsidR="00A52676" w:rsidRPr="004F1D0F">
        <w:t>Национальный многолетний план действий по интеграции и борьбе с дискриминацией представляет собой инструмент, направленный на обеспеч</w:t>
      </w:r>
      <w:r w:rsidR="00A52676" w:rsidRPr="004F1D0F">
        <w:t>е</w:t>
      </w:r>
      <w:r w:rsidR="00A52676" w:rsidRPr="004F1D0F">
        <w:t xml:space="preserve">ние социального единения, в частности </w:t>
      </w:r>
      <w:r w:rsidR="00A52676">
        <w:t>в</w:t>
      </w:r>
      <w:r w:rsidR="00A52676" w:rsidRPr="004F1D0F">
        <w:t xml:space="preserve"> сфере интеграции лиц, не являющихся гражд</w:t>
      </w:r>
      <w:r w:rsidR="00A52676" w:rsidRPr="004F1D0F">
        <w:t>а</w:t>
      </w:r>
      <w:r w:rsidR="00A52676" w:rsidRPr="004F1D0F">
        <w:t>нами Люксембурга.</w:t>
      </w:r>
    </w:p>
    <w:p w:rsidR="004F1D0F" w:rsidRPr="004F1D0F" w:rsidRDefault="00183A26" w:rsidP="004F1D0F">
      <w:pPr>
        <w:pStyle w:val="SingleTxtGR"/>
      </w:pPr>
      <w:r>
        <w:t>24.</w:t>
      </w:r>
      <w:r>
        <w:tab/>
      </w:r>
      <w:r w:rsidR="004F1D0F" w:rsidRPr="004F1D0F">
        <w:t xml:space="preserve">В этой связи предусмотрен ряд мероприятий по развитию </w:t>
      </w:r>
      <w:r w:rsidR="00087F64">
        <w:t>"</w:t>
      </w:r>
      <w:r w:rsidR="004F1D0F" w:rsidRPr="004F1D0F">
        <w:t>искусства жить вместе</w:t>
      </w:r>
      <w:r w:rsidR="00087F64">
        <w:t>"</w:t>
      </w:r>
      <w:r w:rsidR="004F1D0F" w:rsidRPr="004F1D0F">
        <w:t>, межкул</w:t>
      </w:r>
      <w:r w:rsidR="004F1D0F" w:rsidRPr="004F1D0F">
        <w:t>ь</w:t>
      </w:r>
      <w:r w:rsidR="004F1D0F" w:rsidRPr="004F1D0F">
        <w:t>турного диалога и знаний об обществе приема.</w:t>
      </w:r>
    </w:p>
    <w:p w:rsidR="004F1D0F" w:rsidRPr="004F1D0F" w:rsidRDefault="00183A26" w:rsidP="004F1D0F">
      <w:pPr>
        <w:pStyle w:val="SingleTxtGR"/>
      </w:pPr>
      <w:r>
        <w:t>25.</w:t>
      </w:r>
      <w:r>
        <w:tab/>
      </w:r>
      <w:r w:rsidR="004F1D0F" w:rsidRPr="004F1D0F">
        <w:t>Например, следует отметить углубленную работу, проделанную совмес</w:t>
      </w:r>
      <w:r w:rsidR="004F1D0F" w:rsidRPr="004F1D0F">
        <w:t>т</w:t>
      </w:r>
      <w:r w:rsidR="004F1D0F" w:rsidRPr="004F1D0F">
        <w:t>ными усилиями профсоюза городов и коммун Люксембурга (</w:t>
      </w:r>
      <w:r w:rsidR="00087F64">
        <w:t>"</w:t>
      </w:r>
      <w:r w:rsidR="004F1D0F" w:rsidRPr="004F1D0F">
        <w:t>Сивиколь</w:t>
      </w:r>
      <w:r w:rsidR="00087F64">
        <w:t>"</w:t>
      </w:r>
      <w:r w:rsidR="004F1D0F" w:rsidRPr="004F1D0F">
        <w:t>) и М</w:t>
      </w:r>
      <w:r w:rsidR="004F1D0F" w:rsidRPr="004F1D0F">
        <w:t>и</w:t>
      </w:r>
      <w:r w:rsidR="004F1D0F" w:rsidRPr="004F1D0F">
        <w:t>нистерства внутренних дел в области интеграции на местном уровне, в ходе к</w:t>
      </w:r>
      <w:r w:rsidR="004F1D0F" w:rsidRPr="004F1D0F">
        <w:t>о</w:t>
      </w:r>
      <w:r w:rsidR="004F1D0F" w:rsidRPr="004F1D0F">
        <w:t>торой, в частности, была разработана стратегия такой интеграции. Эта страт</w:t>
      </w:r>
      <w:r w:rsidR="004F1D0F" w:rsidRPr="004F1D0F">
        <w:t>е</w:t>
      </w:r>
      <w:r w:rsidR="004F1D0F" w:rsidRPr="004F1D0F">
        <w:t>гия предусматривает три главных направления и нацелена прежде всего на расширение прав и возможностей коммун и местных субъектов в сфере инт</w:t>
      </w:r>
      <w:r w:rsidR="004F1D0F" w:rsidRPr="004F1D0F">
        <w:t>е</w:t>
      </w:r>
      <w:r w:rsidR="004F1D0F" w:rsidRPr="004F1D0F">
        <w:t>грации. Для оказания коммунам содействия в развитии их деятельности Мин</w:t>
      </w:r>
      <w:r w:rsidR="004F1D0F" w:rsidRPr="004F1D0F">
        <w:t>и</w:t>
      </w:r>
      <w:r w:rsidR="004F1D0F" w:rsidRPr="004F1D0F">
        <w:t>стерство по делам семьи и интеграции через посредство УИПЛ ввело отдел</w:t>
      </w:r>
      <w:r w:rsidR="004F1D0F" w:rsidRPr="004F1D0F">
        <w:t>ь</w:t>
      </w:r>
      <w:r w:rsidR="004F1D0F" w:rsidRPr="004F1D0F">
        <w:t>ную статью бюджета и занимается наращиванием ресурсов и видов практики с помощью платформы для обмена мнениями и будущего ввода в действие И</w:t>
      </w:r>
      <w:r w:rsidR="004F1D0F" w:rsidRPr="004F1D0F">
        <w:t>н</w:t>
      </w:r>
      <w:r w:rsidR="004F1D0F" w:rsidRPr="004F1D0F">
        <w:t>тернет-портала.</w:t>
      </w:r>
    </w:p>
    <w:p w:rsidR="004F1D0F" w:rsidRPr="004F1D0F" w:rsidRDefault="00183A26" w:rsidP="004F1D0F">
      <w:pPr>
        <w:pStyle w:val="SingleTxtGR"/>
      </w:pPr>
      <w:r>
        <w:t>26.</w:t>
      </w:r>
      <w:r>
        <w:tab/>
      </w:r>
      <w:r w:rsidR="004F1D0F" w:rsidRPr="004F1D0F">
        <w:t>Действуя в рамках упомянутого Плана и стремясь, с одной стороны, ра</w:t>
      </w:r>
      <w:r w:rsidR="004F1D0F" w:rsidRPr="004F1D0F">
        <w:t>с</w:t>
      </w:r>
      <w:r w:rsidR="004F1D0F" w:rsidRPr="004F1D0F">
        <w:t>ширить участие ин</w:t>
      </w:r>
      <w:r w:rsidR="004F1D0F" w:rsidRPr="004F1D0F">
        <w:t>о</w:t>
      </w:r>
      <w:r w:rsidR="004F1D0F" w:rsidRPr="004F1D0F">
        <w:t>странцев в коммунальных выборах в октябре 2011 года, а с другой – наладить с принимающим обществом дискуссию по вопросу о необх</w:t>
      </w:r>
      <w:r w:rsidR="004F1D0F" w:rsidRPr="004F1D0F">
        <w:t>о</w:t>
      </w:r>
      <w:r w:rsidR="004F1D0F" w:rsidRPr="004F1D0F">
        <w:t xml:space="preserve">димости участия иностранцев в выборах местного уровня, Министерство по делам семьи совместно с профсоюзом </w:t>
      </w:r>
      <w:r w:rsidR="00087F64">
        <w:t>"</w:t>
      </w:r>
      <w:r w:rsidR="004F1D0F" w:rsidRPr="004F1D0F">
        <w:t>Сивиколь</w:t>
      </w:r>
      <w:r w:rsidR="00087F64">
        <w:t>"</w:t>
      </w:r>
      <w:r w:rsidR="004F1D0F" w:rsidRPr="004F1D0F">
        <w:t xml:space="preserve"> и Министерством внутре</w:t>
      </w:r>
      <w:r w:rsidR="004F1D0F" w:rsidRPr="004F1D0F">
        <w:t>н</w:t>
      </w:r>
      <w:r w:rsidR="004F1D0F" w:rsidRPr="004F1D0F">
        <w:t>них дел организовало, в частности, проведение масштабной агитационной ка</w:t>
      </w:r>
      <w:r w:rsidR="004F1D0F" w:rsidRPr="004F1D0F">
        <w:t>м</w:t>
      </w:r>
      <w:r w:rsidR="004F1D0F" w:rsidRPr="004F1D0F">
        <w:t xml:space="preserve">пании под лозунгом </w:t>
      </w:r>
      <w:r w:rsidR="00087F64">
        <w:t>"</w:t>
      </w:r>
      <w:r w:rsidR="004F1D0F" w:rsidRPr="004F1D0F">
        <w:t>Я могу голосовать</w:t>
      </w:r>
      <w:r w:rsidR="00087F64">
        <w:t>"</w:t>
      </w:r>
      <w:r w:rsidR="004F1D0F" w:rsidRPr="004F1D0F">
        <w:t>.</w:t>
      </w:r>
    </w:p>
    <w:p w:rsidR="004F1D0F" w:rsidRDefault="00183A26" w:rsidP="004F1D0F">
      <w:pPr>
        <w:pStyle w:val="SingleTxtGR"/>
      </w:pPr>
      <w:r>
        <w:t>27.</w:t>
      </w:r>
      <w:r>
        <w:tab/>
      </w:r>
      <w:r w:rsidR="004F1D0F" w:rsidRPr="004F1D0F">
        <w:t>В результате проведения этой кампании значительно выросло число ин</w:t>
      </w:r>
      <w:r w:rsidR="004F1D0F" w:rsidRPr="004F1D0F">
        <w:t>о</w:t>
      </w:r>
      <w:r w:rsidR="004F1D0F" w:rsidRPr="004F1D0F">
        <w:t>странцев, включенных в избирательные списки, и число кандидатов-иностранцев, избранных в советы коммун; кроме того, она позволила повысить степень осознания ключевыми субъектами (политическими партиями, ассоци</w:t>
      </w:r>
      <w:r w:rsidR="004F1D0F" w:rsidRPr="004F1D0F">
        <w:t>а</w:t>
      </w:r>
      <w:r w:rsidR="004F1D0F" w:rsidRPr="004F1D0F">
        <w:t>циями иностранных граждан, профсоюзами и т.д.) значения участия иностра</w:t>
      </w:r>
      <w:r w:rsidR="004F1D0F" w:rsidRPr="004F1D0F">
        <w:t>н</w:t>
      </w:r>
      <w:r w:rsidR="004F1D0F" w:rsidRPr="004F1D0F">
        <w:t>цев и глубоко вникнуть в соответствующую проблематику, по которой, в час</w:t>
      </w:r>
      <w:r w:rsidR="004F1D0F" w:rsidRPr="004F1D0F">
        <w:t>т</w:t>
      </w:r>
      <w:r w:rsidR="004F1D0F" w:rsidRPr="004F1D0F">
        <w:t>ности, каждая из политических партий заняла опред</w:t>
      </w:r>
      <w:r w:rsidR="004F1D0F" w:rsidRPr="004F1D0F">
        <w:t>е</w:t>
      </w:r>
      <w:r w:rsidR="004F1D0F" w:rsidRPr="004F1D0F">
        <w:t>ленную позицию.</w:t>
      </w:r>
    </w:p>
    <w:p w:rsidR="009120A7" w:rsidRPr="00844E22" w:rsidRDefault="009120A7" w:rsidP="009120A7">
      <w:pPr>
        <w:pStyle w:val="SingleTxtGR"/>
      </w:pPr>
      <w:r>
        <w:t>28.</w:t>
      </w:r>
      <w:r>
        <w:tab/>
      </w:r>
      <w:r w:rsidRPr="00844E22">
        <w:t xml:space="preserve">В рамках других направлений деятельности УИПЛ </w:t>
      </w:r>
      <w:r>
        <w:t>−</w:t>
      </w:r>
      <w:r w:rsidRPr="00844E22">
        <w:t xml:space="preserve"> а именно в сфере приема просителей международной защиты </w:t>
      </w:r>
      <w:r>
        <w:t>−</w:t>
      </w:r>
      <w:r w:rsidRPr="00844E22">
        <w:t xml:space="preserve"> перед созданием в какой-либо коммуне центра по приему проводился ряд встреч с местным населением, чт</w:t>
      </w:r>
      <w:r w:rsidRPr="00844E22">
        <w:t>о</w:t>
      </w:r>
      <w:r w:rsidRPr="00844E22">
        <w:t>бы ра</w:t>
      </w:r>
      <w:r w:rsidRPr="00844E22">
        <w:t>с</w:t>
      </w:r>
      <w:r w:rsidRPr="00844E22">
        <w:t>сеять его опасения. Кроме того, министр по делам семьи и интеграции в ходе пресс-конференции обратилась к коммунам с призывом принимать прос</w:t>
      </w:r>
      <w:r w:rsidRPr="00844E22">
        <w:t>и</w:t>
      </w:r>
      <w:r w:rsidRPr="00844E22">
        <w:t xml:space="preserve">телей международной защиты. Этот призыв, в частности, способствовал борьбе с предрассудками или стереотипами, сложившимися по поводу лиц, ищущих международной защиты. </w:t>
      </w:r>
    </w:p>
    <w:p w:rsidR="009120A7" w:rsidRPr="00844E22" w:rsidRDefault="009120A7" w:rsidP="009120A7">
      <w:pPr>
        <w:pStyle w:val="SingleTxtGR"/>
      </w:pPr>
      <w:r>
        <w:t>29.</w:t>
      </w:r>
      <w:r>
        <w:tab/>
      </w:r>
      <w:r w:rsidRPr="00844E22">
        <w:t>Государственные посреднические органы (жилищный фонд, Национал</w:t>
      </w:r>
      <w:r w:rsidRPr="00844E22">
        <w:t>ь</w:t>
      </w:r>
      <w:r w:rsidRPr="00844E22">
        <w:t>ное общество социального жилья, коммуны) осуществляют проекты по стро</w:t>
      </w:r>
      <w:r w:rsidRPr="00844E22">
        <w:t>и</w:t>
      </w:r>
      <w:r w:rsidRPr="00844E22">
        <w:t>тельству комплексов субсидируемого жилья, обеспечивая в них совместное прож</w:t>
      </w:r>
      <w:r w:rsidRPr="00844E22">
        <w:t>и</w:t>
      </w:r>
      <w:r w:rsidRPr="00844E22">
        <w:t>вание представителей различных групп населения.</w:t>
      </w:r>
    </w:p>
    <w:p w:rsidR="009120A7" w:rsidRPr="00844E22" w:rsidRDefault="009120A7" w:rsidP="009120A7">
      <w:pPr>
        <w:pStyle w:val="SingleTxtGR"/>
      </w:pPr>
      <w:r>
        <w:t>30.</w:t>
      </w:r>
      <w:r>
        <w:tab/>
      </w:r>
      <w:r w:rsidRPr="00844E22">
        <w:t>В этой связи Закон от 25 февраля 1979 года об оказании помощи в дост</w:t>
      </w:r>
      <w:r w:rsidRPr="00844E22">
        <w:t>у</w:t>
      </w:r>
      <w:r w:rsidRPr="00844E22">
        <w:t>пе к жилищу с внесенными в него изменениями дает государственным посре</w:t>
      </w:r>
      <w:r w:rsidRPr="00844E22">
        <w:t>д</w:t>
      </w:r>
      <w:r w:rsidRPr="00844E22">
        <w:t>ническим органам возможность выделять до 25% своего арендного жилого фонда для сдачи в аренду на условиях частного рынка. Вплоть до 40% лиц, приобретающих субсидируемое жилье, не должны являться получателями су</w:t>
      </w:r>
      <w:r w:rsidRPr="00844E22">
        <w:t>б</w:t>
      </w:r>
      <w:r w:rsidRPr="00844E22">
        <w:t>сидии на приобретение или строительство жилья (</w:t>
      </w:r>
      <w:r w:rsidR="00D25FD7">
        <w:t>т.е.</w:t>
      </w:r>
      <w:r w:rsidRPr="00844E22">
        <w:t xml:space="preserve"> помощи, предоставля</w:t>
      </w:r>
      <w:r w:rsidRPr="00844E22">
        <w:t>е</w:t>
      </w:r>
      <w:r w:rsidRPr="00844E22">
        <w:t xml:space="preserve">мой лицам, доход которых не превышает определенного уровня). </w:t>
      </w:r>
    </w:p>
    <w:p w:rsidR="009120A7" w:rsidRPr="00844E22" w:rsidRDefault="009120A7" w:rsidP="009120A7">
      <w:pPr>
        <w:pStyle w:val="SingleTxtGR"/>
      </w:pPr>
      <w:r>
        <w:t>31.</w:t>
      </w:r>
      <w:r>
        <w:tab/>
      </w:r>
      <w:r w:rsidRPr="00844E22">
        <w:t>В целом следует отметить, что в законодательстве об оказании помощи в доступе к жилищу не проявляется никакой дискриминации (например, рас</w:t>
      </w:r>
      <w:r w:rsidRPr="00844E22">
        <w:t>о</w:t>
      </w:r>
      <w:r w:rsidRPr="00844E22">
        <w:t>вой).</w:t>
      </w:r>
    </w:p>
    <w:p w:rsidR="009120A7" w:rsidRPr="00844E22" w:rsidRDefault="009120A7" w:rsidP="009120A7">
      <w:pPr>
        <w:pStyle w:val="SingleTxtGR"/>
      </w:pPr>
      <w:r>
        <w:t>32.</w:t>
      </w:r>
      <w:r>
        <w:tab/>
      </w:r>
      <w:r w:rsidRPr="00844E22">
        <w:t>В статьях 34 и 37 Закона от 6 февраля 2009 года об организации системы базового образования предусмотрено создание классов приема или специализ</w:t>
      </w:r>
      <w:r w:rsidRPr="00844E22">
        <w:t>и</w:t>
      </w:r>
      <w:r w:rsidRPr="00844E22">
        <w:t xml:space="preserve">рованных классов для удовлетворения потребностей, возникающих в каждом конкретном случае. </w:t>
      </w:r>
    </w:p>
    <w:p w:rsidR="009120A7" w:rsidRPr="00844E22" w:rsidRDefault="009120A7" w:rsidP="009120A7">
      <w:pPr>
        <w:pStyle w:val="SingleTxtGR"/>
      </w:pPr>
      <w:r>
        <w:t>33.</w:t>
      </w:r>
      <w:r>
        <w:tab/>
      </w:r>
      <w:r w:rsidRPr="00844E22">
        <w:t>Аналогичные меры предусмотрены и в системе посленачального образ</w:t>
      </w:r>
      <w:r w:rsidRPr="00844E22">
        <w:t>о</w:t>
      </w:r>
      <w:r w:rsidRPr="00844E22">
        <w:t>вания.</w:t>
      </w:r>
    </w:p>
    <w:p w:rsidR="009120A7" w:rsidRPr="00844E22" w:rsidRDefault="009120A7" w:rsidP="009120A7">
      <w:pPr>
        <w:pStyle w:val="SingleTxtGR"/>
      </w:pPr>
      <w:r>
        <w:t>34.</w:t>
      </w:r>
      <w:r>
        <w:tab/>
      </w:r>
      <w:r w:rsidRPr="00844E22">
        <w:t>Служба по вопросам школьного образования детей-иностранцев при М</w:t>
      </w:r>
      <w:r w:rsidRPr="00844E22">
        <w:t>и</w:t>
      </w:r>
      <w:r w:rsidRPr="00844E22">
        <w:t>нистерстве национального образования и профессионального обучения коорд</w:t>
      </w:r>
      <w:r w:rsidRPr="00844E22">
        <w:t>и</w:t>
      </w:r>
      <w:r w:rsidRPr="00844E22">
        <w:t>нирует мероприятия по охвату школьным обучением всех иностранных уч</w:t>
      </w:r>
      <w:r w:rsidRPr="00844E22">
        <w:t>а</w:t>
      </w:r>
      <w:r w:rsidRPr="00844E22">
        <w:t>щихся независимо от статуса их родителей и в рамках различных проектов и услуг предоставляет помощь учащимся, иноязычным родителям учащихся и препод</w:t>
      </w:r>
      <w:r w:rsidRPr="00844E22">
        <w:t>а</w:t>
      </w:r>
      <w:r w:rsidRPr="00844E22">
        <w:t>вателям, обеспечивающим прием таких учащихся в своих классах.</w:t>
      </w:r>
    </w:p>
    <w:p w:rsidR="009120A7" w:rsidRPr="00844E22" w:rsidRDefault="009120A7" w:rsidP="009120A7">
      <w:pPr>
        <w:pStyle w:val="SingleTxtGR"/>
      </w:pPr>
      <w:r>
        <w:t>35.</w:t>
      </w:r>
      <w:r>
        <w:tab/>
      </w:r>
      <w:r w:rsidRPr="00844E22">
        <w:t>Далее обобщены мероприятия, направленные прежде всего на предупр</w:t>
      </w:r>
      <w:r w:rsidRPr="00844E22">
        <w:t>е</w:t>
      </w:r>
      <w:r w:rsidRPr="00844E22">
        <w:t>ждение и недопущение сегрегации детей лиц, ищущих международной защиты, в том числе представителей народности рома.</w:t>
      </w:r>
    </w:p>
    <w:p w:rsidR="009120A7" w:rsidRPr="00844E22" w:rsidRDefault="009120A7" w:rsidP="009120A7">
      <w:pPr>
        <w:pStyle w:val="H23GR"/>
      </w:pPr>
      <w:r>
        <w:tab/>
        <w:t>1.</w:t>
      </w:r>
      <w:r>
        <w:tab/>
      </w:r>
      <w:r w:rsidRPr="00844E22">
        <w:t>Межкультурное посредничество</w:t>
      </w:r>
    </w:p>
    <w:p w:rsidR="009120A7" w:rsidRPr="00844E22" w:rsidRDefault="009120A7" w:rsidP="009120A7">
      <w:pPr>
        <w:pStyle w:val="SingleTxtGR"/>
      </w:pPr>
      <w:r>
        <w:t>36.</w:t>
      </w:r>
      <w:r>
        <w:tab/>
      </w:r>
      <w:r w:rsidRPr="00844E22">
        <w:t>В процессе охвата детей просителей международной защиты школьным образованием преподаватели и органы системы образования сталкиваются с трудностями общения. Для семей народности рома привлекаются сербохорва</w:t>
      </w:r>
      <w:r w:rsidRPr="00844E22">
        <w:t>т</w:t>
      </w:r>
      <w:r w:rsidRPr="00844E22">
        <w:t>ские межкультурные посредники Службы, которым поручено с помощью устн</w:t>
      </w:r>
      <w:r w:rsidRPr="00844E22">
        <w:t>о</w:t>
      </w:r>
      <w:r w:rsidRPr="00844E22">
        <w:t>го и письменного перевода и информационно-посреднической работы спосо</w:t>
      </w:r>
      <w:r w:rsidRPr="00844E22">
        <w:t>б</w:t>
      </w:r>
      <w:r w:rsidRPr="00844E22">
        <w:t>ствовать охвату этих детей школьным образованием и обеспечивать связь ме</w:t>
      </w:r>
      <w:r w:rsidRPr="00844E22">
        <w:t>ж</w:t>
      </w:r>
      <w:r w:rsidRPr="00844E22">
        <w:t>ду школой и семьями этих учащихся. Для выполнения поставленной задачи они регулярно присутствуют и оказывают помощь на занятиях, а также в опред</w:t>
      </w:r>
      <w:r w:rsidRPr="00844E22">
        <w:t>е</w:t>
      </w:r>
      <w:r w:rsidRPr="00844E22">
        <w:t>ленных случаях участвуют в информационных собраниях, собраниях препод</w:t>
      </w:r>
      <w:r w:rsidRPr="00844E22">
        <w:t>а</w:t>
      </w:r>
      <w:r w:rsidRPr="00844E22">
        <w:t>вателей и родителей учащихся или одних учащихся.</w:t>
      </w:r>
    </w:p>
    <w:p w:rsidR="009120A7" w:rsidRPr="00844E22" w:rsidRDefault="009120A7" w:rsidP="00D25FD7">
      <w:pPr>
        <w:pStyle w:val="SingleTxtGR"/>
        <w:keepNext/>
        <w:pageBreakBefore/>
      </w:pPr>
      <w:r>
        <w:t>37.</w:t>
      </w:r>
      <w:r>
        <w:tab/>
      </w:r>
      <w:r w:rsidRPr="00844E22">
        <w:t>Потребность в межкультурном посредничестве, особенно с использов</w:t>
      </w:r>
      <w:r w:rsidRPr="00844E22">
        <w:t>а</w:t>
      </w:r>
      <w:r w:rsidRPr="00844E22">
        <w:t>нием сербохорватского языка, активно возрастает:</w:t>
      </w:r>
    </w:p>
    <w:p w:rsidR="009120A7" w:rsidRPr="00844E22" w:rsidRDefault="00D25FD7" w:rsidP="009120A7">
      <w:pPr>
        <w:pStyle w:val="Bullet1GR"/>
        <w:numPr>
          <w:ilvl w:val="0"/>
          <w:numId w:val="1"/>
        </w:numPr>
      </w:pPr>
      <w:r>
        <w:t>2007/</w:t>
      </w:r>
      <w:r w:rsidR="004706CD">
        <w:t xml:space="preserve">08 год: </w:t>
      </w:r>
      <w:r w:rsidR="009120A7" w:rsidRPr="00844E22">
        <w:t>1</w:t>
      </w:r>
      <w:r w:rsidR="009120A7" w:rsidRPr="00844E22">
        <w:rPr>
          <w:lang w:val="fr-FR"/>
        </w:rPr>
        <w:t> </w:t>
      </w:r>
      <w:r w:rsidR="009120A7" w:rsidRPr="00844E22">
        <w:t xml:space="preserve">145 заявок о посредничестве, в том числе 403 </w:t>
      </w:r>
      <w:r w:rsidR="009120A7">
        <w:t>−</w:t>
      </w:r>
      <w:r w:rsidR="009120A7" w:rsidRPr="00844E22">
        <w:t xml:space="preserve"> на серб</w:t>
      </w:r>
      <w:r w:rsidR="009120A7" w:rsidRPr="00844E22">
        <w:t>о</w:t>
      </w:r>
      <w:r w:rsidR="009120A7" w:rsidRPr="00844E22">
        <w:t>хорватском языке;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>2008</w:t>
      </w:r>
      <w:r w:rsidR="004706CD">
        <w:t>/0</w:t>
      </w:r>
      <w:r w:rsidRPr="00844E22">
        <w:t>9 год:</w:t>
      </w:r>
      <w:r w:rsidR="004706CD">
        <w:t xml:space="preserve"> </w:t>
      </w:r>
      <w:r w:rsidRPr="00844E22">
        <w:t>1</w:t>
      </w:r>
      <w:r w:rsidRPr="00844E22">
        <w:rPr>
          <w:lang w:val="fr-FR"/>
        </w:rPr>
        <w:t> </w:t>
      </w:r>
      <w:r w:rsidRPr="00844E22">
        <w:t xml:space="preserve">211 заявок, в том числе 414 </w:t>
      </w:r>
      <w:r>
        <w:t>−</w:t>
      </w:r>
      <w:r w:rsidRPr="00844E22">
        <w:t xml:space="preserve"> на сербохорватском языке;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>2009</w:t>
      </w:r>
      <w:r w:rsidR="004706CD">
        <w:t>/</w:t>
      </w:r>
      <w:r w:rsidRPr="00844E22">
        <w:t>10 год:</w:t>
      </w:r>
      <w:r w:rsidR="004706CD">
        <w:t xml:space="preserve"> </w:t>
      </w:r>
      <w:r w:rsidRPr="00844E22">
        <w:t>1</w:t>
      </w:r>
      <w:r w:rsidRPr="00844E22">
        <w:rPr>
          <w:lang w:val="fr-FR"/>
        </w:rPr>
        <w:t> </w:t>
      </w:r>
      <w:r w:rsidRPr="00844E22">
        <w:t xml:space="preserve">634 заявки, в том числе 456 </w:t>
      </w:r>
      <w:r>
        <w:t>−</w:t>
      </w:r>
      <w:r w:rsidRPr="00844E22">
        <w:t xml:space="preserve"> на сербохорватском языке;</w:t>
      </w:r>
    </w:p>
    <w:p w:rsidR="009120A7" w:rsidRPr="00844E22" w:rsidRDefault="004706CD" w:rsidP="009120A7">
      <w:pPr>
        <w:pStyle w:val="Bullet1GR"/>
        <w:numPr>
          <w:ilvl w:val="0"/>
          <w:numId w:val="1"/>
        </w:numPr>
      </w:pPr>
      <w:r>
        <w:t>2010/</w:t>
      </w:r>
      <w:r w:rsidR="009120A7" w:rsidRPr="00844E22">
        <w:t>11 год:</w:t>
      </w:r>
      <w:r>
        <w:t xml:space="preserve"> </w:t>
      </w:r>
      <w:r w:rsidR="009120A7" w:rsidRPr="00844E22">
        <w:t>1</w:t>
      </w:r>
      <w:r w:rsidR="009120A7" w:rsidRPr="00844E22">
        <w:rPr>
          <w:lang w:val="fr-FR"/>
        </w:rPr>
        <w:t> </w:t>
      </w:r>
      <w:r w:rsidR="009120A7" w:rsidRPr="00844E22">
        <w:t xml:space="preserve">817 заявок, в том числе 548 </w:t>
      </w:r>
      <w:r w:rsidR="009120A7">
        <w:t>−</w:t>
      </w:r>
      <w:r w:rsidR="009120A7" w:rsidRPr="00844E22">
        <w:t xml:space="preserve"> на сербохорватском языке.</w:t>
      </w:r>
    </w:p>
    <w:p w:rsidR="009120A7" w:rsidRPr="00844E22" w:rsidRDefault="009120A7" w:rsidP="009120A7">
      <w:pPr>
        <w:pStyle w:val="SingleTxtGR"/>
      </w:pPr>
      <w:r>
        <w:tab/>
      </w:r>
      <w:r w:rsidRPr="00844E22">
        <w:t>Службе потребовалось прилечь большее число независимых сотрудников, в ч</w:t>
      </w:r>
      <w:r w:rsidRPr="00844E22">
        <w:t>а</w:t>
      </w:r>
      <w:r w:rsidRPr="00844E22">
        <w:t>стности с сербохорватским языком.</w:t>
      </w:r>
    </w:p>
    <w:p w:rsidR="009120A7" w:rsidRPr="00844E22" w:rsidRDefault="009120A7" w:rsidP="009120A7">
      <w:pPr>
        <w:pStyle w:val="H23GR"/>
      </w:pPr>
      <w:r>
        <w:tab/>
        <w:t>2.</w:t>
      </w:r>
      <w:r>
        <w:tab/>
      </w:r>
      <w:r w:rsidRPr="00844E22">
        <w:t>Набор преподавателей, владеющих серб</w:t>
      </w:r>
      <w:r w:rsidR="004706CD">
        <w:t>охорватским языком</w:t>
      </w:r>
    </w:p>
    <w:p w:rsidR="009120A7" w:rsidRPr="00844E22" w:rsidRDefault="009120A7" w:rsidP="009120A7">
      <w:pPr>
        <w:pStyle w:val="SingleTxtGR"/>
      </w:pPr>
      <w:r w:rsidRPr="00844E22">
        <w:t>38.</w:t>
      </w:r>
      <w:r w:rsidRPr="00844E22">
        <w:tab/>
        <w:t>Учитывая динамику последних лет и массовый приток просителей ме</w:t>
      </w:r>
      <w:r w:rsidRPr="00844E22">
        <w:t>ж</w:t>
      </w:r>
      <w:r w:rsidRPr="00844E22">
        <w:t>дународной помощи, в частности представителей народности рома, которые размещаются вне коммунальных структур, Министерство национального обр</w:t>
      </w:r>
      <w:r w:rsidRPr="00844E22">
        <w:t>а</w:t>
      </w:r>
      <w:r w:rsidRPr="00844E22">
        <w:t>зования и профессионального обучения решило в качестве переходной меры для охвата их детей школьным образованием прибегнуть к формированию сп</w:t>
      </w:r>
      <w:r w:rsidRPr="00844E22">
        <w:t>е</w:t>
      </w:r>
      <w:r w:rsidRPr="00844E22">
        <w:t>циализированных классов государственного приема в соответствии со стат</w:t>
      </w:r>
      <w:r w:rsidRPr="00844E22">
        <w:t>ь</w:t>
      </w:r>
      <w:r w:rsidRPr="00844E22">
        <w:t>ей</w:t>
      </w:r>
      <w:r>
        <w:t> </w:t>
      </w:r>
      <w:r w:rsidRPr="00844E22">
        <w:t>17 постановления Великого Герцогства от 16 июня 2009 года о порядке орг</w:t>
      </w:r>
      <w:r w:rsidRPr="00844E22">
        <w:t>а</w:t>
      </w:r>
      <w:r w:rsidRPr="00844E22">
        <w:t>низации вводных занятий и классов по приему для учащихся, недавно прибы</w:t>
      </w:r>
      <w:r w:rsidRPr="00844E22">
        <w:t>в</w:t>
      </w:r>
      <w:r w:rsidRPr="00844E22">
        <w:t>ших в страну. В этой связи были привлечены преподаватели, владеющие серб</w:t>
      </w:r>
      <w:r w:rsidRPr="00844E22">
        <w:t>о</w:t>
      </w:r>
      <w:r w:rsidRPr="00844E22">
        <w:t>хорватским языком, чтобы обеспечивать школьный охват этих детей и наилу</w:t>
      </w:r>
      <w:r w:rsidRPr="00844E22">
        <w:t>ч</w:t>
      </w:r>
      <w:r w:rsidRPr="00844E22">
        <w:t>шим образом удовлетворять их особые потребности.</w:t>
      </w:r>
    </w:p>
    <w:p w:rsidR="009120A7" w:rsidRPr="00844E22" w:rsidRDefault="009120A7" w:rsidP="009120A7">
      <w:pPr>
        <w:pStyle w:val="H23GR"/>
      </w:pPr>
      <w:r>
        <w:tab/>
        <w:t>3.</w:t>
      </w:r>
      <w:r>
        <w:tab/>
      </w:r>
      <w:r w:rsidRPr="00844E22">
        <w:t>КАСНА: прием и ориентация вновь прибывших учащихся (12</w:t>
      </w:r>
      <w:r>
        <w:t>−</w:t>
      </w:r>
      <w:r w:rsidR="0044494C">
        <w:t>18 лет)</w:t>
      </w:r>
    </w:p>
    <w:p w:rsidR="009120A7" w:rsidRPr="00844E22" w:rsidRDefault="009120A7" w:rsidP="009120A7">
      <w:pPr>
        <w:pStyle w:val="SingleTxtGR"/>
      </w:pPr>
      <w:r w:rsidRPr="00844E22">
        <w:t>39.</w:t>
      </w:r>
      <w:r w:rsidRPr="00844E22">
        <w:tab/>
        <w:t>Бюро по приему в школы вновь прибывших учащихся (КАСНА) сообщ</w:t>
      </w:r>
      <w:r w:rsidRPr="00844E22">
        <w:t>а</w:t>
      </w:r>
      <w:r w:rsidRPr="00844E22">
        <w:t>ет на различных языках информацию о школьной системе Люксембурга и о предусмотренных мерах помощи для всех вновь прибывших учащихся, включая детей лиц, просящих международной защиты (занятия или классы по приему, цель которых – привить базовые навыки владения основными языками обуч</w:t>
      </w:r>
      <w:r w:rsidRPr="00844E22">
        <w:t>е</w:t>
      </w:r>
      <w:r w:rsidRPr="00844E22">
        <w:t xml:space="preserve">ния, </w:t>
      </w:r>
      <w:r w:rsidR="004706CD">
        <w:t>т.е.</w:t>
      </w:r>
      <w:r w:rsidRPr="00844E22">
        <w:t xml:space="preserve"> французским, немецким и люксембургским языками; классы с углу</w:t>
      </w:r>
      <w:r w:rsidRPr="00844E22">
        <w:t>б</w:t>
      </w:r>
      <w:r w:rsidRPr="00844E22">
        <w:t>ленным изучением языка в системе посленачального образования). Все вновь прибывшие учащиеся (12</w:t>
      </w:r>
      <w:r>
        <w:t>−</w:t>
      </w:r>
      <w:r w:rsidRPr="00844E22">
        <w:t>18 лет) должны пройти через систему КАСНА, обе</w:t>
      </w:r>
      <w:r w:rsidRPr="00844E22">
        <w:t>с</w:t>
      </w:r>
      <w:r w:rsidRPr="00844E22">
        <w:t>печивающую их учебную интеграцию в лицей, который соответствует их пр</w:t>
      </w:r>
      <w:r w:rsidRPr="00844E22">
        <w:t>о</w:t>
      </w:r>
      <w:r w:rsidRPr="00844E22">
        <w:t>филю. Школьный профиль учащихся определяется по результатам индивид</w:t>
      </w:r>
      <w:r w:rsidRPr="00844E22">
        <w:t>у</w:t>
      </w:r>
      <w:r w:rsidRPr="00844E22">
        <w:t xml:space="preserve">альной беседы и проверочных экзаменов. </w:t>
      </w:r>
    </w:p>
    <w:p w:rsidR="009120A7" w:rsidRPr="00844E22" w:rsidRDefault="009120A7" w:rsidP="009120A7">
      <w:pPr>
        <w:pStyle w:val="SingleTxtGR"/>
      </w:pPr>
      <w:r w:rsidRPr="00844E22">
        <w:t>40.</w:t>
      </w:r>
      <w:r w:rsidRPr="00844E22">
        <w:tab/>
        <w:t xml:space="preserve">В 2011 году наблюдался массовый приток просителей международной защиты: по данным из статистических источников КАСНА при </w:t>
      </w:r>
      <w:r w:rsidR="004706CD" w:rsidRPr="00844E22">
        <w:t>Министерстве</w:t>
      </w:r>
      <w:r w:rsidR="004706CD">
        <w:t xml:space="preserve"> национального образования и профессионального обучения</w:t>
      </w:r>
      <w:r w:rsidRPr="00844E22">
        <w:t>, порядка 22% пр</w:t>
      </w:r>
      <w:r w:rsidRPr="00844E22">
        <w:t>и</w:t>
      </w:r>
      <w:r w:rsidRPr="00844E22">
        <w:t>нятых учащихся составили дети просителей международной защиты и даже н</w:t>
      </w:r>
      <w:r w:rsidRPr="00844E22">
        <w:t>е</w:t>
      </w:r>
      <w:r w:rsidRPr="00844E22">
        <w:t>сопровождаемые несовершеннолетние, в большинстве своем</w:t>
      </w:r>
      <w:r>
        <w:t> </w:t>
      </w:r>
      <w:r w:rsidRPr="00844E22">
        <w:t>– представители народности рома из Сербии и Республики М</w:t>
      </w:r>
      <w:r w:rsidRPr="00844E22">
        <w:t>а</w:t>
      </w:r>
      <w:r w:rsidRPr="00844E22">
        <w:t xml:space="preserve">кедония. </w:t>
      </w:r>
    </w:p>
    <w:p w:rsidR="009120A7" w:rsidRPr="00844E22" w:rsidRDefault="009120A7" w:rsidP="009120A7">
      <w:pPr>
        <w:pStyle w:val="SingleTxtGR"/>
      </w:pPr>
      <w:r w:rsidRPr="00844E22">
        <w:t>41.</w:t>
      </w:r>
      <w:r w:rsidRPr="00844E22">
        <w:tab/>
        <w:t>Наряду с этим КАСНА предоставляет педагогическую помощь препод</w:t>
      </w:r>
      <w:r w:rsidRPr="00844E22">
        <w:t>а</w:t>
      </w:r>
      <w:r w:rsidRPr="00844E22">
        <w:t>вателям, занимающимся приемом учащихся, которые недавно прибыли в стр</w:t>
      </w:r>
      <w:r w:rsidRPr="00844E22">
        <w:t>а</w:t>
      </w:r>
      <w:r w:rsidRPr="00844E22">
        <w:t>ну, проводя информационно-консультативную деятельность и предоставляя им дидактические материалы, адаптированные к потребностям этих учащихся. Т</w:t>
      </w:r>
      <w:r w:rsidRPr="00844E22">
        <w:t>а</w:t>
      </w:r>
      <w:r w:rsidRPr="00844E22">
        <w:t xml:space="preserve">кие персональные услуги по информированию дополняются предоставлением специализированной непрерывной подготовки. </w:t>
      </w:r>
    </w:p>
    <w:p w:rsidR="009120A7" w:rsidRPr="00844E22" w:rsidRDefault="009120A7" w:rsidP="009120A7">
      <w:pPr>
        <w:pStyle w:val="HChGR"/>
      </w:pPr>
      <w:r>
        <w:tab/>
      </w:r>
      <w:r>
        <w:tab/>
      </w:r>
      <w:r w:rsidRPr="00844E22">
        <w:t>Статья 4</w:t>
      </w:r>
    </w:p>
    <w:p w:rsidR="009120A7" w:rsidRPr="00844E22" w:rsidRDefault="009120A7" w:rsidP="009120A7">
      <w:pPr>
        <w:pStyle w:val="SingleTxtGR"/>
      </w:pPr>
      <w:r w:rsidRPr="00844E22">
        <w:t>42.</w:t>
      </w:r>
      <w:r w:rsidRPr="00844E22">
        <w:tab/>
        <w:t>Расовая подоплека какого-либо преступления не считается в Люксембу</w:t>
      </w:r>
      <w:r w:rsidRPr="00844E22">
        <w:t>р</w:t>
      </w:r>
      <w:r w:rsidRPr="00844E22">
        <w:t>ге отягчающим обстоятельством, а уголовное законодательство страны не пр</w:t>
      </w:r>
      <w:r w:rsidRPr="00844E22">
        <w:t>е</w:t>
      </w:r>
      <w:r w:rsidRPr="00844E22">
        <w:t>дусматривает наличи</w:t>
      </w:r>
      <w:r w:rsidR="00014390">
        <w:t>я</w:t>
      </w:r>
      <w:r w:rsidRPr="00844E22">
        <w:t xml:space="preserve"> отягчающих обстоятельств в виде мотивации какого-либо деяния.</w:t>
      </w:r>
    </w:p>
    <w:p w:rsidR="009120A7" w:rsidRPr="00844E22" w:rsidRDefault="009120A7" w:rsidP="009120A7">
      <w:pPr>
        <w:pStyle w:val="HChGR"/>
      </w:pPr>
      <w:r>
        <w:tab/>
      </w:r>
      <w:r>
        <w:tab/>
      </w:r>
      <w:r w:rsidR="00014390">
        <w:t>Статья 5</w:t>
      </w:r>
      <w:r w:rsidR="00014390">
        <w:br/>
      </w:r>
      <w:r w:rsidRPr="00844E22">
        <w:t>Информация о законодательных, судебных, административных или иных мерах, обеспечивающих осуществление положений статьи 5 Ко</w:t>
      </w:r>
      <w:r w:rsidRPr="00844E22">
        <w:t>н</w:t>
      </w:r>
      <w:r w:rsidRPr="00844E22">
        <w:t>венции</w:t>
      </w:r>
    </w:p>
    <w:p w:rsidR="009120A7" w:rsidRPr="00844E22" w:rsidRDefault="009120A7" w:rsidP="009120A7">
      <w:pPr>
        <w:pStyle w:val="H23GR"/>
      </w:pPr>
      <w:r>
        <w:tab/>
      </w:r>
      <w:r>
        <w:tab/>
      </w:r>
      <w:r w:rsidRPr="00844E22">
        <w:t xml:space="preserve">Вступительное замечание </w:t>
      </w:r>
    </w:p>
    <w:p w:rsidR="009120A7" w:rsidRPr="00844E22" w:rsidRDefault="009120A7" w:rsidP="009120A7">
      <w:pPr>
        <w:pStyle w:val="SingleTxtGR"/>
      </w:pPr>
      <w:r w:rsidRPr="00844E22">
        <w:t>43.</w:t>
      </w:r>
      <w:r w:rsidRPr="00844E22">
        <w:tab/>
        <w:t>Что касается прав, перечисленных в статье 5, то речь в целом идет об о</w:t>
      </w:r>
      <w:r w:rsidRPr="00844E22">
        <w:t>с</w:t>
      </w:r>
      <w:r w:rsidRPr="00844E22">
        <w:t>новных правах, которые признаны за каждым гражданином и, соответственно, за каждым лицом, находящимся в Люксембурге, - будь то в Конституции, Евр</w:t>
      </w:r>
      <w:r w:rsidRPr="00844E22">
        <w:t>о</w:t>
      </w:r>
      <w:r w:rsidRPr="00844E22">
        <w:t>пейской конвенции о правах человека или Хартии Европейского союза об о</w:t>
      </w:r>
      <w:r w:rsidRPr="00844E22">
        <w:t>с</w:t>
      </w:r>
      <w:r w:rsidRPr="00844E22">
        <w:t>новных правах. Следовательно, специальных документов на этот счет не имее</w:t>
      </w:r>
      <w:r w:rsidRPr="00844E22">
        <w:t>т</w:t>
      </w:r>
      <w:r w:rsidRPr="00844E22">
        <w:t>ся.</w:t>
      </w:r>
    </w:p>
    <w:p w:rsidR="009120A7" w:rsidRPr="00844E22" w:rsidRDefault="009120A7" w:rsidP="009120A7">
      <w:pPr>
        <w:pStyle w:val="H23GR"/>
      </w:pPr>
      <w:r>
        <w:tab/>
      </w:r>
      <w:r>
        <w:tab/>
      </w:r>
      <w:r w:rsidR="00014390">
        <w:t>Сведения в разбивке по правам</w:t>
      </w:r>
    </w:p>
    <w:p w:rsidR="009120A7" w:rsidRPr="00844E22" w:rsidRDefault="009120A7" w:rsidP="009120A7">
      <w:pPr>
        <w:pStyle w:val="H1GR"/>
      </w:pPr>
      <w:r>
        <w:tab/>
        <w:t>А.</w:t>
      </w:r>
      <w:r>
        <w:tab/>
      </w:r>
      <w:r w:rsidRPr="00844E22">
        <w:t>Право на равенство перед судом и всеми другими органами, отправляющими правосудие</w:t>
      </w:r>
      <w:r w:rsidRPr="001C1D8B">
        <w:rPr>
          <w:rStyle w:val="FootnoteReference"/>
          <w:b w:val="0"/>
        </w:rPr>
        <w:footnoteReference w:id="3"/>
      </w:r>
    </w:p>
    <w:p w:rsidR="009120A7" w:rsidRPr="00844E22" w:rsidRDefault="009120A7" w:rsidP="009120A7">
      <w:pPr>
        <w:pStyle w:val="H1GR"/>
      </w:pPr>
      <w:r>
        <w:tab/>
      </w:r>
      <w:r>
        <w:rPr>
          <w:lang w:val="en-US"/>
        </w:rPr>
        <w:t>B</w:t>
      </w:r>
      <w:r w:rsidRPr="00243DEB">
        <w:t>.</w:t>
      </w:r>
      <w:r>
        <w:tab/>
      </w:r>
      <w:r w:rsidRPr="00844E22">
        <w:t>Право на личную безопасность и защиту со стороны государства от насилия или телесных повреждений, причиняемых как правительственными должностными лицами, так и какими бы то ни было отдельными ли</w:t>
      </w:r>
      <w:r>
        <w:t>цами, группами или учреждениями</w:t>
      </w:r>
    </w:p>
    <w:p w:rsidR="009120A7" w:rsidRPr="00844E22" w:rsidRDefault="009120A7" w:rsidP="009120A7">
      <w:pPr>
        <w:pStyle w:val="SingleTxtGR"/>
      </w:pPr>
      <w:r w:rsidRPr="00844E22">
        <w:t>44.</w:t>
      </w:r>
      <w:r w:rsidRPr="00844E22">
        <w:tab/>
        <w:t>Общее содержание документов, посвященных правам человека, препод</w:t>
      </w:r>
      <w:r w:rsidRPr="00844E22">
        <w:t>а</w:t>
      </w:r>
      <w:r w:rsidRPr="00844E22">
        <w:t xml:space="preserve">ется в рамках курса базовой программы обучения курсантов школы полиции </w:t>
      </w:r>
      <w:r>
        <w:t>"</w:t>
      </w:r>
      <w:r w:rsidRPr="00844E22">
        <w:t>Полиция и общество</w:t>
      </w:r>
      <w:r>
        <w:t>"</w:t>
      </w:r>
      <w:r w:rsidRPr="00844E22">
        <w:t xml:space="preserve">, раздел А которого озаглавлен </w:t>
      </w:r>
      <w:r>
        <w:t>"</w:t>
      </w:r>
      <w:r w:rsidRPr="00844E22">
        <w:t>Полиция и демократия</w:t>
      </w:r>
      <w:r>
        <w:t>"</w:t>
      </w:r>
      <w:r w:rsidRPr="00844E22">
        <w:t>. Этот раздел включает следующие предметы и темы: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>Права человека (10 часов)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>Конституция и публичные свободы (18 часов)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>Права и обязанности сотрудников (30 часов)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>Кодекс профессиональной этики сотрудника полиции и борьба с экстр</w:t>
      </w:r>
      <w:r w:rsidRPr="00844E22">
        <w:t>е</w:t>
      </w:r>
      <w:r w:rsidRPr="00844E22">
        <w:t>мизмом (12 часов).</w:t>
      </w:r>
    </w:p>
    <w:p w:rsidR="009120A7" w:rsidRPr="00844E22" w:rsidRDefault="009120A7" w:rsidP="009120A7">
      <w:pPr>
        <w:pStyle w:val="SingleTxtGR"/>
      </w:pPr>
      <w:r w:rsidRPr="00844E22">
        <w:t>45.</w:t>
      </w:r>
      <w:r w:rsidRPr="00844E22">
        <w:tab/>
        <w:t xml:space="preserve">Учебный курс </w:t>
      </w:r>
      <w:r>
        <w:t>"</w:t>
      </w:r>
      <w:r w:rsidRPr="00844E22">
        <w:t>Прав человека</w:t>
      </w:r>
      <w:r>
        <w:t>"</w:t>
      </w:r>
      <w:r w:rsidRPr="00844E22">
        <w:t xml:space="preserve"> курируется одним из руководителей Ген</w:t>
      </w:r>
      <w:r w:rsidRPr="00844E22">
        <w:t>е</w:t>
      </w:r>
      <w:r w:rsidRPr="00844E22">
        <w:t xml:space="preserve">ральной инспекции органов полиции. Он включает экспозиции </w:t>
      </w:r>
      <w:r>
        <w:t>"</w:t>
      </w:r>
      <w:r w:rsidRPr="00844E22">
        <w:t>Европейский народ, иностранный народ – Люксембург и община рома</w:t>
      </w:r>
      <w:r>
        <w:t>"</w:t>
      </w:r>
      <w:r w:rsidRPr="00844E22">
        <w:t xml:space="preserve"> в Музее Сопротивл</w:t>
      </w:r>
      <w:r w:rsidRPr="00844E22">
        <w:t>е</w:t>
      </w:r>
      <w:r w:rsidRPr="00844E22">
        <w:t>ния в Эш-сюр-Альзетт.</w:t>
      </w:r>
    </w:p>
    <w:p w:rsidR="009120A7" w:rsidRPr="00844E22" w:rsidRDefault="009120A7" w:rsidP="009120A7">
      <w:pPr>
        <w:pStyle w:val="SingleTxtGR"/>
      </w:pPr>
      <w:r w:rsidRPr="00844E22">
        <w:t>46.</w:t>
      </w:r>
      <w:r w:rsidRPr="00844E22">
        <w:tab/>
        <w:t xml:space="preserve">Курс </w:t>
      </w:r>
      <w:r>
        <w:t>"</w:t>
      </w:r>
      <w:r w:rsidRPr="00844E22">
        <w:t>Кодекс профессиональной этики сотрудника полиции и борьба с экстремизмом</w:t>
      </w:r>
      <w:r>
        <w:t>"</w:t>
      </w:r>
      <w:r w:rsidRPr="00844E22">
        <w:t xml:space="preserve"> включает теоретическую подготовку и посещение концентрац</w:t>
      </w:r>
      <w:r w:rsidRPr="00844E22">
        <w:t>и</w:t>
      </w:r>
      <w:r w:rsidRPr="00844E22">
        <w:t>онного лагеря Хинцерт.</w:t>
      </w:r>
    </w:p>
    <w:p w:rsidR="009120A7" w:rsidRPr="00844E22" w:rsidRDefault="009120A7" w:rsidP="009120A7">
      <w:pPr>
        <w:pStyle w:val="SingleTxtGR"/>
      </w:pPr>
      <w:r w:rsidRPr="00844E22">
        <w:t>47.</w:t>
      </w:r>
      <w:r w:rsidRPr="00844E22">
        <w:tab/>
        <w:t>Следует отметить, что такие объединения, как Ассоциация содействия трудящимся-мигрантам (АСТМ) или КСДИ, организуют конференции, посв</w:t>
      </w:r>
      <w:r w:rsidRPr="00844E22">
        <w:t>я</w:t>
      </w:r>
      <w:r w:rsidRPr="00844E22">
        <w:t>щенные их деятельности. Как правило, эти ассоциации проводят такие конф</w:t>
      </w:r>
      <w:r w:rsidRPr="00844E22">
        <w:t>е</w:t>
      </w:r>
      <w:r w:rsidRPr="00844E22">
        <w:t xml:space="preserve">ренции в рамках модуля </w:t>
      </w:r>
      <w:r>
        <w:t>"</w:t>
      </w:r>
      <w:r w:rsidRPr="00844E22">
        <w:t>Полиция и общество</w:t>
      </w:r>
      <w:r>
        <w:t>"</w:t>
      </w:r>
      <w:r w:rsidRPr="00844E22">
        <w:t>.</w:t>
      </w:r>
    </w:p>
    <w:p w:rsidR="009120A7" w:rsidRPr="00844E22" w:rsidRDefault="009120A7" w:rsidP="009120A7">
      <w:pPr>
        <w:pStyle w:val="SingleTxtGR"/>
      </w:pPr>
      <w:r w:rsidRPr="00844E22">
        <w:t>48.</w:t>
      </w:r>
      <w:r w:rsidRPr="00844E22">
        <w:tab/>
        <w:t>Для привлечения внимания добровольных сотрудников полиции к правам женщин и детей, а также в целях разработки и проведения в жизнь стратегий борьбы с проституцией, сексуальной эксплуатацией детей и порнографией в школе полиции проводятся следующие учебные курсы: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 xml:space="preserve">курс продолжительностью 12 часов на тему </w:t>
      </w:r>
      <w:r>
        <w:t>"</w:t>
      </w:r>
      <w:r w:rsidRPr="00844E22">
        <w:t>Защита молодежи</w:t>
      </w:r>
      <w:r>
        <w:t>"</w:t>
      </w:r>
      <w:r w:rsidRPr="00844E22">
        <w:t>;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 xml:space="preserve">курс продолжительностью 16 часов на тему </w:t>
      </w:r>
      <w:r>
        <w:t>"</w:t>
      </w:r>
      <w:r w:rsidRPr="00844E22">
        <w:t>Бытовое насилие</w:t>
      </w:r>
      <w:r>
        <w:t>"</w:t>
      </w:r>
      <w:r w:rsidRPr="00844E22">
        <w:t>, который вкл</w:t>
      </w:r>
      <w:r w:rsidRPr="00844E22">
        <w:t>ю</w:t>
      </w:r>
      <w:r w:rsidRPr="00844E22">
        <w:t>чает меры вмешательства Министерства равных возможностей;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 xml:space="preserve">конференция </w:t>
      </w:r>
      <w:r w:rsidRPr="00844E22">
        <w:rPr>
          <w:lang w:val="fr-FR"/>
        </w:rPr>
        <w:t>ORK</w:t>
      </w:r>
      <w:r w:rsidRPr="00844E22">
        <w:t xml:space="preserve"> (</w:t>
      </w:r>
      <w:r w:rsidRPr="00844E22">
        <w:rPr>
          <w:lang w:val="fr-FR"/>
        </w:rPr>
        <w:t>Ombuds</w:t>
      </w:r>
      <w:r w:rsidRPr="00844E22">
        <w:t>-</w:t>
      </w:r>
      <w:r w:rsidRPr="00844E22">
        <w:rPr>
          <w:lang w:val="fr-FR"/>
        </w:rPr>
        <w:t>Comit</w:t>
      </w:r>
      <w:r w:rsidRPr="00844E22">
        <w:t xml:space="preserve">é </w:t>
      </w:r>
      <w:r w:rsidRPr="00844E22">
        <w:rPr>
          <w:lang w:val="fr-FR"/>
        </w:rPr>
        <w:t>fir</w:t>
      </w:r>
      <w:r w:rsidRPr="00844E22">
        <w:t xml:space="preserve"> </w:t>
      </w:r>
      <w:r w:rsidRPr="00844E22">
        <w:rPr>
          <w:lang w:val="fr-FR"/>
        </w:rPr>
        <w:t>Rechter</w:t>
      </w:r>
      <w:r w:rsidRPr="00844E22">
        <w:t xml:space="preserve"> </w:t>
      </w:r>
      <w:r w:rsidRPr="00844E22">
        <w:rPr>
          <w:lang w:val="fr-FR"/>
        </w:rPr>
        <w:t>vum</w:t>
      </w:r>
      <w:r w:rsidRPr="00844E22">
        <w:t xml:space="preserve"> </w:t>
      </w:r>
      <w:r w:rsidRPr="00844E22">
        <w:rPr>
          <w:lang w:val="fr-FR"/>
        </w:rPr>
        <w:t>Kand</w:t>
      </w:r>
      <w:r w:rsidRPr="00844E22">
        <w:t>) в рамках пров</w:t>
      </w:r>
      <w:r w:rsidRPr="00844E22">
        <w:t>е</w:t>
      </w:r>
      <w:r w:rsidRPr="00844E22">
        <w:t xml:space="preserve">дения курса </w:t>
      </w:r>
      <w:r>
        <w:t>"</w:t>
      </w:r>
      <w:r w:rsidRPr="00844E22">
        <w:t>Права человека</w:t>
      </w:r>
      <w:r>
        <w:t>"</w:t>
      </w:r>
      <w:r w:rsidRPr="00844E22">
        <w:t>.</w:t>
      </w:r>
    </w:p>
    <w:p w:rsidR="009120A7" w:rsidRPr="00844E22" w:rsidRDefault="009120A7" w:rsidP="009120A7">
      <w:pPr>
        <w:pStyle w:val="SingleTxtGR"/>
      </w:pPr>
      <w:r w:rsidRPr="00844E22">
        <w:t>49.</w:t>
      </w:r>
      <w:r w:rsidRPr="00844E22">
        <w:tab/>
        <w:t>Нужно отметить, что статья 9 Постановления Великого Герцогства от 26</w:t>
      </w:r>
      <w:r>
        <w:t> </w:t>
      </w:r>
      <w:r w:rsidRPr="00844E22">
        <w:t>сентября 2008 года о нормах профессиональной этики должностных лиц, з</w:t>
      </w:r>
      <w:r w:rsidRPr="00844E22">
        <w:t>а</w:t>
      </w:r>
      <w:r w:rsidRPr="00844E22">
        <w:t xml:space="preserve">нимающихся осуществлением мер по высылке </w:t>
      </w:r>
      <w:r>
        <w:t>воздушным транспортом, гласит: "</w:t>
      </w:r>
      <w:r w:rsidRPr="00844E22">
        <w:t>Члены группы сопровождения проходят специальную подготовку, соответс</w:t>
      </w:r>
      <w:r w:rsidRPr="00844E22">
        <w:t>т</w:t>
      </w:r>
      <w:r w:rsidRPr="00844E22">
        <w:t>вующую характеру возложенной на них задачи</w:t>
      </w:r>
      <w:r>
        <w:t>"</w:t>
      </w:r>
      <w:r w:rsidRPr="00844E22">
        <w:t>. Четырехчасовой курс подг</w:t>
      </w:r>
      <w:r w:rsidRPr="00844E22">
        <w:t>о</w:t>
      </w:r>
      <w:r w:rsidRPr="00844E22">
        <w:t>товки будущих членов группы сопровождения состоит из теоретической и практической частей. Его цель – обращать внимание сотрудников на: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>необходимость следить за уважением достоинства и неприкосновенности лица, проходящего процедуру обыска в целях обеспечения безопасности;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>необходимость уважения достоинства высылаемого лица в течение всей проц</w:t>
      </w:r>
      <w:r w:rsidRPr="00844E22">
        <w:t>е</w:t>
      </w:r>
      <w:r w:rsidRPr="00844E22">
        <w:t>дуры его высылки воздушным транспортом;</w:t>
      </w:r>
      <w:r w:rsidRPr="00844E22">
        <w:rPr>
          <w:lang w:val="fr-FR"/>
        </w:rPr>
        <w:t> 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>необходимость следить за тем, чтобы меню, предлагаемое высылаемому лицу на борту самолета, было совместимо с его религиозными убежд</w:t>
      </w:r>
      <w:r w:rsidRPr="00844E22">
        <w:t>е</w:t>
      </w:r>
      <w:r w:rsidRPr="00844E22">
        <w:t>ниями.</w:t>
      </w:r>
    </w:p>
    <w:p w:rsidR="009120A7" w:rsidRPr="00844E22" w:rsidRDefault="009120A7" w:rsidP="009120A7">
      <w:pPr>
        <w:pStyle w:val="H23GR"/>
      </w:pPr>
      <w:r>
        <w:tab/>
      </w:r>
      <w:r>
        <w:tab/>
      </w:r>
      <w:r w:rsidRPr="00844E22">
        <w:t>Информирование участников разбирательства (предполагаемых виновных и потерпевших лиц)</w:t>
      </w:r>
    </w:p>
    <w:p w:rsidR="009120A7" w:rsidRPr="00844E22" w:rsidRDefault="009120A7" w:rsidP="009120A7">
      <w:pPr>
        <w:pStyle w:val="SingleTxtGR"/>
      </w:pPr>
      <w:r w:rsidRPr="00844E22">
        <w:t>50.</w:t>
      </w:r>
      <w:r w:rsidRPr="00844E22">
        <w:tab/>
        <w:t>Участники судебного разбирательства информируются о ряде своих о</w:t>
      </w:r>
      <w:r w:rsidRPr="00844E22">
        <w:t>с</w:t>
      </w:r>
      <w:r w:rsidRPr="00844E22">
        <w:t>новных прав, например о таких, как: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>право уведомить какое-либо лицо по своему выбору;</w:t>
      </w:r>
      <w:r w:rsidRPr="00844E22">
        <w:rPr>
          <w:lang w:val="fr-FR"/>
        </w:rPr>
        <w:t> 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>право на освидетельствование врачом по своему выбору;</w:t>
      </w:r>
      <w:r w:rsidRPr="00844E22">
        <w:rPr>
          <w:lang w:val="fr-FR"/>
        </w:rPr>
        <w:t> 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>право на получение правовой помощи со стороны одного из адвокатов или адвокатов при судебных инстанциях;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>право уведомить государственного прокурора.</w:t>
      </w:r>
    </w:p>
    <w:p w:rsidR="009120A7" w:rsidRPr="00844E22" w:rsidRDefault="009120A7" w:rsidP="009120A7">
      <w:pPr>
        <w:pStyle w:val="SingleTxtGR"/>
      </w:pPr>
      <w:r w:rsidRPr="00844E22">
        <w:t>51.</w:t>
      </w:r>
      <w:r w:rsidRPr="00844E22">
        <w:tab/>
        <w:t>Полиция Великого Герцогства предоставляет в распоряжение своих с</w:t>
      </w:r>
      <w:r w:rsidRPr="00844E22">
        <w:t>о</w:t>
      </w:r>
      <w:r w:rsidRPr="00844E22">
        <w:t>трудников памятки на 17 иностранных языках (албанском, английском, ара</w:t>
      </w:r>
      <w:r w:rsidRPr="00844E22">
        <w:t>б</w:t>
      </w:r>
      <w:r w:rsidRPr="00844E22">
        <w:t>ском, венгерском, греческом, испанском, итальянском, китайском, немецком, нидерландском, польском, португальском, румынском, русском, сербском, хо</w:t>
      </w:r>
      <w:r w:rsidRPr="00844E22">
        <w:t>р</w:t>
      </w:r>
      <w:r w:rsidRPr="00844E22">
        <w:t xml:space="preserve">ватском и французском). </w:t>
      </w:r>
    </w:p>
    <w:p w:rsidR="009120A7" w:rsidRPr="00844E22" w:rsidRDefault="009120A7" w:rsidP="009120A7">
      <w:pPr>
        <w:pStyle w:val="SingleTxtGR"/>
      </w:pPr>
      <w:r w:rsidRPr="00844E22">
        <w:t>52.</w:t>
      </w:r>
      <w:r w:rsidRPr="00844E22">
        <w:tab/>
        <w:t>Информационные памятки для потерпевших лиц составлены на шести языках.</w:t>
      </w:r>
    </w:p>
    <w:p w:rsidR="009120A7" w:rsidRPr="00844E22" w:rsidRDefault="009120A7" w:rsidP="009120A7">
      <w:pPr>
        <w:pStyle w:val="SingleTxtGR"/>
      </w:pPr>
      <w:r w:rsidRPr="00844E22">
        <w:t>53.</w:t>
      </w:r>
      <w:r w:rsidRPr="00844E22">
        <w:tab/>
        <w:t>Информационные памятки как для потерпевших, так и для виновных лиц в связи с бытовым насилием составлены на 16 языках.</w:t>
      </w:r>
    </w:p>
    <w:p w:rsidR="009120A7" w:rsidRPr="00844E22" w:rsidRDefault="009120A7" w:rsidP="009120A7">
      <w:pPr>
        <w:pStyle w:val="SingleTxtGR"/>
      </w:pPr>
      <w:r w:rsidRPr="00844E22">
        <w:t>54.</w:t>
      </w:r>
      <w:r w:rsidRPr="00844E22">
        <w:tab/>
        <w:t>Относительно поощрения набора в органы полиции представителей з</w:t>
      </w:r>
      <w:r w:rsidRPr="00844E22">
        <w:t>а</w:t>
      </w:r>
      <w:r w:rsidRPr="00844E22">
        <w:t>щищаемых групп нужно отметить, что все кандидаты в сотрудники полиции должны являться гражданами Люксембурга. Хотя в настоящее время среди с</w:t>
      </w:r>
      <w:r w:rsidRPr="00844E22">
        <w:t>о</w:t>
      </w:r>
      <w:r w:rsidRPr="00844E22">
        <w:t>трудников полиции Великого Герцогства есть представители иммигрантских семей (выходцы из Португалии, Кабо-Верде, Балканских и других стран), Закон о защите данных официально запрещает регистрировать сведения об этнич</w:t>
      </w:r>
      <w:r w:rsidRPr="00844E22">
        <w:t>е</w:t>
      </w:r>
      <w:r w:rsidRPr="00844E22">
        <w:t xml:space="preserve">ской, религиозной или иной принадлежности. </w:t>
      </w:r>
    </w:p>
    <w:p w:rsidR="009120A7" w:rsidRPr="00844E22" w:rsidRDefault="009120A7" w:rsidP="009120A7">
      <w:pPr>
        <w:pStyle w:val="H1GR"/>
      </w:pPr>
      <w:r>
        <w:tab/>
        <w:t>С.</w:t>
      </w:r>
      <w:r>
        <w:tab/>
      </w:r>
      <w:r w:rsidRPr="00844E22">
        <w:t>Политические права</w:t>
      </w:r>
    </w:p>
    <w:p w:rsidR="009120A7" w:rsidRPr="00844E22" w:rsidRDefault="009120A7" w:rsidP="009120A7">
      <w:pPr>
        <w:pStyle w:val="SingleTxtGR"/>
      </w:pPr>
      <w:r w:rsidRPr="00844E22">
        <w:t>55.</w:t>
      </w:r>
      <w:r w:rsidRPr="00844E22">
        <w:tab/>
        <w:t>Законом от 16 декабря 2008 года о приеме и интеграции иностранцев в Великом Герцогстве Люксембург, в частности, было введено обязательное со</w:t>
      </w:r>
      <w:r w:rsidRPr="00844E22">
        <w:t>з</w:t>
      </w:r>
      <w:r w:rsidRPr="00844E22">
        <w:t>дание во всех коммунах консультативных комиссий по вопросам интеграции (занимающихся вопросами совместного проживания всех жителей коммуны и особенно защитой интересов иностранцев, постоянно проживающих в Люксе</w:t>
      </w:r>
      <w:r w:rsidRPr="00844E22">
        <w:t>м</w:t>
      </w:r>
      <w:r w:rsidRPr="00844E22">
        <w:t>бурге). Организация и функционирование этих комиссий оговорены в пост</w:t>
      </w:r>
      <w:r w:rsidRPr="00844E22">
        <w:t>а</w:t>
      </w:r>
      <w:r w:rsidRPr="00844E22">
        <w:t>новлении Великого Герцогства от 15 ноября 2011 года. Оно, в частности, пред</w:t>
      </w:r>
      <w:r w:rsidRPr="00844E22">
        <w:t>у</w:t>
      </w:r>
      <w:r w:rsidRPr="00844E22">
        <w:t>сматривает, что в коммунах, где иностранцы составляют более половины жит</w:t>
      </w:r>
      <w:r w:rsidRPr="00844E22">
        <w:t>е</w:t>
      </w:r>
      <w:r w:rsidRPr="00844E22">
        <w:t>лей, коммунальный совет может принять решение о том, чтобы число его чл</w:t>
      </w:r>
      <w:r w:rsidRPr="00844E22">
        <w:t>е</w:t>
      </w:r>
      <w:r w:rsidRPr="00844E22">
        <w:t>нов</w:t>
      </w:r>
      <w:r w:rsidR="00014390">
        <w:t xml:space="preserve"> − </w:t>
      </w:r>
      <w:r w:rsidRPr="00844E22">
        <w:t>граждан Люксембурга и членов-иностранцев было пропорционально с</w:t>
      </w:r>
      <w:r w:rsidRPr="00844E22">
        <w:t>о</w:t>
      </w:r>
      <w:r w:rsidRPr="00844E22">
        <w:t>ответствующей доле жителей-люксембуржцев и иностранцев.</w:t>
      </w:r>
    </w:p>
    <w:p w:rsidR="009120A7" w:rsidRPr="00844E22" w:rsidRDefault="009120A7" w:rsidP="009120A7">
      <w:pPr>
        <w:pStyle w:val="SingleTxtGR"/>
      </w:pPr>
      <w:r w:rsidRPr="00844E22">
        <w:t>56.</w:t>
      </w:r>
      <w:r w:rsidRPr="00844E22">
        <w:tab/>
        <w:t>Для люксембургских избирателей голосование на европейских, парл</w:t>
      </w:r>
      <w:r w:rsidRPr="00844E22">
        <w:t>а</w:t>
      </w:r>
      <w:r w:rsidRPr="00844E22">
        <w:t>ментских и коммунальных выборах – это не только право, но и обязанность: участие в голосовании является обязательным для граждан Люксембурга, включенных в избирательные списки. При этом от данного принципа пред</w:t>
      </w:r>
      <w:r w:rsidRPr="00844E22">
        <w:t>у</w:t>
      </w:r>
      <w:r w:rsidRPr="00844E22">
        <w:t>смотрен ряд отступлений, а осуществление права на участие в выборах обле</w:t>
      </w:r>
      <w:r w:rsidRPr="00844E22">
        <w:t>г</w:t>
      </w:r>
      <w:r w:rsidRPr="00844E22">
        <w:t xml:space="preserve">чается благодаря голосованию по почте. </w:t>
      </w:r>
    </w:p>
    <w:p w:rsidR="009120A7" w:rsidRPr="00844E22" w:rsidRDefault="009120A7" w:rsidP="009120A7">
      <w:pPr>
        <w:pStyle w:val="SingleTxtGR"/>
      </w:pPr>
      <w:r w:rsidRPr="00844E22">
        <w:t>57.</w:t>
      </w:r>
      <w:r w:rsidRPr="00844E22">
        <w:tab/>
        <w:t>Что касается национальных парламентских выборов, то голосовать и быть избранными в ходе таких выборов могут только граждане Люксембурга.</w:t>
      </w:r>
    </w:p>
    <w:p w:rsidR="009120A7" w:rsidRPr="00844E22" w:rsidRDefault="009120A7" w:rsidP="009120A7">
      <w:pPr>
        <w:pStyle w:val="SingleTxtGR"/>
      </w:pPr>
      <w:r w:rsidRPr="00844E22">
        <w:t>58.</w:t>
      </w:r>
      <w:r w:rsidRPr="00844E22">
        <w:tab/>
        <w:t>Наряду с люксембургскими гражданами в коммунальных выборах могут участвовать граждане государств</w:t>
      </w:r>
      <w:r w:rsidR="00014390">
        <w:t xml:space="preserve"> − </w:t>
      </w:r>
      <w:r w:rsidRPr="00844E22">
        <w:t>членов Европейского союза, проживающие в Великом Герцогстве на законном основании не менее пяти лет, а также ин</w:t>
      </w:r>
      <w:r w:rsidRPr="00844E22">
        <w:t>о</w:t>
      </w:r>
      <w:r w:rsidRPr="00844E22">
        <w:t>странцы, являющиеся гражданами стран, не входящих в Европейский союз, е</w:t>
      </w:r>
      <w:r w:rsidRPr="00844E22">
        <w:t>с</w:t>
      </w:r>
      <w:r w:rsidRPr="00844E22">
        <w:t>ли они проживают в Великом Герцогстве на законном основании не менее пяти лет. После пяти лет постоянного проживания на территории Люксембурга все граждане государств</w:t>
      </w:r>
      <w:r w:rsidR="00014390">
        <w:t xml:space="preserve"> − </w:t>
      </w:r>
      <w:r w:rsidRPr="00844E22">
        <w:t xml:space="preserve">членов Европейского союза могут баллотироваться на коммунальных выборах. </w:t>
      </w:r>
    </w:p>
    <w:p w:rsidR="009120A7" w:rsidRPr="00844E22" w:rsidRDefault="009120A7" w:rsidP="009120A7">
      <w:pPr>
        <w:pStyle w:val="SingleTxtGR"/>
      </w:pPr>
      <w:r w:rsidRPr="00844E22">
        <w:t>59.</w:t>
      </w:r>
      <w:r w:rsidRPr="00844E22">
        <w:tab/>
        <w:t>Граждане Люксембурга, а также выходцы из стран Европейского союза, проживающие в Люксембурге не менее двух лет, имеют право участвовать в к</w:t>
      </w:r>
      <w:r w:rsidRPr="00844E22">
        <w:t>а</w:t>
      </w:r>
      <w:r w:rsidRPr="00844E22">
        <w:t>честве избирателей в европейских выборах. Люксембургские граждане могут баллотироваться на европейских выборах без каких-либо условий в отношении срока проживания, а граждане других стран</w:t>
      </w:r>
      <w:r w:rsidR="00014390">
        <w:t xml:space="preserve"> − </w:t>
      </w:r>
      <w:r w:rsidRPr="00844E22">
        <w:t>членов Европейского союза п</w:t>
      </w:r>
      <w:r w:rsidRPr="00844E22">
        <w:t>о</w:t>
      </w:r>
      <w:r w:rsidRPr="00844E22">
        <w:t xml:space="preserve">лучают право баллотироваться на этих выборах после пяти лет постоянного проживания в Люксембурге. </w:t>
      </w:r>
    </w:p>
    <w:p w:rsidR="009120A7" w:rsidRPr="00844E22" w:rsidRDefault="009120A7" w:rsidP="009120A7">
      <w:pPr>
        <w:pStyle w:val="SingleTxtGR"/>
      </w:pPr>
      <w:r w:rsidRPr="00844E22">
        <w:t>60.</w:t>
      </w:r>
      <w:r w:rsidRPr="00844E22">
        <w:tab/>
        <w:t>Действуя в рамках Национального многолетнего плана действий по инт</w:t>
      </w:r>
      <w:r w:rsidRPr="00844E22">
        <w:t>е</w:t>
      </w:r>
      <w:r w:rsidRPr="00844E22">
        <w:t>грации и борьбе с дискриминацией, а также, с одной стороны, для поощрения участия иностранцев в коммунальных выборах в октябре 2011 года, а с другой – для проведения с принимающей общиной обсуждения вопроса о необходим</w:t>
      </w:r>
      <w:r w:rsidRPr="00844E22">
        <w:t>о</w:t>
      </w:r>
      <w:r w:rsidRPr="00844E22">
        <w:t>сти участия иностранцев в местных выборах, Министерство по делам семьи и интеграции совместно с профсоюзом городов и коммун Люксембурга (</w:t>
      </w:r>
      <w:r>
        <w:t>"</w:t>
      </w:r>
      <w:r w:rsidRPr="00844E22">
        <w:t>Сив</w:t>
      </w:r>
      <w:r w:rsidRPr="00844E22">
        <w:t>и</w:t>
      </w:r>
      <w:r w:rsidRPr="00844E22">
        <w:t>коль</w:t>
      </w:r>
      <w:r>
        <w:t>"</w:t>
      </w:r>
      <w:r w:rsidRPr="00844E22">
        <w:t>) и Министерством внутренних дел организовало, в частности, провед</w:t>
      </w:r>
      <w:r w:rsidRPr="00844E22">
        <w:t>е</w:t>
      </w:r>
      <w:r w:rsidRPr="00844E22">
        <w:t xml:space="preserve">ние широкомасштабной агитационной кампании под лозунгом </w:t>
      </w:r>
      <w:r>
        <w:t>"</w:t>
      </w:r>
      <w:r w:rsidRPr="00844E22">
        <w:t>Я могу голос</w:t>
      </w:r>
      <w:r w:rsidRPr="00844E22">
        <w:t>о</w:t>
      </w:r>
      <w:r w:rsidRPr="00844E22">
        <w:t>вать</w:t>
      </w:r>
      <w:r>
        <w:t>"</w:t>
      </w:r>
      <w:r w:rsidRPr="00844E22">
        <w:t>.</w:t>
      </w:r>
    </w:p>
    <w:p w:rsidR="009120A7" w:rsidRPr="00844E22" w:rsidRDefault="009120A7" w:rsidP="009120A7">
      <w:pPr>
        <w:pStyle w:val="SingleTxtGR"/>
      </w:pPr>
      <w:r w:rsidRPr="00844E22">
        <w:t>61.</w:t>
      </w:r>
      <w:r w:rsidRPr="00844E22">
        <w:tab/>
        <w:t>В результате проведения этой кампании значительно выросли число ин</w:t>
      </w:r>
      <w:r w:rsidRPr="00844E22">
        <w:t>о</w:t>
      </w:r>
      <w:r w:rsidRPr="00844E22">
        <w:t>странцев, включенных в избирательные списки, число кандидатов-иностранцев, избранных в советы коммун, а также степень осознания ключевыми субъектами (политическими партиями, ассоциациями иностранных граждан, профсоюзами и т.д.) значения участия иностранцев. Она также дала возможность глубоко вникнуть в соответствующую проблематику, по которой, в частности, каждая из политических партий заняла определенную позицию.</w:t>
      </w:r>
    </w:p>
    <w:p w:rsidR="009120A7" w:rsidRPr="00844E22" w:rsidRDefault="009120A7" w:rsidP="009120A7">
      <w:pPr>
        <w:pStyle w:val="SingleTxtGR"/>
      </w:pPr>
      <w:r w:rsidRPr="00844E22">
        <w:t>62.</w:t>
      </w:r>
      <w:r w:rsidRPr="00844E22">
        <w:tab/>
        <w:t>В Люксембурге проводится два типа референдумов национального уро</w:t>
      </w:r>
      <w:r w:rsidRPr="00844E22">
        <w:t>в</w:t>
      </w:r>
      <w:r w:rsidRPr="00844E22">
        <w:t>ня; во-первых, это референдум в рамках процедуры пересмотра Конституции, который может быть инициирован либо определенным числом депутатов, либо определенным числом избирателей, включенных в избирательные списки для проведения парламентских выборов. Во-вторых, Конституция предусматривает всеобщий референдум, который может быть посвящен различным темам и п</w:t>
      </w:r>
      <w:r w:rsidRPr="00844E22">
        <w:t>о</w:t>
      </w:r>
      <w:r w:rsidRPr="00844E22">
        <w:t>рядок проведения которого определен законом. Право инициировать провед</w:t>
      </w:r>
      <w:r w:rsidRPr="00844E22">
        <w:t>е</w:t>
      </w:r>
      <w:r w:rsidRPr="00844E22">
        <w:t>ние референдума второго типа, имеющего консультативный характер, прина</w:t>
      </w:r>
      <w:r w:rsidRPr="00844E22">
        <w:t>д</w:t>
      </w:r>
      <w:r w:rsidRPr="00844E22">
        <w:t xml:space="preserve">лежит правительству. </w:t>
      </w:r>
    </w:p>
    <w:p w:rsidR="009120A7" w:rsidRPr="00844E22" w:rsidRDefault="009120A7" w:rsidP="009120A7">
      <w:pPr>
        <w:pStyle w:val="SingleTxtGR"/>
      </w:pPr>
      <w:r w:rsidRPr="00844E22">
        <w:t>63.</w:t>
      </w:r>
      <w:r w:rsidRPr="00844E22">
        <w:tab/>
        <w:t>Кроме того, избирателям может быть предложено выразить путем реф</w:t>
      </w:r>
      <w:r w:rsidRPr="00844E22">
        <w:t>е</w:t>
      </w:r>
      <w:r w:rsidRPr="00844E22">
        <w:t>рендума свою позицию по аспектам коммунального уровня; такой референдум может проводиться по инициативе либо властей коммуны, либо определенного числа избирателей. Коммунальный референдум носит консультативный хара</w:t>
      </w:r>
      <w:r w:rsidRPr="00844E22">
        <w:t>к</w:t>
      </w:r>
      <w:r w:rsidRPr="00844E22">
        <w:t xml:space="preserve">тер. </w:t>
      </w:r>
    </w:p>
    <w:p w:rsidR="009120A7" w:rsidRPr="00844E22" w:rsidRDefault="009120A7" w:rsidP="009120A7">
      <w:pPr>
        <w:pStyle w:val="SingleTxtGR"/>
      </w:pPr>
      <w:r w:rsidRPr="00844E22">
        <w:t>64.</w:t>
      </w:r>
      <w:r w:rsidRPr="00844E22">
        <w:tab/>
        <w:t xml:space="preserve">Люксембург проводил политику эффективной интеграции иностранцев, поселившихся на его территории, предоставляя им широкие возможности для получения люксембургского гражданства. </w:t>
      </w:r>
    </w:p>
    <w:p w:rsidR="009120A7" w:rsidRPr="00844E22" w:rsidRDefault="009120A7" w:rsidP="009120A7">
      <w:pPr>
        <w:pStyle w:val="SingleTxtGR"/>
      </w:pPr>
      <w:r w:rsidRPr="00844E22">
        <w:t>65.</w:t>
      </w:r>
      <w:r w:rsidRPr="00844E22">
        <w:tab/>
        <w:t>С учетом постоянного роста числа проживающих в Люксембурге ин</w:t>
      </w:r>
      <w:r w:rsidRPr="00844E22">
        <w:t>о</w:t>
      </w:r>
      <w:r w:rsidRPr="00844E22">
        <w:t>странцев, доля которых в настоящее время превышает 40%, в законодательство о получении гражданства были внесены поправки.</w:t>
      </w:r>
    </w:p>
    <w:p w:rsidR="009120A7" w:rsidRPr="00844E22" w:rsidRDefault="009120A7" w:rsidP="009120A7">
      <w:pPr>
        <w:pStyle w:val="SingleTxtGR"/>
      </w:pPr>
      <w:r w:rsidRPr="00844E22">
        <w:t>66.</w:t>
      </w:r>
      <w:r w:rsidRPr="00844E22">
        <w:tab/>
        <w:t>Так, в 2001 году законодатель внес изменения в Закон от 22 февраля 1968</w:t>
      </w:r>
      <w:r>
        <w:t> </w:t>
      </w:r>
      <w:r w:rsidRPr="00844E22">
        <w:t>года о гражданстве Люксембурга, облегчив процедуру его приобретения. Полагая, что языковые знания являются важным элементом, способствующим интеграции, он сопроводил эту реформу условием, имеющим решающее знач</w:t>
      </w:r>
      <w:r w:rsidRPr="00844E22">
        <w:t>е</w:t>
      </w:r>
      <w:r w:rsidRPr="00844E22">
        <w:t>ние для получения гражданства: активное и пассивное владение одним из а</w:t>
      </w:r>
      <w:r w:rsidRPr="00844E22">
        <w:t>д</w:t>
      </w:r>
      <w:r w:rsidRPr="00844E22">
        <w:t>министративных языков Люксембурга, а также наличие базовых знаний лю</w:t>
      </w:r>
      <w:r w:rsidRPr="00844E22">
        <w:t>к</w:t>
      </w:r>
      <w:r w:rsidRPr="00844E22">
        <w:t>сембур</w:t>
      </w:r>
      <w:r w:rsidRPr="00844E22">
        <w:t>г</w:t>
      </w:r>
      <w:r>
        <w:t>ского диалекта.</w:t>
      </w:r>
    </w:p>
    <w:p w:rsidR="009120A7" w:rsidRPr="00844E22" w:rsidRDefault="009120A7" w:rsidP="009120A7">
      <w:pPr>
        <w:pStyle w:val="SingleTxtGR"/>
      </w:pPr>
      <w:r w:rsidRPr="00844E22">
        <w:t>67.</w:t>
      </w:r>
      <w:r w:rsidRPr="00844E22">
        <w:tab/>
        <w:t>В 2006 году был принят закон, позволяющий люксембуржцам, которые родились за границей, сохранять гражданство Люксембурга без каких-либо о</w:t>
      </w:r>
      <w:r w:rsidRPr="00844E22">
        <w:t>г</w:t>
      </w:r>
      <w:r w:rsidRPr="00844E22">
        <w:t>раничительных оговорок, даже если они постоянно проживают за рубежом и наряду с люксембургским гражданством имеют гражданство страны прожив</w:t>
      </w:r>
      <w:r w:rsidRPr="00844E22">
        <w:t>а</w:t>
      </w:r>
      <w:r w:rsidRPr="00844E22">
        <w:t>ния.</w:t>
      </w:r>
    </w:p>
    <w:p w:rsidR="009120A7" w:rsidRPr="00844E22" w:rsidRDefault="009120A7" w:rsidP="00014390">
      <w:pPr>
        <w:pStyle w:val="SingleTxtGR"/>
        <w:keepNext/>
        <w:pageBreakBefore/>
      </w:pPr>
      <w:r w:rsidRPr="00844E22">
        <w:t>68.</w:t>
      </w:r>
      <w:r w:rsidRPr="00844E22">
        <w:tab/>
        <w:t>23 октября 2008 года был принят новый закон о гражданстве Люксембу</w:t>
      </w:r>
      <w:r w:rsidRPr="00844E22">
        <w:t>р</w:t>
      </w:r>
      <w:r w:rsidRPr="00844E22">
        <w:t>га, привнесший существенные изменения. Цель этого закона – адаптировать з</w:t>
      </w:r>
      <w:r w:rsidRPr="00844E22">
        <w:t>а</w:t>
      </w:r>
      <w:r w:rsidRPr="00844E22">
        <w:t>конодательство к переменам, которые произошли в люксембургском обществе за последние десятилетия, и активизировать интеграцию иностранцев, пост</w:t>
      </w:r>
      <w:r w:rsidRPr="00844E22">
        <w:t>о</w:t>
      </w:r>
      <w:r w:rsidRPr="00844E22">
        <w:t xml:space="preserve">янно проживающих в Люксембурге. </w:t>
      </w:r>
    </w:p>
    <w:p w:rsidR="009120A7" w:rsidRPr="00844E22" w:rsidRDefault="009120A7" w:rsidP="009120A7">
      <w:pPr>
        <w:pStyle w:val="SingleTxtGR"/>
      </w:pPr>
      <w:r w:rsidRPr="00844E22">
        <w:t>69.</w:t>
      </w:r>
      <w:r w:rsidRPr="00844E22">
        <w:tab/>
        <w:t>Главная новелла этой законодательной реформы заключается в широком применении принципа двойного или множественного гражданства. Так, напр</w:t>
      </w:r>
      <w:r w:rsidRPr="00844E22">
        <w:t>и</w:t>
      </w:r>
      <w:r w:rsidRPr="00844E22">
        <w:t>мер, лицо, желающее приобрести или восстановить гражданство Люксембурга, теперь не обязано отказываться от гражданства своей страны происхождения при условии, что законодательство этой страны тоже допускает двойное гра</w:t>
      </w:r>
      <w:r w:rsidRPr="00844E22">
        <w:t>ж</w:t>
      </w:r>
      <w:r w:rsidRPr="00844E22">
        <w:t>данство. С другой стороны, добровольное приобретение иностранного гра</w:t>
      </w:r>
      <w:r w:rsidRPr="00844E22">
        <w:t>ж</w:t>
      </w:r>
      <w:r w:rsidRPr="00844E22">
        <w:t>данства больше не влечет за собой утрату люксембургского гражданства.</w:t>
      </w:r>
    </w:p>
    <w:p w:rsidR="009120A7" w:rsidRPr="00844E22" w:rsidRDefault="009120A7" w:rsidP="009120A7">
      <w:pPr>
        <w:pStyle w:val="SingleTxtGR"/>
      </w:pPr>
      <w:r w:rsidRPr="00844E22">
        <w:t>70.</w:t>
      </w:r>
      <w:r w:rsidRPr="00844E22">
        <w:tab/>
        <w:t>Наряду с этим была упрощена и ускорена процедура рассмотрения ход</w:t>
      </w:r>
      <w:r w:rsidRPr="00844E22">
        <w:t>а</w:t>
      </w:r>
      <w:r w:rsidRPr="00844E22">
        <w:t>тайств о натурализации. В частности, полномочия по принятию решения пер</w:t>
      </w:r>
      <w:r w:rsidRPr="00844E22">
        <w:t>е</w:t>
      </w:r>
      <w:r w:rsidRPr="00844E22">
        <w:t xml:space="preserve">шли от парламента к </w:t>
      </w:r>
      <w:r w:rsidR="0036041B">
        <w:t>м</w:t>
      </w:r>
      <w:r w:rsidR="00014390" w:rsidRPr="00844E22">
        <w:t xml:space="preserve">инистру </w:t>
      </w:r>
      <w:r w:rsidRPr="00844E22">
        <w:t>юстиции, который в принципе должен вынести решение в течение восьми месяцев с даты подачи ходатайства. Кроме того, б</w:t>
      </w:r>
      <w:r w:rsidRPr="00844E22">
        <w:t>ы</w:t>
      </w:r>
      <w:r w:rsidRPr="00844E22">
        <w:t>ла укреплена судебная защита заявителей: отказ в натурализации можно обж</w:t>
      </w:r>
      <w:r w:rsidRPr="00844E22">
        <w:t>а</w:t>
      </w:r>
      <w:r w:rsidRPr="00844E22">
        <w:t>ловать в административном трибунале наряду с возможностью подачи апелл</w:t>
      </w:r>
      <w:r w:rsidRPr="00844E22">
        <w:t>я</w:t>
      </w:r>
      <w:r w:rsidRPr="00844E22">
        <w:t>ции в Административный суд.</w:t>
      </w:r>
    </w:p>
    <w:p w:rsidR="009120A7" w:rsidRPr="00844E22" w:rsidRDefault="009120A7" w:rsidP="009120A7">
      <w:pPr>
        <w:pStyle w:val="SingleTxtGR"/>
      </w:pPr>
      <w:r w:rsidRPr="00844E22">
        <w:t>71.</w:t>
      </w:r>
      <w:r w:rsidRPr="00844E22">
        <w:tab/>
        <w:t>Наконец, законодатель узаконил новый путь приобретения гражданства Люксембурга по происхождению, который основан на праве почвы. Теперь гражданином Люксембурга признается ребенок, который родился в Люксембу</w:t>
      </w:r>
      <w:r w:rsidRPr="00844E22">
        <w:t>р</w:t>
      </w:r>
      <w:r w:rsidRPr="00844E22">
        <w:t>ге от родителей, не являющихся люксембургскими гражданами, если местом рождения хотя бы одного из родителей тоже является Люксембург.</w:t>
      </w:r>
    </w:p>
    <w:p w:rsidR="009120A7" w:rsidRPr="00844E22" w:rsidRDefault="009120A7" w:rsidP="009120A7">
      <w:pPr>
        <w:pStyle w:val="H1GR"/>
      </w:pPr>
      <w:r>
        <w:tab/>
      </w:r>
      <w:r>
        <w:rPr>
          <w:lang w:val="en-US"/>
        </w:rPr>
        <w:t>D</w:t>
      </w:r>
      <w:r w:rsidRPr="001C7A93">
        <w:t>.</w:t>
      </w:r>
      <w:r w:rsidRPr="001C7A93">
        <w:tab/>
      </w:r>
      <w:r w:rsidRPr="00844E22">
        <w:t>Другие гражданские права</w:t>
      </w:r>
      <w:r w:rsidRPr="00696873">
        <w:rPr>
          <w:b w:val="0"/>
          <w:sz w:val="18"/>
          <w:szCs w:val="18"/>
          <w:vertAlign w:val="superscript"/>
          <w:lang w:val="fr-FR"/>
        </w:rPr>
        <w:footnoteReference w:id="4"/>
      </w:r>
    </w:p>
    <w:p w:rsidR="009120A7" w:rsidRPr="00844E22" w:rsidRDefault="009120A7" w:rsidP="009120A7">
      <w:pPr>
        <w:pStyle w:val="H23GR"/>
      </w:pPr>
      <w:r>
        <w:tab/>
        <w:t>1.</w:t>
      </w:r>
      <w:r>
        <w:tab/>
      </w:r>
      <w:r w:rsidRPr="00844E22">
        <w:t>Право на свободу передвижения и проживания в пределах государс</w:t>
      </w:r>
      <w:r w:rsidRPr="00844E22">
        <w:t>т</w:t>
      </w:r>
      <w:r w:rsidRPr="00844E22">
        <w:t>ва</w:t>
      </w:r>
    </w:p>
    <w:p w:rsidR="009120A7" w:rsidRPr="00844E22" w:rsidRDefault="009120A7" w:rsidP="009120A7">
      <w:pPr>
        <w:pStyle w:val="H23GR"/>
      </w:pPr>
      <w:r>
        <w:tab/>
        <w:t>2.</w:t>
      </w:r>
      <w:r>
        <w:tab/>
      </w:r>
      <w:r w:rsidRPr="00844E22">
        <w:t>Право покидать любую стра</w:t>
      </w:r>
      <w:r w:rsidR="00014390">
        <w:t>ну, включая свою собственную, и </w:t>
      </w:r>
      <w:r w:rsidRPr="00844E22">
        <w:t>возвращаться в свою страну</w:t>
      </w:r>
    </w:p>
    <w:p w:rsidR="009120A7" w:rsidRPr="00844E22" w:rsidRDefault="009120A7" w:rsidP="009120A7">
      <w:pPr>
        <w:pStyle w:val="H23GR"/>
      </w:pPr>
      <w:r>
        <w:tab/>
        <w:t>3.</w:t>
      </w:r>
      <w:r>
        <w:tab/>
      </w:r>
      <w:r w:rsidRPr="00844E22">
        <w:t>Право на гражданство</w:t>
      </w:r>
    </w:p>
    <w:p w:rsidR="009120A7" w:rsidRPr="00844E22" w:rsidRDefault="009120A7" w:rsidP="009120A7">
      <w:pPr>
        <w:pStyle w:val="H23GR"/>
      </w:pPr>
      <w:r>
        <w:tab/>
        <w:t>4.</w:t>
      </w:r>
      <w:r>
        <w:tab/>
      </w:r>
      <w:r w:rsidRPr="00844E22">
        <w:t>Право на вступление в брак и на выбор супруга</w:t>
      </w:r>
    </w:p>
    <w:p w:rsidR="009120A7" w:rsidRPr="00844E22" w:rsidRDefault="009120A7" w:rsidP="009120A7">
      <w:pPr>
        <w:pStyle w:val="H23GR"/>
      </w:pPr>
      <w:r>
        <w:tab/>
        <w:t>5.</w:t>
      </w:r>
      <w:r>
        <w:tab/>
      </w:r>
      <w:r w:rsidRPr="00844E22">
        <w:t xml:space="preserve">Право на владение имуществом как единолично, так и совместно </w:t>
      </w:r>
      <w:r w:rsidR="004D36CB">
        <w:t>с </w:t>
      </w:r>
      <w:r w:rsidRPr="00844E22">
        <w:t>другими</w:t>
      </w:r>
    </w:p>
    <w:p w:rsidR="009120A7" w:rsidRPr="00844E22" w:rsidRDefault="009120A7" w:rsidP="009120A7">
      <w:pPr>
        <w:pStyle w:val="SingleTxtGR"/>
      </w:pPr>
      <w:r w:rsidRPr="00844E22">
        <w:t>72.</w:t>
      </w:r>
      <w:r w:rsidRPr="00844E22">
        <w:tab/>
        <w:t xml:space="preserve">Статья 16 Конституции гласит: </w:t>
      </w:r>
      <w:r>
        <w:t>"</w:t>
      </w:r>
      <w:r w:rsidRPr="00844E22">
        <w:t>Никто не может быть лишен своей со</w:t>
      </w:r>
      <w:r w:rsidRPr="00844E22">
        <w:t>б</w:t>
      </w:r>
      <w:r w:rsidRPr="00844E22">
        <w:t>ственности иначе как в интересах общества, в случаях и в порядке, установле</w:t>
      </w:r>
      <w:r w:rsidRPr="00844E22">
        <w:t>н</w:t>
      </w:r>
      <w:r w:rsidRPr="00844E22">
        <w:t>ных законом, и при условии справедливого возмещения</w:t>
      </w:r>
      <w:r>
        <w:t>"</w:t>
      </w:r>
      <w:r w:rsidRPr="00844E22">
        <w:t xml:space="preserve">. Согласно статье 17, </w:t>
      </w:r>
      <w:r>
        <w:t>"</w:t>
      </w:r>
      <w:r w:rsidRPr="00844E22">
        <w:t>наказание конфискацией имущества не может быть установлено</w:t>
      </w:r>
      <w:r>
        <w:t>"</w:t>
      </w:r>
      <w:r w:rsidRPr="00844E22">
        <w:t>.</w:t>
      </w:r>
    </w:p>
    <w:p w:rsidR="009120A7" w:rsidRPr="00844E22" w:rsidRDefault="009120A7" w:rsidP="009120A7">
      <w:pPr>
        <w:pStyle w:val="H23GR"/>
      </w:pPr>
      <w:r>
        <w:tab/>
        <w:t>6.</w:t>
      </w:r>
      <w:r>
        <w:tab/>
      </w:r>
      <w:r w:rsidRPr="00844E22">
        <w:t>Право наследования</w:t>
      </w:r>
      <w:r w:rsidRPr="001C7A93">
        <w:rPr>
          <w:b w:val="0"/>
          <w:sz w:val="18"/>
          <w:szCs w:val="18"/>
          <w:vertAlign w:val="superscript"/>
          <w:lang w:val="fr-FR"/>
        </w:rPr>
        <w:footnoteReference w:id="5"/>
      </w:r>
    </w:p>
    <w:p w:rsidR="009120A7" w:rsidRPr="00844E22" w:rsidRDefault="009120A7" w:rsidP="009120A7">
      <w:pPr>
        <w:pStyle w:val="H23GR"/>
      </w:pPr>
      <w:r>
        <w:tab/>
        <w:t>7.</w:t>
      </w:r>
      <w:r>
        <w:tab/>
      </w:r>
      <w:r w:rsidRPr="00844E22">
        <w:t>Право на свободу мысли, совести и религии</w:t>
      </w:r>
    </w:p>
    <w:p w:rsidR="009120A7" w:rsidRPr="00844E22" w:rsidRDefault="009120A7" w:rsidP="009120A7">
      <w:pPr>
        <w:pStyle w:val="SingleTxtGR"/>
      </w:pPr>
      <w:r w:rsidRPr="00844E22">
        <w:t>73.</w:t>
      </w:r>
      <w:r w:rsidRPr="00844E22">
        <w:tab/>
        <w:t xml:space="preserve">Статья 19 Конституции гарантирует </w:t>
      </w:r>
      <w:r>
        <w:t>"</w:t>
      </w:r>
      <w:r w:rsidRPr="00844E22">
        <w:t>свободу культов, их публичного о</w:t>
      </w:r>
      <w:r w:rsidRPr="00844E22">
        <w:t>т</w:t>
      </w:r>
      <w:r w:rsidRPr="00844E22">
        <w:t>правления, а также свободу выражения своих религиозных взглядов с сохран</w:t>
      </w:r>
      <w:r w:rsidRPr="00844E22">
        <w:t>е</w:t>
      </w:r>
      <w:r w:rsidRPr="00844E22">
        <w:t>нием ответственности за правонарушения, совершенные при пользовании эт</w:t>
      </w:r>
      <w:r w:rsidRPr="00844E22">
        <w:t>и</w:t>
      </w:r>
      <w:r w:rsidRPr="00844E22">
        <w:t>ми свободами</w:t>
      </w:r>
      <w:r>
        <w:t>"</w:t>
      </w:r>
      <w:r w:rsidRPr="00844E22">
        <w:t>.</w:t>
      </w:r>
    </w:p>
    <w:p w:rsidR="009120A7" w:rsidRPr="00844E22" w:rsidRDefault="009120A7" w:rsidP="009120A7">
      <w:pPr>
        <w:pStyle w:val="SingleTxtGR"/>
      </w:pPr>
      <w:r w:rsidRPr="00844E22">
        <w:t>74.</w:t>
      </w:r>
      <w:r w:rsidRPr="00844E22">
        <w:tab/>
        <w:t>Озабоченность, которая была выражена К</w:t>
      </w:r>
      <w:r>
        <w:t xml:space="preserve">омитетом в 2007 году в связи с </w:t>
      </w:r>
      <w:r w:rsidRPr="00844E22">
        <w:t>возможной взаимосвязью между расовой дискриминацией и религиозной ди</w:t>
      </w:r>
      <w:r w:rsidRPr="00844E22">
        <w:t>с</w:t>
      </w:r>
      <w:r w:rsidRPr="00844E22">
        <w:t>криминацией, в частности с мерами по борьбе с терроризмом, способными привести к проявлению дискриминации по этническому признаку в отношении членов некоторых религиозных общин, не находит подтверждения в Люксе</w:t>
      </w:r>
      <w:r w:rsidRPr="00844E22">
        <w:t>м</w:t>
      </w:r>
      <w:r w:rsidRPr="00844E22">
        <w:t xml:space="preserve">бурге: все религиозные общины, в том числе мусульманская община, состоят из представителей большого числа народностей самого разного происхождения, которые сосуществуют в рамках своих общин. Поэтому </w:t>
      </w:r>
      <w:r w:rsidR="00B95048">
        <w:t>в</w:t>
      </w:r>
      <w:r w:rsidRPr="00844E22">
        <w:t xml:space="preserve"> настоящее время в Люксембурге риск проявления этнического подхода к той или иной общине я</w:t>
      </w:r>
      <w:r w:rsidRPr="00844E22">
        <w:t>в</w:t>
      </w:r>
      <w:r w:rsidRPr="00844E22">
        <w:t xml:space="preserve">ляется ограниченным. </w:t>
      </w:r>
    </w:p>
    <w:p w:rsidR="009120A7" w:rsidRPr="00844E22" w:rsidRDefault="009120A7" w:rsidP="009120A7">
      <w:pPr>
        <w:pStyle w:val="H23GR"/>
      </w:pPr>
      <w:r>
        <w:tab/>
        <w:t>8.</w:t>
      </w:r>
      <w:r>
        <w:tab/>
      </w:r>
      <w:r w:rsidRPr="00844E22">
        <w:t>Право на свободу убеждений и на их свободное выражение</w:t>
      </w:r>
      <w:r w:rsidRPr="00E54700">
        <w:rPr>
          <w:b w:val="0"/>
          <w:sz w:val="18"/>
          <w:szCs w:val="18"/>
          <w:vertAlign w:val="superscript"/>
          <w:lang w:val="fr-FR"/>
        </w:rPr>
        <w:footnoteReference w:id="6"/>
      </w:r>
    </w:p>
    <w:p w:rsidR="009120A7" w:rsidRPr="00844E22" w:rsidRDefault="009120A7" w:rsidP="009120A7">
      <w:pPr>
        <w:pStyle w:val="SingleTxtGR"/>
      </w:pPr>
      <w:r w:rsidRPr="00844E22">
        <w:t>75.</w:t>
      </w:r>
      <w:r w:rsidRPr="00844E22">
        <w:tab/>
        <w:t xml:space="preserve">Статья 24 Конституции гласит: </w:t>
      </w:r>
      <w:r>
        <w:t>"</w:t>
      </w:r>
      <w:r w:rsidRPr="00844E22">
        <w:t>Свобода устного выражения мнений по любым вопросам и свобода печати гарантирована с сохранением ответственн</w:t>
      </w:r>
      <w:r w:rsidRPr="00844E22">
        <w:t>о</w:t>
      </w:r>
      <w:r w:rsidRPr="00844E22">
        <w:t>сти за правонарушения, совершенные при пользовании этими свободами. Це</w:t>
      </w:r>
      <w:r w:rsidRPr="00844E22">
        <w:t>н</w:t>
      </w:r>
      <w:r w:rsidRPr="00844E22">
        <w:t>зура никогда не может быть установлена</w:t>
      </w:r>
      <w:r>
        <w:t>"</w:t>
      </w:r>
      <w:r w:rsidRPr="00844E22">
        <w:t>.</w:t>
      </w:r>
    </w:p>
    <w:p w:rsidR="009120A7" w:rsidRPr="00844E22" w:rsidRDefault="009120A7" w:rsidP="009120A7">
      <w:pPr>
        <w:pStyle w:val="H23GR"/>
      </w:pPr>
      <w:r>
        <w:tab/>
        <w:t>9.</w:t>
      </w:r>
      <w:r>
        <w:tab/>
      </w:r>
      <w:r w:rsidRPr="00844E22">
        <w:t>Право на свободу мирных собраний и ассоциаций</w:t>
      </w:r>
    </w:p>
    <w:p w:rsidR="009120A7" w:rsidRPr="00844E22" w:rsidRDefault="009120A7" w:rsidP="009120A7">
      <w:pPr>
        <w:pStyle w:val="SingleTxtGR"/>
      </w:pPr>
      <w:r w:rsidRPr="00844E22">
        <w:t>76.</w:t>
      </w:r>
      <w:r w:rsidRPr="00844E22">
        <w:tab/>
        <w:t xml:space="preserve">В статье 25 Конституции предусмотрено: </w:t>
      </w:r>
      <w:r>
        <w:t>"</w:t>
      </w:r>
      <w:r w:rsidRPr="00844E22">
        <w:t xml:space="preserve">Люксембуржцы имеют право собираться мирно и без оружия, в соответствии </w:t>
      </w:r>
      <w:r w:rsidR="00FD35CD">
        <w:t>с</w:t>
      </w:r>
      <w:r w:rsidRPr="00844E22">
        <w:t xml:space="preserve"> законодательством, регул</w:t>
      </w:r>
      <w:r w:rsidRPr="00844E22">
        <w:t>и</w:t>
      </w:r>
      <w:r w:rsidRPr="00844E22">
        <w:t>рующим осуществление этого права, без получения предварительного разреш</w:t>
      </w:r>
      <w:r w:rsidRPr="00844E22">
        <w:t>е</w:t>
      </w:r>
      <w:r w:rsidRPr="00844E22">
        <w:t>ния. Это положение не применяется к политическим, религиозным и иным со</w:t>
      </w:r>
      <w:r w:rsidRPr="00844E22">
        <w:t>б</w:t>
      </w:r>
      <w:r w:rsidRPr="00844E22">
        <w:t>раниям под открытым небом, проведение которых полностью регулируется з</w:t>
      </w:r>
      <w:r w:rsidRPr="00844E22">
        <w:t>а</w:t>
      </w:r>
      <w:r w:rsidRPr="00844E22">
        <w:t>конами и положениями органов полиции</w:t>
      </w:r>
      <w:r>
        <w:t>"</w:t>
      </w:r>
      <w:r w:rsidRPr="00844E22">
        <w:t>.</w:t>
      </w:r>
    </w:p>
    <w:p w:rsidR="009120A7" w:rsidRPr="00844E22" w:rsidRDefault="009120A7" w:rsidP="009120A7">
      <w:pPr>
        <w:pStyle w:val="H1GR"/>
      </w:pPr>
      <w:r>
        <w:tab/>
        <w:t>Е.</w:t>
      </w:r>
      <w:r>
        <w:tab/>
      </w:r>
      <w:r w:rsidRPr="00844E22">
        <w:t>Права в экономической, социальной и культурной областях</w:t>
      </w:r>
    </w:p>
    <w:p w:rsidR="009120A7" w:rsidRPr="00844E22" w:rsidRDefault="009120A7" w:rsidP="009120A7">
      <w:pPr>
        <w:pStyle w:val="H23GR"/>
      </w:pPr>
      <w:r>
        <w:tab/>
        <w:t>1.</w:t>
      </w:r>
      <w:r>
        <w:tab/>
      </w:r>
      <w:r w:rsidRPr="00844E22">
        <w:t>Право на труд</w:t>
      </w:r>
      <w:r w:rsidRPr="004865A4">
        <w:rPr>
          <w:b w:val="0"/>
          <w:sz w:val="18"/>
          <w:szCs w:val="18"/>
          <w:vertAlign w:val="superscript"/>
          <w:lang w:val="fr-FR"/>
        </w:rPr>
        <w:footnoteReference w:id="7"/>
      </w:r>
    </w:p>
    <w:p w:rsidR="009120A7" w:rsidRPr="00844E22" w:rsidRDefault="009120A7" w:rsidP="009120A7">
      <w:pPr>
        <w:pStyle w:val="SingleTxtGR"/>
      </w:pPr>
      <w:r w:rsidRPr="00844E22">
        <w:t>77.</w:t>
      </w:r>
      <w:r w:rsidRPr="00844E22">
        <w:tab/>
        <w:t>Статья 11 Конституции гласит:</w:t>
      </w:r>
      <w:r>
        <w:t xml:space="preserve"> "</w:t>
      </w:r>
      <w:r w:rsidRPr="00844E22">
        <w:t>(…) Закон гарантирует право на труд и обеспечивает каждому гражданину осуществление этого права. (…)</w:t>
      </w:r>
      <w:r>
        <w:t>"</w:t>
      </w:r>
      <w:r w:rsidRPr="00844E22">
        <w:t>.</w:t>
      </w:r>
    </w:p>
    <w:p w:rsidR="009120A7" w:rsidRPr="00844E22" w:rsidRDefault="009120A7" w:rsidP="009120A7">
      <w:pPr>
        <w:pStyle w:val="H23GR"/>
      </w:pPr>
      <w:r>
        <w:tab/>
        <w:t>2.</w:t>
      </w:r>
      <w:r>
        <w:tab/>
      </w:r>
      <w:r w:rsidRPr="00844E22">
        <w:t>Право создавать профессиональные союзы и вступать в них</w:t>
      </w:r>
    </w:p>
    <w:p w:rsidR="009120A7" w:rsidRPr="00844E22" w:rsidRDefault="009120A7" w:rsidP="009120A7">
      <w:pPr>
        <w:pStyle w:val="SingleTxtGR"/>
      </w:pPr>
      <w:r w:rsidRPr="00844E22">
        <w:t>78.</w:t>
      </w:r>
      <w:r w:rsidRPr="00844E22">
        <w:tab/>
        <w:t xml:space="preserve">Статья 11 Конституции далее предусматривает: </w:t>
      </w:r>
      <w:r>
        <w:t>"</w:t>
      </w:r>
      <w:r w:rsidRPr="00844E22">
        <w:t>(…) Закон гарантирует профсоюзные свободы и организует право на забастовку. (…)</w:t>
      </w:r>
      <w:r>
        <w:t>"</w:t>
      </w:r>
      <w:r w:rsidRPr="00844E22">
        <w:t>.</w:t>
      </w:r>
    </w:p>
    <w:p w:rsidR="009120A7" w:rsidRPr="00844E22" w:rsidRDefault="009120A7" w:rsidP="009120A7">
      <w:pPr>
        <w:pStyle w:val="H23GR"/>
      </w:pPr>
      <w:r>
        <w:tab/>
        <w:t>3.</w:t>
      </w:r>
      <w:r>
        <w:tab/>
      </w:r>
      <w:r w:rsidRPr="00844E22">
        <w:t>Право на жилище</w:t>
      </w:r>
    </w:p>
    <w:p w:rsidR="009120A7" w:rsidRPr="00844E22" w:rsidRDefault="009120A7" w:rsidP="009120A7">
      <w:pPr>
        <w:pStyle w:val="SingleTxtGR"/>
      </w:pPr>
      <w:r w:rsidRPr="00844E22">
        <w:t>79.</w:t>
      </w:r>
      <w:r w:rsidRPr="00844E22">
        <w:tab/>
        <w:t>Право на жилище не признано в Конституции Люксембурга.</w:t>
      </w:r>
    </w:p>
    <w:p w:rsidR="009120A7" w:rsidRPr="00844E22" w:rsidRDefault="00FD35CD" w:rsidP="009120A7">
      <w:pPr>
        <w:pStyle w:val="SingleTxtGR"/>
      </w:pPr>
      <w:r>
        <w:t>80.</w:t>
      </w:r>
      <w:r>
        <w:tab/>
        <w:t>Тем не менее</w:t>
      </w:r>
      <w:r w:rsidR="009120A7" w:rsidRPr="00844E22">
        <w:t xml:space="preserve"> можно считать, что это право имплицитно признано закон</w:t>
      </w:r>
      <w:r w:rsidR="009120A7" w:rsidRPr="00844E22">
        <w:t>о</w:t>
      </w:r>
      <w:r w:rsidR="009120A7" w:rsidRPr="00844E22">
        <w:t>дательством: в статье 26 Закона от 21 сентября 2006 года об аренде жилья с внесенными в него изменениями предусмотрено, что коммунальные органы власти должны по мере возможности предоставлять жилище всем лицам, кот</w:t>
      </w:r>
      <w:r w:rsidR="009120A7" w:rsidRPr="00844E22">
        <w:t>о</w:t>
      </w:r>
      <w:r w:rsidR="009120A7" w:rsidRPr="00844E22">
        <w:t>рые домицилированы на территории коммуны.</w:t>
      </w:r>
    </w:p>
    <w:p w:rsidR="009120A7" w:rsidRPr="00844E22" w:rsidRDefault="009120A7" w:rsidP="009120A7">
      <w:pPr>
        <w:pStyle w:val="SingleTxtGR"/>
      </w:pPr>
      <w:r w:rsidRPr="00844E22">
        <w:t>81.</w:t>
      </w:r>
      <w:r w:rsidRPr="00844E22">
        <w:tab/>
        <w:t>Упомянутый закон 2006 года также предусматривает весьма широкую защиту прав арендатора (например, ограничение годовой арендной платы су</w:t>
      </w:r>
      <w:r w:rsidRPr="00844E22">
        <w:t>м</w:t>
      </w:r>
      <w:r w:rsidRPr="00844E22">
        <w:t>мой, составляющей 5% объема инвестированных средств; снижение размера арендной платы в случае удешевления аренды; назначение сроков для освобо</w:t>
      </w:r>
      <w:r w:rsidRPr="00844E22">
        <w:t>ж</w:t>
      </w:r>
      <w:r w:rsidRPr="00844E22">
        <w:t xml:space="preserve">дения жилья и отсрочки при расторжении договора аренды). </w:t>
      </w:r>
    </w:p>
    <w:p w:rsidR="009120A7" w:rsidRPr="00844E22" w:rsidRDefault="009120A7" w:rsidP="009120A7">
      <w:pPr>
        <w:pStyle w:val="SingleTxtGR"/>
      </w:pPr>
      <w:r w:rsidRPr="00844E22">
        <w:t>82.</w:t>
      </w:r>
      <w:r w:rsidRPr="00844E22">
        <w:tab/>
        <w:t>В предложении о пересмотре, направленном на внесение поправок и р</w:t>
      </w:r>
      <w:r w:rsidRPr="00844E22">
        <w:t>е</w:t>
      </w:r>
      <w:r w:rsidRPr="00844E22">
        <w:t>организацию Конституции (сборник парламентских документов № 6030), в н</w:t>
      </w:r>
      <w:r w:rsidRPr="00844E22">
        <w:t>а</w:t>
      </w:r>
      <w:r w:rsidRPr="00844E22">
        <w:t xml:space="preserve">стоящее время предусмотрено включить статью 37 о том, что </w:t>
      </w:r>
      <w:r>
        <w:t>"</w:t>
      </w:r>
      <w:r w:rsidRPr="00844E22">
        <w:t>государство сл</w:t>
      </w:r>
      <w:r w:rsidRPr="00844E22">
        <w:t>е</w:t>
      </w:r>
      <w:r w:rsidRPr="00844E22">
        <w:t>дит за тем, чтобы каждый человек имел возможность проживать в надлежащем жилище</w:t>
      </w:r>
      <w:r>
        <w:t>"</w:t>
      </w:r>
      <w:r w:rsidRPr="00844E22">
        <w:t>.</w:t>
      </w:r>
    </w:p>
    <w:p w:rsidR="009120A7" w:rsidRPr="00844E22" w:rsidRDefault="009120A7" w:rsidP="009120A7">
      <w:pPr>
        <w:pStyle w:val="H23GR"/>
      </w:pPr>
      <w:r>
        <w:tab/>
        <w:t>4.</w:t>
      </w:r>
      <w:r>
        <w:tab/>
      </w:r>
      <w:r w:rsidRPr="00844E22">
        <w:t>Право на здравоохранение, медицинскую помощь, социальное обеспечение и социальное обслужива</w:t>
      </w:r>
      <w:r>
        <w:t>ние</w:t>
      </w:r>
    </w:p>
    <w:p w:rsidR="009120A7" w:rsidRPr="00844E22" w:rsidRDefault="009120A7" w:rsidP="009120A7">
      <w:pPr>
        <w:pStyle w:val="SingleTxtGR"/>
      </w:pPr>
      <w:r w:rsidRPr="00844E22">
        <w:t>83.</w:t>
      </w:r>
      <w:r w:rsidRPr="00844E22">
        <w:tab/>
        <w:t>Конституция не регулирует систему социального обеспечения как так</w:t>
      </w:r>
      <w:r w:rsidRPr="00844E22">
        <w:t>о</w:t>
      </w:r>
      <w:r w:rsidRPr="00844E22">
        <w:t>вую; согласно пункту 5 ее статьи 11, эти полномочия возлагаются на законод</w:t>
      </w:r>
      <w:r w:rsidRPr="00844E22">
        <w:t>а</w:t>
      </w:r>
      <w:r w:rsidRPr="00844E22">
        <w:t xml:space="preserve">теля: </w:t>
      </w:r>
      <w:r>
        <w:t>"</w:t>
      </w:r>
      <w:r w:rsidRPr="00844E22">
        <w:t>Закон регулирует принципы социального обеспечения, здравоохранения, прав трудящихся, борьбы с нищетой и социальной интеграции инвалидов</w:t>
      </w:r>
      <w:r>
        <w:t>"</w:t>
      </w:r>
      <w:r w:rsidRPr="00844E22">
        <w:t>. В</w:t>
      </w:r>
      <w:r>
        <w:t> </w:t>
      </w:r>
      <w:r w:rsidRPr="00844E22">
        <w:t>соответствии со своими конституционными обязательствами люксембургский законодатель ввел всеобъемлющую систему социального обеспечения, которая охватывает такие страховые случаи, как заболевание, беременность и роды, н</w:t>
      </w:r>
      <w:r w:rsidRPr="00844E22">
        <w:t>е</w:t>
      </w:r>
      <w:r w:rsidRPr="00844E22">
        <w:t>трудоспособность, несчастный случай, старость, инвалидность, смерть, потеря самостоятельности, безработица, бедность, а также назначение семейных пос</w:t>
      </w:r>
      <w:r w:rsidRPr="00844E22">
        <w:t>о</w:t>
      </w:r>
      <w:r w:rsidRPr="00844E22">
        <w:t>бий. Кроме того, в процессе создания и развития различных направлений соц</w:t>
      </w:r>
      <w:r w:rsidRPr="00844E22">
        <w:t>и</w:t>
      </w:r>
      <w:r w:rsidRPr="00844E22">
        <w:t>ального обеспечения законодатель принял во внимание обязательства, выт</w:t>
      </w:r>
      <w:r w:rsidRPr="00844E22">
        <w:t>е</w:t>
      </w:r>
      <w:r w:rsidRPr="00844E22">
        <w:t>кающие из международных договоров, которые ратифицированы Люксембу</w:t>
      </w:r>
      <w:r w:rsidRPr="00844E22">
        <w:t>р</w:t>
      </w:r>
      <w:r w:rsidRPr="00844E22">
        <w:t>гом, включая конвенции Организации Объединенных Наций.</w:t>
      </w:r>
    </w:p>
    <w:p w:rsidR="009120A7" w:rsidRPr="00844E22" w:rsidRDefault="009120A7" w:rsidP="009120A7">
      <w:pPr>
        <w:pStyle w:val="SingleTxtGR"/>
      </w:pPr>
      <w:r w:rsidRPr="00844E22">
        <w:t>84.</w:t>
      </w:r>
      <w:r w:rsidRPr="00844E22">
        <w:tab/>
        <w:t>Так, например, система социального обеспечения Люксембурга действует без различий по гражданству или иным признакам. Она гарантирует свободный доступ к пособиям на основе обязательного членства для лиц, занимающихся любой оплачиваемой трудовой деятельностью. Аналогичный порядок членства предусмотрен для лиц, получающих альтернативный или минимальный гара</w:t>
      </w:r>
      <w:r w:rsidRPr="00844E22">
        <w:t>н</w:t>
      </w:r>
      <w:r w:rsidRPr="00844E22">
        <w:t>тированный доход, не охваченных другими видами защиты. Члены семьи о</w:t>
      </w:r>
      <w:r w:rsidRPr="00844E22">
        <w:t>с</w:t>
      </w:r>
      <w:r w:rsidRPr="00844E22">
        <w:t>новного страхователя, в частности его супруг или заявленный партнер и дети, могут пользо</w:t>
      </w:r>
      <w:r w:rsidR="00FD35CD">
        <w:t>ваться смежными правами, такими</w:t>
      </w:r>
      <w:r w:rsidRPr="00844E22">
        <w:t xml:space="preserve"> как право на получение мед</w:t>
      </w:r>
      <w:r w:rsidRPr="00844E22">
        <w:t>и</w:t>
      </w:r>
      <w:r w:rsidRPr="00844E22">
        <w:t>цинского обслуживания, пенсий по старости или по случаю потери кормильца. Другие лица, проживающие в Люксембурге, могут заключать контракты добр</w:t>
      </w:r>
      <w:r w:rsidRPr="00844E22">
        <w:t>о</w:t>
      </w:r>
      <w:r w:rsidRPr="00844E22">
        <w:t>вольного страхования. При необходимости взносы уплачиваются либо социал</w:t>
      </w:r>
      <w:r w:rsidRPr="00844E22">
        <w:t>ь</w:t>
      </w:r>
      <w:r w:rsidRPr="00844E22">
        <w:t>ной службой – для неимущих лиц, либо государством – для несовершенноле</w:t>
      </w:r>
      <w:r w:rsidRPr="00844E22">
        <w:t>т</w:t>
      </w:r>
      <w:r w:rsidRPr="00844E22">
        <w:t xml:space="preserve">них детей, не имеющих иного страхового покрытия. </w:t>
      </w:r>
    </w:p>
    <w:p w:rsidR="009120A7" w:rsidRPr="00844E22" w:rsidRDefault="009120A7" w:rsidP="009120A7">
      <w:pPr>
        <w:pStyle w:val="SingleTxtGR"/>
      </w:pPr>
      <w:r w:rsidRPr="00844E22">
        <w:t>85.</w:t>
      </w:r>
      <w:r w:rsidRPr="00844E22">
        <w:tab/>
        <w:t>Основные принципы режима медицинского обслуживания основаны на свободном выборе врача, обязательном заключении договора с поставщиками медицинских услуг с применением единых тарифов и единых услуг для всех застрахованных лиц.</w:t>
      </w:r>
    </w:p>
    <w:p w:rsidR="009120A7" w:rsidRPr="00844E22" w:rsidRDefault="009120A7" w:rsidP="00FD35CD">
      <w:pPr>
        <w:pStyle w:val="SingleTxtGR"/>
        <w:keepNext/>
        <w:pageBreakBefore/>
      </w:pPr>
      <w:r w:rsidRPr="00844E22">
        <w:t>86.</w:t>
      </w:r>
      <w:r w:rsidRPr="00844E22">
        <w:tab/>
        <w:t>Обслуживание финансируется работодателями, застрахованными лицами и государством. Размер взносов, которые покрываются в основном за счет раб</w:t>
      </w:r>
      <w:r w:rsidRPr="00844E22">
        <w:t>о</w:t>
      </w:r>
      <w:r w:rsidRPr="00844E22">
        <w:t>тодателей и застрахованных лиц, определяется по единой шкале ставок незав</w:t>
      </w:r>
      <w:r w:rsidRPr="00844E22">
        <w:t>и</w:t>
      </w:r>
      <w:r w:rsidRPr="00844E22">
        <w:t xml:space="preserve">симо от индивидуальных характеристик соответствующих лиц (возраста, пола, семейного положения, состояния здоровья, гражданства, расы, происхождения). Взнос государства зависит главным образом от общих налоговых поступлений. </w:t>
      </w:r>
    </w:p>
    <w:p w:rsidR="009120A7" w:rsidRPr="00844E22" w:rsidRDefault="009120A7" w:rsidP="009120A7">
      <w:pPr>
        <w:pStyle w:val="SingleTxtGR"/>
      </w:pPr>
      <w:r w:rsidRPr="00844E22">
        <w:t>87.</w:t>
      </w:r>
      <w:r w:rsidRPr="00844E22">
        <w:tab/>
        <w:t>С другой стороны, Законом от 28 ноября 2006 года во внутреннее закон</w:t>
      </w:r>
      <w:r w:rsidRPr="00844E22">
        <w:t>о</w:t>
      </w:r>
      <w:r w:rsidRPr="00844E22">
        <w:t>дательство Люксембурга была инкорп</w:t>
      </w:r>
      <w:r w:rsidR="004D36CB">
        <w:t>орирована европейская директ</w:t>
      </w:r>
      <w:r w:rsidR="004D36CB">
        <w:t>и</w:t>
      </w:r>
      <w:r w:rsidR="004D36CB">
        <w:t>ва </w:t>
      </w:r>
      <w:r w:rsidRPr="00844E22">
        <w:t>2000/43/</w:t>
      </w:r>
      <w:r w:rsidRPr="00844E22">
        <w:rPr>
          <w:lang w:val="fr-FR"/>
        </w:rPr>
        <w:t>CE</w:t>
      </w:r>
      <w:r w:rsidRPr="00844E22">
        <w:t xml:space="preserve"> от 29 июня 2000 года об осуществлении принципа равного обр</w:t>
      </w:r>
      <w:r w:rsidRPr="00844E22">
        <w:t>а</w:t>
      </w:r>
      <w:r w:rsidRPr="00844E22">
        <w:t>щения с лицами без различия по признакам расы или этнического происхожд</w:t>
      </w:r>
      <w:r w:rsidRPr="00844E22">
        <w:t>е</w:t>
      </w:r>
      <w:r w:rsidRPr="00844E22">
        <w:t>ния, а также директива 2000/78/</w:t>
      </w:r>
      <w:r w:rsidRPr="00844E22">
        <w:rPr>
          <w:lang w:val="fr-FR"/>
        </w:rPr>
        <w:t>CE</w:t>
      </w:r>
      <w:r w:rsidRPr="00844E22">
        <w:t xml:space="preserve"> от 27 ноября 2000 года о заложении общих основ равного обращения в сфере труда и занятости. Всякая прямая или ко</w:t>
      </w:r>
      <w:r w:rsidRPr="00844E22">
        <w:t>с</w:t>
      </w:r>
      <w:r w:rsidRPr="00844E22">
        <w:t>венная дискриминация по признакам религии или убеждений, инвалидности, возраста, сексуальной ориентации, реальной или предполагаемой принадле</w:t>
      </w:r>
      <w:r w:rsidRPr="00844E22">
        <w:t>ж</w:t>
      </w:r>
      <w:r w:rsidRPr="00844E22">
        <w:t>ности либо непринадлежности к какой-либо расе или народности запрещ</w:t>
      </w:r>
      <w:r w:rsidRPr="00844E22">
        <w:t>а</w:t>
      </w:r>
      <w:r w:rsidRPr="00844E22">
        <w:t>ется. Этот принцип недискриминации распространяется на всех лиц – должн</w:t>
      </w:r>
      <w:r w:rsidRPr="00844E22">
        <w:t>о</w:t>
      </w:r>
      <w:r w:rsidRPr="00844E22">
        <w:t>стных и частных, физических и юридических, включая государственные органы, в ч</w:t>
      </w:r>
      <w:r w:rsidRPr="00844E22">
        <w:t>а</w:t>
      </w:r>
      <w:r w:rsidRPr="00844E22">
        <w:t>стности, в сфере социальной защиты, включая социальное обеспечение и мед</w:t>
      </w:r>
      <w:r w:rsidRPr="00844E22">
        <w:t>и</w:t>
      </w:r>
      <w:r w:rsidRPr="00844E22">
        <w:t>цинское о</w:t>
      </w:r>
      <w:r w:rsidRPr="00844E22">
        <w:t>б</w:t>
      </w:r>
      <w:r w:rsidRPr="00844E22">
        <w:t xml:space="preserve">служивание, а также социальные пособия. </w:t>
      </w:r>
    </w:p>
    <w:p w:rsidR="009120A7" w:rsidRPr="00844E22" w:rsidRDefault="009120A7" w:rsidP="009120A7">
      <w:pPr>
        <w:pStyle w:val="SingleTxtGR"/>
      </w:pPr>
      <w:r w:rsidRPr="00844E22">
        <w:t>88.</w:t>
      </w:r>
      <w:r w:rsidRPr="00844E22">
        <w:tab/>
        <w:t>Закон от 29 августа 2008 года о свободном перемещении лиц и иммигр</w:t>
      </w:r>
      <w:r w:rsidRPr="00844E22">
        <w:t>а</w:t>
      </w:r>
      <w:r w:rsidRPr="00844E22">
        <w:t>ции предусматривает меры наказания за содействие в нелегальном въезде и пребывании и гласит, что работодатель, трудоустроивший работника, не име</w:t>
      </w:r>
      <w:r w:rsidRPr="00844E22">
        <w:t>ю</w:t>
      </w:r>
      <w:r w:rsidRPr="00844E22">
        <w:t>щего разрешения на проживание с правом занятия оплачиваемой трудовой де</w:t>
      </w:r>
      <w:r w:rsidRPr="00844E22">
        <w:t>я</w:t>
      </w:r>
      <w:r w:rsidRPr="00844E22">
        <w:t>тельностью или разрешения на работу, если таковое требуется, должен упл</w:t>
      </w:r>
      <w:r w:rsidRPr="00844E22">
        <w:t>а</w:t>
      </w:r>
      <w:r w:rsidRPr="00844E22">
        <w:t xml:space="preserve">тить полную сумму неуплаченных социальных взносов и налогов, включая, в соответствующих случаях, административные штрафы. </w:t>
      </w:r>
    </w:p>
    <w:p w:rsidR="009120A7" w:rsidRPr="00844E22" w:rsidRDefault="009120A7" w:rsidP="009120A7">
      <w:pPr>
        <w:pStyle w:val="SingleTxtGR"/>
      </w:pPr>
      <w:r w:rsidRPr="00844E22">
        <w:t>89.</w:t>
      </w:r>
      <w:r w:rsidRPr="00844E22">
        <w:tab/>
        <w:t>Наряду с этим в соответствии с Кодексом социального обеспечения раб</w:t>
      </w:r>
      <w:r w:rsidRPr="00844E22">
        <w:t>о</w:t>
      </w:r>
      <w:r w:rsidRPr="00844E22">
        <w:t>тодатели обязаны в течение восьми дней зарегистрировать в органах социал</w:t>
      </w:r>
      <w:r w:rsidRPr="00844E22">
        <w:t>ь</w:t>
      </w:r>
      <w:r w:rsidRPr="00844E22">
        <w:t>ного обеспечения каждого трудоустроенного ими работника. На работодателей, которые не выполняют требования Кодекса социального обеспечения или в</w:t>
      </w:r>
      <w:r w:rsidRPr="00844E22">
        <w:t>ы</w:t>
      </w:r>
      <w:r w:rsidRPr="00844E22">
        <w:t xml:space="preserve">полняют их с опозданием, которые предоставляют требуемые от них данные с опозданием или предоставляют неточные данные, не соблюдают мер контроля и своевременно не уплачивают взносы, может быть наложен штраф в сумме до 2 500 евро. </w:t>
      </w:r>
    </w:p>
    <w:p w:rsidR="009120A7" w:rsidRPr="00844E22" w:rsidRDefault="009120A7" w:rsidP="009120A7">
      <w:pPr>
        <w:pStyle w:val="SingleTxtGR"/>
      </w:pPr>
      <w:r w:rsidRPr="00844E22">
        <w:t>90.</w:t>
      </w:r>
      <w:r w:rsidRPr="00844E22">
        <w:tab/>
        <w:t>При запоздалой регистрации работник регистрируется задним числом, и при несчастном случае на производстве система страхования от несчастных случаев назначает предусмотренные законом пособия в натуральной и дене</w:t>
      </w:r>
      <w:r w:rsidRPr="00844E22">
        <w:t>ж</w:t>
      </w:r>
      <w:r w:rsidRPr="00844E22">
        <w:t>ной форме. При максимальной сумме в 30 000 евро Ассоциация страхования от несчастных случаев может потребовать от работодателя компенсации м</w:t>
      </w:r>
      <w:r>
        <w:t>аксимум половины суммы пособий,</w:t>
      </w:r>
      <w:r w:rsidRPr="00844E22">
        <w:t xml:space="preserve"> выплаченных в связи с произошедшим несчастным слу</w:t>
      </w:r>
      <w:r>
        <w:t>чаем, если</w:t>
      </w:r>
      <w:r w:rsidRPr="00844E22">
        <w:t xml:space="preserve"> заявление о въезде работника не было сделано до наступления несчастного случая. </w:t>
      </w:r>
    </w:p>
    <w:p w:rsidR="009120A7" w:rsidRPr="00844E22" w:rsidRDefault="009120A7" w:rsidP="009120A7">
      <w:pPr>
        <w:pStyle w:val="SingleTxtGR"/>
      </w:pPr>
      <w:r w:rsidRPr="00844E22">
        <w:t>91.</w:t>
      </w:r>
      <w:r w:rsidRPr="00844E22">
        <w:tab/>
        <w:t xml:space="preserve">Кроме того, штраф в размере до 6 250 евро </w:t>
      </w:r>
      <w:r>
        <w:t>−</w:t>
      </w:r>
      <w:r w:rsidRPr="00844E22">
        <w:t xml:space="preserve"> если другим законодател</w:t>
      </w:r>
      <w:r w:rsidRPr="00844E22">
        <w:t>ь</w:t>
      </w:r>
      <w:r w:rsidRPr="00844E22">
        <w:t>ным или регламентирующим положением не предусмотрено более суровое н</w:t>
      </w:r>
      <w:r w:rsidRPr="00844E22">
        <w:t>а</w:t>
      </w:r>
      <w:r w:rsidR="00FD35CD">
        <w:t>казание</w:t>
      </w:r>
      <w:r w:rsidRPr="00844E22">
        <w:t xml:space="preserve"> </w:t>
      </w:r>
      <w:r>
        <w:t>−</w:t>
      </w:r>
      <w:r w:rsidRPr="00844E22">
        <w:t xml:space="preserve"> может быть взыскан</w:t>
      </w:r>
      <w:r>
        <w:t xml:space="preserve"> с главы предприятия, владельца</w:t>
      </w:r>
      <w:r w:rsidRPr="00844E22">
        <w:t xml:space="preserve"> предприятия или работодателя, который: 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>преднамеренно исключил из трудовых соглашений или регламентов в полной мере или частично применение положений Кодекса социального обеспечения в ущерб интересам застрахованных лиц или ограничил их свободу в вопросах принятия или выполнения какой-либо почетной функции, возлагаемой на них согласно этому же закону; такие соглаш</w:t>
      </w:r>
      <w:r w:rsidRPr="00844E22">
        <w:t>е</w:t>
      </w:r>
      <w:r w:rsidRPr="00844E22">
        <w:t>ния и регламенты признаются не имеющими юридической силы;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>преднамеренно произвел из заработной платы застрахованных лиц уде</w:t>
      </w:r>
      <w:r w:rsidRPr="00844E22">
        <w:t>р</w:t>
      </w:r>
      <w:r w:rsidRPr="00844E22">
        <w:t>жания, не предусмотренные законом;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>не использовал для целей страхования суммы, удержанные им на основ</w:t>
      </w:r>
      <w:r w:rsidRPr="00844E22">
        <w:t>а</w:t>
      </w:r>
      <w:r w:rsidRPr="00844E22">
        <w:t>нии этого закона из заработной платы лиц, занятых на его предприятии.</w:t>
      </w:r>
    </w:p>
    <w:p w:rsidR="009120A7" w:rsidRPr="00844E22" w:rsidRDefault="009120A7" w:rsidP="009120A7">
      <w:pPr>
        <w:pStyle w:val="SingleTxtGR"/>
      </w:pPr>
      <w:r w:rsidRPr="00844E22">
        <w:t>92.</w:t>
      </w:r>
      <w:r w:rsidRPr="00844E22">
        <w:tab/>
        <w:t>Если в этом последнем случае в действиях виновного лица присутствовал мошеннический или злой умысел, судья наряду с наложением штрафа может назначить наказание в виде тюремного заключения на срок от восьми дней до трех месяцев.</w:t>
      </w:r>
    </w:p>
    <w:p w:rsidR="009120A7" w:rsidRPr="00844E22" w:rsidRDefault="009120A7" w:rsidP="009120A7">
      <w:pPr>
        <w:pStyle w:val="SingleTxtGR"/>
      </w:pPr>
      <w:r w:rsidRPr="00844E22">
        <w:t>93.</w:t>
      </w:r>
      <w:r w:rsidRPr="00844E22">
        <w:tab/>
        <w:t>Стремясь поддерживать и облегчать доступ к социальным правам для м</w:t>
      </w:r>
      <w:r w:rsidRPr="00844E22">
        <w:t>и</w:t>
      </w:r>
      <w:r w:rsidRPr="00844E22">
        <w:t>грантов из третьих стран, прибывающих в Люксембург, правительство пост</w:t>
      </w:r>
      <w:r w:rsidRPr="00844E22">
        <w:t>о</w:t>
      </w:r>
      <w:r w:rsidRPr="00844E22">
        <w:t>янно развивает свои двусторонние отношения путем ведения переговоров по соглашениям о социальном обеспечении со странами, не входящими в Европе</w:t>
      </w:r>
      <w:r w:rsidRPr="00844E22">
        <w:t>й</w:t>
      </w:r>
      <w:r w:rsidRPr="00844E22">
        <w:t>скую экономическую зону. Соглашения такого рода были заключены, в частн</w:t>
      </w:r>
      <w:r w:rsidRPr="00844E22">
        <w:t>о</w:t>
      </w:r>
      <w:r w:rsidRPr="00844E22">
        <w:t>сти, с Боснией и Герцеговиной, Бразилией, Индией, Кабо-Верде, Канадой, М</w:t>
      </w:r>
      <w:r w:rsidRPr="00844E22">
        <w:t>а</w:t>
      </w:r>
      <w:r w:rsidRPr="00844E22">
        <w:t>кедонией, Молдавией, Сербией, Тунисом, Турцией, Хорватией, Черногорией и Чили; в настоящее время ведутся переговоры с Албанией, Аргентиной, Укра</w:t>
      </w:r>
      <w:r w:rsidRPr="00844E22">
        <w:t>и</w:t>
      </w:r>
      <w:r w:rsidRPr="00844E22">
        <w:t>ной, Уругваем и Японией. Соглашение, которое заключено с Марокко, пока н</w:t>
      </w:r>
      <w:r w:rsidRPr="00844E22">
        <w:t>а</w:t>
      </w:r>
      <w:r w:rsidRPr="00844E22">
        <w:t>ходится на этапе его ратификации марокканской стороной. За несколькими и</w:t>
      </w:r>
      <w:r w:rsidRPr="00844E22">
        <w:t>с</w:t>
      </w:r>
      <w:r w:rsidRPr="00844E22">
        <w:t>ключениями эти соглашения применяются без различия по признаку гражда</w:t>
      </w:r>
      <w:r w:rsidRPr="00844E22">
        <w:t>н</w:t>
      </w:r>
      <w:r w:rsidRPr="00844E22">
        <w:t>ства. Все соглашения предусматривают равное обращение с гражданами гос</w:t>
      </w:r>
      <w:r w:rsidRPr="00844E22">
        <w:t>у</w:t>
      </w:r>
      <w:r w:rsidRPr="00844E22">
        <w:t xml:space="preserve">дарств-участников и сохранение приобретенных прав в сфере социального обеспечения, </w:t>
      </w:r>
      <w:r w:rsidR="00FD35CD">
        <w:t>т.е.</w:t>
      </w:r>
      <w:r w:rsidRPr="00844E22">
        <w:t xml:space="preserve"> перевод пенсий и зачет страхового стажа для приобретения пенсионных прав. Кроме того, в некоторых соглашениях регулируется порядок медицинского страхования и страхования от несчастных случаев; в ряде согл</w:t>
      </w:r>
      <w:r w:rsidRPr="00844E22">
        <w:t>а</w:t>
      </w:r>
      <w:r w:rsidRPr="00844E22">
        <w:t>шений предусмотрен взаимный зачет трудового стажа, приобретенного в др</w:t>
      </w:r>
      <w:r w:rsidRPr="00844E22">
        <w:t>у</w:t>
      </w:r>
      <w:r w:rsidRPr="00844E22">
        <w:t>гой стране, для получения права на пособие по безработице, а также учет чл</w:t>
      </w:r>
      <w:r w:rsidRPr="00844E22">
        <w:t>е</w:t>
      </w:r>
      <w:r w:rsidRPr="00844E22">
        <w:t>нов семьи работника, проживающих в другом государстве, для возможного п</w:t>
      </w:r>
      <w:r w:rsidRPr="00844E22">
        <w:t>о</w:t>
      </w:r>
      <w:r w:rsidRPr="00844E22">
        <w:t>вышения суммы пособия по безработице. Такие двусторонние соглашения п</w:t>
      </w:r>
      <w:r w:rsidRPr="00844E22">
        <w:t>о</w:t>
      </w:r>
      <w:r w:rsidRPr="00844E22">
        <w:t>зволяют наладить успешное сотрудничество между учреждениями соответс</w:t>
      </w:r>
      <w:r w:rsidRPr="00844E22">
        <w:t>т</w:t>
      </w:r>
      <w:r w:rsidRPr="00844E22">
        <w:t xml:space="preserve">вующих государств в интересах лиц, деятельность которых регулируется или регулировалась законодательством Люксембурга и страны-партнера. </w:t>
      </w:r>
    </w:p>
    <w:p w:rsidR="009120A7" w:rsidRPr="00844E22" w:rsidRDefault="009120A7" w:rsidP="009120A7">
      <w:pPr>
        <w:pStyle w:val="SingleTxtGR"/>
      </w:pPr>
      <w:r w:rsidRPr="00844E22">
        <w:t>94.</w:t>
      </w:r>
      <w:r w:rsidRPr="00844E22">
        <w:tab/>
        <w:t>Кроме того, постановление ЕС № 123</w:t>
      </w:r>
      <w:r w:rsidR="00FD35CD">
        <w:t>2</w:t>
      </w:r>
      <w:r w:rsidRPr="00844E22">
        <w:t>/2010 от 24 ноября 2010 года ра</w:t>
      </w:r>
      <w:r w:rsidRPr="00844E22">
        <w:t>с</w:t>
      </w:r>
      <w:r w:rsidRPr="00844E22">
        <w:t>пространило сферу действия постановлений Совета Европы № 883/2004 и №</w:t>
      </w:r>
      <w:r>
        <w:t> </w:t>
      </w:r>
      <w:r w:rsidRPr="00844E22">
        <w:t>987/2009 о координации систем социального обеспечения в странах Евр</w:t>
      </w:r>
      <w:r w:rsidRPr="00844E22">
        <w:t>о</w:t>
      </w:r>
      <w:r w:rsidRPr="00844E22">
        <w:t>пейского союза на граждан третьих стран, которые еще не охвачены этими п</w:t>
      </w:r>
      <w:r w:rsidRPr="00844E22">
        <w:t>о</w:t>
      </w:r>
      <w:r w:rsidRPr="00844E22">
        <w:t>становлениями исключительно по причине их гражданства, а также на членов их семей и на их правопреемников, если они на законном основании проживают на территории какого-либо государства-члена и если они находятся в ситуации, обстоятельства которой выходят за рамки одного государства-члена.</w:t>
      </w:r>
    </w:p>
    <w:p w:rsidR="009120A7" w:rsidRPr="00844E22" w:rsidRDefault="009120A7" w:rsidP="009120A7">
      <w:pPr>
        <w:pStyle w:val="SingleTxtGR"/>
      </w:pPr>
      <w:r>
        <w:t>95.</w:t>
      </w:r>
      <w:r>
        <w:tab/>
      </w:r>
      <w:r w:rsidRPr="00844E22">
        <w:t>На долю иностранных работников (постоянно проживающих иностра</w:t>
      </w:r>
      <w:r w:rsidRPr="00844E22">
        <w:t>н</w:t>
      </w:r>
      <w:r w:rsidRPr="00844E22">
        <w:t>цев и жителей приг</w:t>
      </w:r>
      <w:r>
        <w:t>раничных районов) приходится 70</w:t>
      </w:r>
      <w:r w:rsidRPr="00844E22">
        <w:t>% активной наемной р</w:t>
      </w:r>
      <w:r w:rsidRPr="00844E22">
        <w:t>а</w:t>
      </w:r>
      <w:r w:rsidRPr="00844E22">
        <w:t xml:space="preserve">бочей силы Великого Герцогства Люксембург. Законодательство в сфере охраны здоровья и безопасности работников применимо ко всем лицам наемного труда, работающим в Люксембурге, независимо от их происхождения. </w:t>
      </w:r>
    </w:p>
    <w:p w:rsidR="009120A7" w:rsidRPr="00844E22" w:rsidRDefault="009120A7" w:rsidP="009120A7">
      <w:pPr>
        <w:pStyle w:val="SingleTxtGR"/>
      </w:pPr>
      <w:r w:rsidRPr="00844E22">
        <w:t>96.</w:t>
      </w:r>
      <w:r w:rsidRPr="00844E22">
        <w:tab/>
        <w:t>В сферах обучения и информации по вопросам безопасности и гигиены труда, предусмотренных законодательством, используются различные языки бытового общения в Люксембурге (люксембургский, немецкий, французский, английский), благодаря чему учебные занятия на эту тему понятны большинс</w:t>
      </w:r>
      <w:r w:rsidRPr="00844E22">
        <w:t>т</w:t>
      </w:r>
      <w:r w:rsidRPr="00844E22">
        <w:t xml:space="preserve">ву работников, занятых в Люксембурге. </w:t>
      </w:r>
    </w:p>
    <w:p w:rsidR="009120A7" w:rsidRPr="00844E22" w:rsidRDefault="009120A7" w:rsidP="009120A7">
      <w:pPr>
        <w:pStyle w:val="SingleTxtGR"/>
      </w:pPr>
      <w:r w:rsidRPr="00844E22">
        <w:t>97.</w:t>
      </w:r>
      <w:r w:rsidRPr="00844E22">
        <w:tab/>
        <w:t>С 1 января 2011 года вступил в силу Закон от 18 декабря 2009 года об о</w:t>
      </w:r>
      <w:r w:rsidRPr="00844E22">
        <w:t>р</w:t>
      </w:r>
      <w:r w:rsidRPr="00844E22">
        <w:t>ганизации социальной помощи. Статья 4 этого закона гласит, что любое лицо, находящееся в Великом Герцогстве Люксембург, имеет право на получение п</w:t>
      </w:r>
      <w:r w:rsidRPr="00844E22">
        <w:t>о</w:t>
      </w:r>
      <w:r w:rsidRPr="00844E22">
        <w:t xml:space="preserve">мощи согласно действующему законодательству. </w:t>
      </w:r>
    </w:p>
    <w:p w:rsidR="009120A7" w:rsidRPr="00844E22" w:rsidRDefault="009120A7" w:rsidP="009120A7">
      <w:pPr>
        <w:pStyle w:val="SingleTxtGR"/>
      </w:pPr>
      <w:r w:rsidRPr="00844E22">
        <w:t>98.</w:t>
      </w:r>
      <w:r w:rsidRPr="00844E22">
        <w:tab/>
        <w:t xml:space="preserve">Благодаря открытию 30 социальных бюро </w:t>
      </w:r>
      <w:r>
        <w:t>−</w:t>
      </w:r>
      <w:r w:rsidRPr="00844E22">
        <w:t xml:space="preserve"> государственных учрежд</w:t>
      </w:r>
      <w:r w:rsidRPr="00844E22">
        <w:t>е</w:t>
      </w:r>
      <w:r w:rsidRPr="00844E22">
        <w:t xml:space="preserve">ний, действующих под наблюдением коммун, </w:t>
      </w:r>
      <w:r>
        <w:t>−</w:t>
      </w:r>
      <w:r w:rsidRPr="00844E22">
        <w:t xml:space="preserve"> система социального обеспеч</w:t>
      </w:r>
      <w:r w:rsidRPr="00844E22">
        <w:t>е</w:t>
      </w:r>
      <w:r w:rsidRPr="00844E22">
        <w:t>ния была ориентирована на выполнение превентивной функции в целях борьбы против социального отчуждения. Действительно, этот закон не только обесп</w:t>
      </w:r>
      <w:r w:rsidRPr="00844E22">
        <w:t>е</w:t>
      </w:r>
      <w:r w:rsidRPr="00844E22">
        <w:t>чивает нуждающимся лицам и их семьям доступ к товарам и услугам в соотве</w:t>
      </w:r>
      <w:r w:rsidRPr="00844E22">
        <w:t>т</w:t>
      </w:r>
      <w:r w:rsidRPr="00844E22">
        <w:t>ствии с их ситуацией, но и помогает им сохранить или обрести самостоятел</w:t>
      </w:r>
      <w:r w:rsidRPr="00844E22">
        <w:t>ь</w:t>
      </w:r>
      <w:r w:rsidRPr="00844E22">
        <w:t>ность. Эта помощь носит паллиативный, восстановительный или превентивный характер и предоставляется в качестве дополнения к социальным мерам и д</w:t>
      </w:r>
      <w:r w:rsidRPr="00844E22">
        <w:t>е</w:t>
      </w:r>
      <w:r w:rsidRPr="00844E22">
        <w:t>нежным пособиям, предусмотренным другими законами и регулирующими п</w:t>
      </w:r>
      <w:r w:rsidRPr="00844E22">
        <w:t>о</w:t>
      </w:r>
      <w:r w:rsidRPr="00844E22">
        <w:t xml:space="preserve">ложениями, которые бенефициар должен получить в полном объеме. </w:t>
      </w:r>
    </w:p>
    <w:p w:rsidR="009120A7" w:rsidRPr="00844E22" w:rsidRDefault="009120A7" w:rsidP="009120A7">
      <w:pPr>
        <w:pStyle w:val="SingleTxtGR"/>
      </w:pPr>
      <w:r w:rsidRPr="00844E22">
        <w:t>99.</w:t>
      </w:r>
      <w:r w:rsidRPr="00844E22">
        <w:tab/>
        <w:t>Функции социальных бюро заключаются, в частности, в том, чтобы: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>обеспечивать лицам и их семьям помощь, предусмотренную законом;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>предоставлять консультации и информацию и совершать процедуры в ц</w:t>
      </w:r>
      <w:r w:rsidRPr="00844E22">
        <w:t>е</w:t>
      </w:r>
      <w:r w:rsidRPr="00844E22">
        <w:t>лях обеспечения соответствующим лицам мер социальной защиты, мат</w:t>
      </w:r>
      <w:r w:rsidRPr="00844E22">
        <w:t>е</w:t>
      </w:r>
      <w:r w:rsidRPr="00844E22">
        <w:t>риальных и денежных пособий, на которые они могут претендовать в с</w:t>
      </w:r>
      <w:r w:rsidRPr="00844E22">
        <w:t>о</w:t>
      </w:r>
      <w:r w:rsidRPr="00844E22">
        <w:t>ответствии с др</w:t>
      </w:r>
      <w:r w:rsidRPr="00844E22">
        <w:t>у</w:t>
      </w:r>
      <w:r w:rsidRPr="00844E22">
        <w:t>гими законами и регулирующими положениями;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>обеспечивать необходимую социально-просветительскую ориентацию, чтобы позволить им постепенно преодолеть переживаемые трудности;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>содействовать доступу соответствующих лиц к средствам коммуникации и с</w:t>
      </w:r>
      <w:r w:rsidRPr="00844E22">
        <w:t>о</w:t>
      </w:r>
      <w:r w:rsidRPr="00844E22">
        <w:t>циально-культурным мероприятиям;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>предоставлять нуждающимся лицам материальную помощь в наиболее подходящей форме и принимать меры к тому, чтобы срочно дать им пр</w:t>
      </w:r>
      <w:r w:rsidRPr="00844E22">
        <w:t>и</w:t>
      </w:r>
      <w:r w:rsidRPr="00844E22">
        <w:t>ют;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>содействовать вступлению заявителя в систему социального обеспечения;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 xml:space="preserve">ориентировать заявителя на получение тех специализированных услуг, которые в наибольшей степени отвечают его потребностям; 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>побуждать заявителя к принятию любых мер, позволяющих улучшить его п</w:t>
      </w:r>
      <w:r w:rsidRPr="00844E22">
        <w:t>о</w:t>
      </w:r>
      <w:r w:rsidRPr="00844E22">
        <w:t>ложение.</w:t>
      </w:r>
    </w:p>
    <w:p w:rsidR="009120A7" w:rsidRPr="00844E22" w:rsidRDefault="009120A7" w:rsidP="009120A7">
      <w:pPr>
        <w:pStyle w:val="H23GR"/>
      </w:pPr>
      <w:r>
        <w:tab/>
        <w:t>5.</w:t>
      </w:r>
      <w:r>
        <w:tab/>
      </w:r>
      <w:r w:rsidRPr="00844E22">
        <w:t>Право на образование и профессиональную подготовку</w:t>
      </w:r>
    </w:p>
    <w:p w:rsidR="009120A7" w:rsidRPr="00844E22" w:rsidRDefault="009120A7" w:rsidP="00FD35CD">
      <w:pPr>
        <w:pStyle w:val="H4GR"/>
        <w:spacing w:before="240"/>
      </w:pPr>
      <w:r w:rsidRPr="00844E22">
        <w:tab/>
      </w:r>
      <w:r w:rsidRPr="00844E22">
        <w:rPr>
          <w:lang w:val="fr-FR"/>
        </w:rPr>
        <w:t>a</w:t>
      </w:r>
      <w:r w:rsidRPr="00844E22">
        <w:t>)</w:t>
      </w:r>
      <w:r w:rsidRPr="00844E22">
        <w:tab/>
        <w:t xml:space="preserve">Показатели неравенства в уровнях образования и профессиональной </w:t>
      </w:r>
      <w:r w:rsidR="00FD35CD">
        <w:br/>
      </w:r>
      <w:r w:rsidR="00FD35CD">
        <w:tab/>
      </w:r>
      <w:r w:rsidR="00FD35CD">
        <w:tab/>
      </w:r>
      <w:r w:rsidRPr="00844E22">
        <w:t xml:space="preserve">подготовки между членами групп, защищаемых Конвенцией </w:t>
      </w:r>
    </w:p>
    <w:p w:rsidR="009120A7" w:rsidRPr="00844E22" w:rsidRDefault="009120A7" w:rsidP="009120A7">
      <w:pPr>
        <w:pStyle w:val="SingleTxtGR"/>
      </w:pPr>
      <w:r w:rsidRPr="00844E22">
        <w:t>100.</w:t>
      </w:r>
      <w:r w:rsidRPr="00844E22">
        <w:tab/>
        <w:t>Что касается сферы базового образования, то статья 17 Постановления Великого Герцогства от 16 июня 2009 года о порядке организации вводных з</w:t>
      </w:r>
      <w:r w:rsidRPr="00844E22">
        <w:t>а</w:t>
      </w:r>
      <w:r w:rsidRPr="00844E22">
        <w:t>нятий и классов по приему для учащихся, недавно прибывших в страну, пред</w:t>
      </w:r>
      <w:r w:rsidRPr="00844E22">
        <w:t>у</w:t>
      </w:r>
      <w:r w:rsidRPr="00844E22">
        <w:t>сматривает, что государственные органы могут формировать классы по приему при возникновении чрезвычайных потребностей, выходящих за рамки комп</w:t>
      </w:r>
      <w:r w:rsidRPr="00844E22">
        <w:t>е</w:t>
      </w:r>
      <w:r w:rsidRPr="00844E22">
        <w:t>тенции коммун.</w:t>
      </w:r>
    </w:p>
    <w:p w:rsidR="009120A7" w:rsidRPr="00844E22" w:rsidRDefault="009120A7" w:rsidP="009120A7">
      <w:pPr>
        <w:pStyle w:val="SingleTxtGR"/>
      </w:pPr>
      <w:r w:rsidRPr="00844E22">
        <w:t>101.</w:t>
      </w:r>
      <w:r w:rsidRPr="00844E22">
        <w:tab/>
        <w:t xml:space="preserve">В системе посленачального образования существуют </w:t>
      </w:r>
      <w:r>
        <w:t>"</w:t>
      </w:r>
      <w:r w:rsidRPr="00844E22">
        <w:t>приемные классы</w:t>
      </w:r>
      <w:r>
        <w:t>"</w:t>
      </w:r>
      <w:r w:rsidRPr="00844E22">
        <w:t xml:space="preserve">, созданные на основании статьи 9 Закона от 25 июня 2004 года об организации лицеев и технических лицеев. </w:t>
      </w:r>
    </w:p>
    <w:p w:rsidR="009120A7" w:rsidRPr="00844E22" w:rsidRDefault="009120A7" w:rsidP="009120A7">
      <w:pPr>
        <w:pStyle w:val="SingleTxtGR"/>
      </w:pPr>
      <w:r w:rsidRPr="00844E22">
        <w:t>102.</w:t>
      </w:r>
      <w:r w:rsidRPr="00844E22">
        <w:tab/>
        <w:t>С учетом особого положения детей лиц, ищущих международной защиты, в частности рома, для которых характерны неопределенность срока пребывания и низкий уровень школьного образования даже в более старшем возрасте, М</w:t>
      </w:r>
      <w:r w:rsidRPr="00844E22">
        <w:t>и</w:t>
      </w:r>
      <w:r w:rsidRPr="00844E22">
        <w:t>нистерство национального образования и профессионального обучения, рук</w:t>
      </w:r>
      <w:r w:rsidRPr="00844E22">
        <w:t>о</w:t>
      </w:r>
      <w:r w:rsidRPr="00844E22">
        <w:t>водствуясь Директивой 2003/9/</w:t>
      </w:r>
      <w:r w:rsidRPr="00844E22">
        <w:rPr>
          <w:lang w:val="fr-FR"/>
        </w:rPr>
        <w:t>CE</w:t>
      </w:r>
      <w:r w:rsidRPr="00844E22">
        <w:t xml:space="preserve"> Совета Европы от 27 января 2003 года о м</w:t>
      </w:r>
      <w:r w:rsidRPr="00844E22">
        <w:t>и</w:t>
      </w:r>
      <w:r w:rsidRPr="00844E22">
        <w:t>нимальных нормах приема просителей убежища в государствах-членах (ст</w:t>
      </w:r>
      <w:r w:rsidRPr="00844E22">
        <w:t>а</w:t>
      </w:r>
      <w:r w:rsidRPr="00844E22">
        <w:t>тья</w:t>
      </w:r>
      <w:r>
        <w:t> </w:t>
      </w:r>
      <w:r w:rsidRPr="00844E22">
        <w:t>10), наметило два комплекса мер, которые принимаются вне зависимости от того, остаются ли эти дети и подростки в Люксембурге или возвращаются в стр</w:t>
      </w:r>
      <w:r w:rsidRPr="00844E22">
        <w:t>а</w:t>
      </w:r>
      <w:r w:rsidRPr="00844E22">
        <w:t>ну происхождения: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>давать детям по мере возможности чувство стабильности и безопасности и п</w:t>
      </w:r>
      <w:r w:rsidRPr="00844E22">
        <w:t>о</w:t>
      </w:r>
      <w:r w:rsidRPr="00844E22">
        <w:t>зволить им вести обычный детский или подростковый образ жизни;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>обеспечить возможность изучения как минимум одного из языков общ</w:t>
      </w:r>
      <w:r w:rsidRPr="00844E22">
        <w:t>е</w:t>
      </w:r>
      <w:r w:rsidRPr="00844E22">
        <w:t>ния Люксембурга, чтобы позволить им общаться с другими детьми и пр</w:t>
      </w:r>
      <w:r w:rsidRPr="00844E22">
        <w:t>о</w:t>
      </w:r>
      <w:r w:rsidRPr="00844E22">
        <w:t>должать обучение. Владение одним или несколькими иностранными яз</w:t>
      </w:r>
      <w:r w:rsidRPr="00844E22">
        <w:t>ы</w:t>
      </w:r>
      <w:r w:rsidRPr="00844E22">
        <w:t xml:space="preserve">ками является необходимостью для получения школьного образования в Люксембурге, а также преимуществом в случае возвращения в страну происхождения. </w:t>
      </w:r>
    </w:p>
    <w:p w:rsidR="009120A7" w:rsidRPr="00844E22" w:rsidRDefault="009120A7" w:rsidP="00FD35CD">
      <w:pPr>
        <w:pStyle w:val="H4GR"/>
        <w:spacing w:before="240"/>
      </w:pPr>
      <w:r w:rsidRPr="00844E22">
        <w:tab/>
      </w:r>
      <w:r w:rsidRPr="00844E22">
        <w:rPr>
          <w:lang w:val="fr-FR"/>
        </w:rPr>
        <w:t>b</w:t>
      </w:r>
      <w:r w:rsidRPr="00844E22">
        <w:t>)</w:t>
      </w:r>
      <w:r w:rsidRPr="00844E22">
        <w:tab/>
        <w:t>Информация о языках, используемых для общения и преподаваемых в школах</w:t>
      </w:r>
    </w:p>
    <w:p w:rsidR="009120A7" w:rsidRPr="00844E22" w:rsidRDefault="009120A7" w:rsidP="009120A7">
      <w:pPr>
        <w:pStyle w:val="SingleTxtGR"/>
      </w:pPr>
      <w:r w:rsidRPr="00844E22">
        <w:t>103.</w:t>
      </w:r>
      <w:r w:rsidRPr="00844E22">
        <w:tab/>
        <w:t>В статье 7 Закона от 6 февраля 2009 года об организации системы базов</w:t>
      </w:r>
      <w:r w:rsidRPr="00844E22">
        <w:t>о</w:t>
      </w:r>
      <w:r w:rsidRPr="00844E22">
        <w:t>го образования среди целей базового образования указаны привитие и развитие навыков речи, владения люксембургским языком и пробуждение способностей к языкам.</w:t>
      </w:r>
    </w:p>
    <w:p w:rsidR="009120A7" w:rsidRPr="00844E22" w:rsidRDefault="009120A7" w:rsidP="009120A7">
      <w:pPr>
        <w:pStyle w:val="SingleTxtGR"/>
      </w:pPr>
      <w:r w:rsidRPr="00844E22">
        <w:t>104.</w:t>
      </w:r>
      <w:r w:rsidRPr="00844E22">
        <w:tab/>
        <w:t>Для повышения уровня информированности родителей, ищущих межд</w:t>
      </w:r>
      <w:r w:rsidRPr="00844E22">
        <w:t>у</w:t>
      </w:r>
      <w:r w:rsidRPr="00844E22">
        <w:t>народной защиты, которые недавно прибыли в Люксембург, Служба по вопр</w:t>
      </w:r>
      <w:r w:rsidRPr="00844E22">
        <w:t>о</w:t>
      </w:r>
      <w:r w:rsidRPr="00844E22">
        <w:t>сам школьного образования детей-иностранцев предоставляет в их распоряж</w:t>
      </w:r>
      <w:r w:rsidRPr="00844E22">
        <w:t>е</w:t>
      </w:r>
      <w:r w:rsidRPr="00844E22">
        <w:t>ние информационные бюллетени, а также изданные министерством школьные документы, которые переведены, в частности, на сербохорватский язык. Кр</w:t>
      </w:r>
      <w:r w:rsidRPr="00844E22">
        <w:t>о</w:t>
      </w:r>
      <w:r w:rsidRPr="00844E22">
        <w:t>ме того, по запросу могут проводиться целевые информационные собрания для р</w:t>
      </w:r>
      <w:r w:rsidRPr="00844E22">
        <w:t>о</w:t>
      </w:r>
      <w:r w:rsidRPr="00844E22">
        <w:t xml:space="preserve">дителей в присутствии межкультурного посредника. </w:t>
      </w:r>
    </w:p>
    <w:p w:rsidR="009120A7" w:rsidRPr="00844E22" w:rsidRDefault="009120A7" w:rsidP="00FD35CD">
      <w:pPr>
        <w:pStyle w:val="H4GR"/>
        <w:spacing w:before="240"/>
      </w:pPr>
      <w:r w:rsidRPr="00844E22">
        <w:tab/>
      </w:r>
      <w:r w:rsidRPr="00844E22">
        <w:rPr>
          <w:lang w:val="fr-FR"/>
        </w:rPr>
        <w:t>c</w:t>
      </w:r>
      <w:r w:rsidRPr="00844E22">
        <w:t>)</w:t>
      </w:r>
      <w:r w:rsidRPr="00844E22">
        <w:tab/>
        <w:t xml:space="preserve">Описание мер, принятых государственными властями для предупреждения </w:t>
      </w:r>
      <w:r w:rsidR="00FD35CD">
        <w:br/>
      </w:r>
      <w:r w:rsidR="00FD35CD">
        <w:tab/>
      </w:r>
      <w:r w:rsidR="00FD35CD">
        <w:tab/>
      </w:r>
      <w:r w:rsidRPr="00844E22">
        <w:t xml:space="preserve">расовой дискриминации при осуществлении этого права </w:t>
      </w:r>
    </w:p>
    <w:p w:rsidR="009120A7" w:rsidRPr="00844E22" w:rsidRDefault="009120A7" w:rsidP="009120A7">
      <w:pPr>
        <w:pStyle w:val="SingleTxtGR"/>
      </w:pPr>
      <w:r w:rsidRPr="00844E22">
        <w:t>105.</w:t>
      </w:r>
      <w:r w:rsidRPr="00844E22">
        <w:tab/>
        <w:t>Статья 3 Закона от 6 февраля 2009 года об обязательном школьном обр</w:t>
      </w:r>
      <w:r w:rsidRPr="00844E22">
        <w:t>а</w:t>
      </w:r>
      <w:r w:rsidRPr="00844E22">
        <w:t>зовании гласит, что обучение в школе способствует развитию ребенка, его тво</w:t>
      </w:r>
      <w:r w:rsidRPr="00844E22">
        <w:t>р</w:t>
      </w:r>
      <w:r w:rsidRPr="00844E22">
        <w:t>ческих способностей и его уверенности в собственных возможностях. Оно п</w:t>
      </w:r>
      <w:r w:rsidRPr="00844E22">
        <w:t>о</w:t>
      </w:r>
      <w:r w:rsidRPr="00844E22">
        <w:t>зволяет ему повышать уровень общего развития, готовит его к трудовой де</w:t>
      </w:r>
      <w:r w:rsidRPr="00844E22">
        <w:t>я</w:t>
      </w:r>
      <w:r w:rsidRPr="00844E22">
        <w:t>тельности и к исполнению своих гражданских обязанностей в условиях дем</w:t>
      </w:r>
      <w:r w:rsidRPr="00844E22">
        <w:t>о</w:t>
      </w:r>
      <w:r w:rsidRPr="00844E22">
        <w:t>кратического общества. Школа прививает ребенку этические ценности, осн</w:t>
      </w:r>
      <w:r w:rsidRPr="00844E22">
        <w:t>о</w:t>
      </w:r>
      <w:r w:rsidRPr="00844E22">
        <w:t>ванные на Всеобщей декларации прав человека, и убеждает его в необходим</w:t>
      </w:r>
      <w:r w:rsidRPr="00844E22">
        <w:t>о</w:t>
      </w:r>
      <w:r w:rsidRPr="00844E22">
        <w:t>сти уважения равенства между девочками и мальчиками. Она является основой непрерывного образования.</w:t>
      </w:r>
    </w:p>
    <w:p w:rsidR="009120A7" w:rsidRPr="00844E22" w:rsidRDefault="009120A7" w:rsidP="009120A7">
      <w:pPr>
        <w:pStyle w:val="SingleTxtGR"/>
      </w:pPr>
      <w:r w:rsidRPr="00844E22">
        <w:t>106.</w:t>
      </w:r>
      <w:r w:rsidRPr="00844E22">
        <w:tab/>
        <w:t>В достижении этих целей участвует и семья. Для содействия равенству возможностей соответствующие положения предусматривают доступ каждого человека в зависимости от его способностей и конкретны</w:t>
      </w:r>
      <w:r w:rsidR="003C2AF3">
        <w:t>х</w:t>
      </w:r>
      <w:r w:rsidRPr="00844E22">
        <w:t xml:space="preserve"> потребностей к ра</w:t>
      </w:r>
      <w:r w:rsidRPr="00844E22">
        <w:t>з</w:t>
      </w:r>
      <w:r w:rsidRPr="00844E22">
        <w:t xml:space="preserve">личным видам или уровням школьного образования. </w:t>
      </w:r>
    </w:p>
    <w:p w:rsidR="009120A7" w:rsidRPr="00844E22" w:rsidRDefault="009120A7" w:rsidP="009120A7">
      <w:pPr>
        <w:pStyle w:val="SingleTxtGR"/>
      </w:pPr>
      <w:r w:rsidRPr="00844E22">
        <w:t>107.</w:t>
      </w:r>
      <w:r w:rsidRPr="00844E22">
        <w:tab/>
        <w:t>Служба по вопросам школьного образования детей-иностранцев также занимается координацией мер по предоставлению помощи и информации пр</w:t>
      </w:r>
      <w:r w:rsidRPr="00844E22">
        <w:t>е</w:t>
      </w:r>
      <w:r w:rsidRPr="00844E22">
        <w:t>подавателям, обеспечивающих прием вновь прибывших учеников, в том числе детей рома, а также их непрерывную подготовку в зависимости от специфич</w:t>
      </w:r>
      <w:r w:rsidRPr="00844E22">
        <w:t>е</w:t>
      </w:r>
      <w:r w:rsidRPr="00844E22">
        <w:t xml:space="preserve">ских потребностей этих учеников. 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>Информирование преподавателей обеспечивается благодаря публикациям и при необходимости – путем оказания индивидуальной помощи. К числу недавних публикаций относятся:</w:t>
      </w:r>
    </w:p>
    <w:p w:rsidR="009120A7" w:rsidRPr="00844E22" w:rsidRDefault="009120A7" w:rsidP="009120A7">
      <w:pPr>
        <w:pStyle w:val="Bullet2GR"/>
        <w:numPr>
          <w:ilvl w:val="0"/>
          <w:numId w:val="2"/>
        </w:numPr>
      </w:pPr>
      <w:r>
        <w:t>"</w:t>
      </w:r>
      <w:r w:rsidRPr="00844E22">
        <w:t>Привитие языковых навыков в школе: на пути к многоязычию и многокультурности</w:t>
      </w:r>
      <w:r>
        <w:t>"</w:t>
      </w:r>
      <w:r w:rsidRPr="00844E22">
        <w:t xml:space="preserve"> </w:t>
      </w:r>
      <w:r>
        <w:t>−</w:t>
      </w:r>
      <w:r w:rsidRPr="00844E22">
        <w:t xml:space="preserve"> дидактическое издание для преподавателей системы базового образования и ступени, предшествующей сре</w:t>
      </w:r>
      <w:r w:rsidRPr="00844E22">
        <w:t>д</w:t>
      </w:r>
      <w:r w:rsidRPr="00844E22">
        <w:t>нему образованию. В нем изложены теоретические и педагогич</w:t>
      </w:r>
      <w:r w:rsidRPr="00844E22">
        <w:t>е</w:t>
      </w:r>
      <w:r w:rsidRPr="00844E22">
        <w:t>ские соображения, а также целый ряд предложений о практических занятиях в классе.</w:t>
      </w:r>
    </w:p>
    <w:p w:rsidR="009120A7" w:rsidRPr="00844E22" w:rsidRDefault="009120A7" w:rsidP="009120A7">
      <w:pPr>
        <w:pStyle w:val="Bullet2GR"/>
        <w:numPr>
          <w:ilvl w:val="0"/>
          <w:numId w:val="2"/>
        </w:numPr>
      </w:pPr>
      <w:r>
        <w:t>"</w:t>
      </w:r>
      <w:r w:rsidRPr="00844E22">
        <w:t>Wat gelift? Lëtzebuergesch fir déi Jonk</w:t>
      </w:r>
      <w:r>
        <w:t>"</w:t>
      </w:r>
      <w:r w:rsidRPr="00844E22">
        <w:t xml:space="preserve"> </w:t>
      </w:r>
      <w:r>
        <w:t>−</w:t>
      </w:r>
      <w:r w:rsidRPr="00844E22">
        <w:t xml:space="preserve"> дидактическое и метод</w:t>
      </w:r>
      <w:r w:rsidRPr="00844E22">
        <w:t>и</w:t>
      </w:r>
      <w:r w:rsidRPr="00844E22">
        <w:t>ческое пособие по преподаванию люксембургского языка как ин</w:t>
      </w:r>
      <w:r w:rsidRPr="00844E22">
        <w:t>о</w:t>
      </w:r>
      <w:r w:rsidRPr="00844E22">
        <w:t>странного подросткам-иностранцам, недавно прибывшим в Лю</w:t>
      </w:r>
      <w:r w:rsidRPr="00844E22">
        <w:t>к</w:t>
      </w:r>
      <w:r w:rsidRPr="00844E22">
        <w:t>сембург, которое разработано совм</w:t>
      </w:r>
      <w:r w:rsidRPr="00844E22">
        <w:t>е</w:t>
      </w:r>
      <w:r w:rsidRPr="00844E22">
        <w:t>стно с Институтом по вопросам межкультурного общения (Цюрих, Швейцария).</w:t>
      </w:r>
    </w:p>
    <w:p w:rsidR="009120A7" w:rsidRPr="00844E22" w:rsidRDefault="009120A7" w:rsidP="009120A7">
      <w:pPr>
        <w:pStyle w:val="Bullet2GR"/>
        <w:numPr>
          <w:ilvl w:val="0"/>
          <w:numId w:val="2"/>
        </w:numPr>
      </w:pPr>
      <w:r>
        <w:t>"</w:t>
      </w:r>
      <w:r w:rsidRPr="00844E22">
        <w:t>Прием и интеграция: пособие для преподавателей, занимающихся приемом детей, недавно прибывших в страну</w:t>
      </w:r>
      <w:r>
        <w:t>"</w:t>
      </w:r>
      <w:r w:rsidRPr="00844E22">
        <w:t xml:space="preserve"> </w:t>
      </w:r>
      <w:r>
        <w:t>−</w:t>
      </w:r>
      <w:r w:rsidRPr="00844E22">
        <w:t xml:space="preserve"> обновленная р</w:t>
      </w:r>
      <w:r w:rsidRPr="00844E22">
        <w:t>е</w:t>
      </w:r>
      <w:r w:rsidRPr="00844E22">
        <w:t>дакция информационного сборника для педагогов, проводящих з</w:t>
      </w:r>
      <w:r w:rsidRPr="00844E22">
        <w:t>а</w:t>
      </w:r>
      <w:r w:rsidRPr="00844E22">
        <w:t>нятия в классах приема в системе баз</w:t>
      </w:r>
      <w:r w:rsidRPr="00844E22">
        <w:t>о</w:t>
      </w:r>
      <w:r w:rsidRPr="00844E22">
        <w:t>вого образования.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>Непрерывная профессиональная подготовка имеет целью расширить п</w:t>
      </w:r>
      <w:r w:rsidRPr="00844E22">
        <w:t>е</w:t>
      </w:r>
      <w:r w:rsidRPr="00844E22">
        <w:t>дагогический арсенал преподавателей, которым приходится сталкиваться с ростом масштабов разнородности учащихся в их классах, а также со специфическими потребностями их учащихся. Примерами такого рода являются:</w:t>
      </w:r>
    </w:p>
    <w:p w:rsidR="009120A7" w:rsidRPr="00844E22" w:rsidRDefault="009120A7" w:rsidP="009120A7">
      <w:pPr>
        <w:pStyle w:val="Bullet2GR"/>
        <w:numPr>
          <w:ilvl w:val="0"/>
          <w:numId w:val="2"/>
        </w:numPr>
      </w:pPr>
      <w:r w:rsidRPr="00844E22">
        <w:t xml:space="preserve">курс профессиональной подготовки </w:t>
      </w:r>
      <w:r>
        <w:t>"</w:t>
      </w:r>
      <w:r w:rsidRPr="00844E22">
        <w:t>Zusatzqualifikation Deutsch als Zweitsprache</w:t>
      </w:r>
      <w:r>
        <w:t>"</w:t>
      </w:r>
      <w:r w:rsidRPr="00844E22">
        <w:t xml:space="preserve"> для преподавателей системы базового образования;</w:t>
      </w:r>
    </w:p>
    <w:p w:rsidR="009120A7" w:rsidRPr="00844E22" w:rsidRDefault="009120A7" w:rsidP="009120A7">
      <w:pPr>
        <w:pStyle w:val="Bullet2GR"/>
        <w:numPr>
          <w:ilvl w:val="0"/>
          <w:numId w:val="2"/>
        </w:numPr>
      </w:pPr>
      <w:r w:rsidRPr="00844E22">
        <w:t>курс профессиональной подготовки по вопросам выявления сп</w:t>
      </w:r>
      <w:r w:rsidRPr="00844E22">
        <w:t>о</w:t>
      </w:r>
      <w:r w:rsidRPr="00844E22">
        <w:t>собностей к изучению немецкого языка среди учеников, недавно прибывших в страну;</w:t>
      </w:r>
    </w:p>
    <w:p w:rsidR="009120A7" w:rsidRPr="00844E22" w:rsidRDefault="009120A7" w:rsidP="009120A7">
      <w:pPr>
        <w:pStyle w:val="Bullet2GR"/>
        <w:numPr>
          <w:ilvl w:val="0"/>
          <w:numId w:val="2"/>
        </w:numPr>
      </w:pPr>
      <w:r w:rsidRPr="00844E22">
        <w:t>курс профессиональной подготовки по вопросам обучения детей народности рома для преподавателей системы базового образов</w:t>
      </w:r>
      <w:r w:rsidRPr="00844E22">
        <w:t>а</w:t>
      </w:r>
      <w:r w:rsidRPr="00844E22">
        <w:t>ния и руководителей кла</w:t>
      </w:r>
      <w:r w:rsidRPr="00844E22">
        <w:t>с</w:t>
      </w:r>
      <w:r w:rsidRPr="00844E22">
        <w:t>сов по приему системы посленачального образования;</w:t>
      </w:r>
    </w:p>
    <w:p w:rsidR="009120A7" w:rsidRPr="00844E22" w:rsidRDefault="009120A7" w:rsidP="009120A7">
      <w:pPr>
        <w:pStyle w:val="Bullet2GR"/>
        <w:numPr>
          <w:ilvl w:val="0"/>
          <w:numId w:val="2"/>
        </w:numPr>
      </w:pPr>
      <w:r w:rsidRPr="00844E22">
        <w:t>курс профессиональной</w:t>
      </w:r>
      <w:r>
        <w:t xml:space="preserve"> подготовки для преподавателей </w:t>
      </w:r>
      <w:r w:rsidRPr="00844E22">
        <w:t>люксе</w:t>
      </w:r>
      <w:r w:rsidRPr="00844E22">
        <w:t>м</w:t>
      </w:r>
      <w:r w:rsidRPr="00844E22">
        <w:t>бургского языка в классах приема и интеграции в системе послен</w:t>
      </w:r>
      <w:r w:rsidRPr="00844E22">
        <w:t>а</w:t>
      </w:r>
      <w:r w:rsidRPr="00844E22">
        <w:t>чального образования, п</w:t>
      </w:r>
      <w:r w:rsidRPr="00844E22">
        <w:t>о</w:t>
      </w:r>
      <w:r w:rsidRPr="00844E22">
        <w:t xml:space="preserve">священный новой методике обучения </w:t>
      </w:r>
      <w:r>
        <w:t>"</w:t>
      </w:r>
      <w:r w:rsidRPr="00844E22">
        <w:t xml:space="preserve">Wat gelift? </w:t>
      </w:r>
      <w:r>
        <w:t>−</w:t>
      </w:r>
      <w:r w:rsidRPr="00844E22">
        <w:t xml:space="preserve"> Lëtzebuergesch fir déi Jonk</w:t>
      </w:r>
      <w:r>
        <w:t>"</w:t>
      </w:r>
      <w:r w:rsidRPr="00844E22">
        <w:t>;</w:t>
      </w:r>
    </w:p>
    <w:p w:rsidR="009120A7" w:rsidRPr="00844E22" w:rsidRDefault="009120A7" w:rsidP="009120A7">
      <w:pPr>
        <w:pStyle w:val="Bullet2GR"/>
        <w:numPr>
          <w:ilvl w:val="0"/>
          <w:numId w:val="2"/>
        </w:numPr>
      </w:pPr>
      <w:r w:rsidRPr="00844E22">
        <w:t>курс профессиональной подготовки по проблемам дислексии (д</w:t>
      </w:r>
      <w:r w:rsidRPr="00844E22">
        <w:t>и</w:t>
      </w:r>
      <w:r w:rsidRPr="00844E22">
        <w:t>агностирование, реабилитация и наблюдение в классе для вновь прибывших учащихся) для руководителей классов приема в сист</w:t>
      </w:r>
      <w:r w:rsidRPr="00844E22">
        <w:t>е</w:t>
      </w:r>
      <w:r w:rsidRPr="00844E22">
        <w:t>ме посленачального образования.</w:t>
      </w:r>
    </w:p>
    <w:p w:rsidR="009120A7" w:rsidRPr="00844E22" w:rsidRDefault="009120A7" w:rsidP="003C2AF3">
      <w:pPr>
        <w:pStyle w:val="SingleTxtGR"/>
        <w:keepNext/>
        <w:pageBreakBefore/>
      </w:pPr>
      <w:r w:rsidRPr="00844E22">
        <w:t>108.</w:t>
      </w:r>
      <w:r w:rsidRPr="00844E22">
        <w:tab/>
        <w:t>Наконец, право иностранных учащихся на интеграцию в школьную среду предусматривают различные законодательные акты, а именно: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>статья 34 Закона от 6 февраля 2009 года об организации системы базового обр</w:t>
      </w:r>
      <w:r w:rsidRPr="00844E22">
        <w:t>а</w:t>
      </w:r>
      <w:r w:rsidRPr="00844E22">
        <w:t xml:space="preserve">зования </w:t>
      </w:r>
      <w:r w:rsidRPr="003C2AF3">
        <w:rPr>
          <w:spacing w:val="2"/>
        </w:rPr>
        <w:t>(</w:t>
      </w:r>
      <w:r w:rsidRPr="003C2AF3">
        <w:rPr>
          <w:spacing w:val="2"/>
          <w:lang w:val="fr-FR"/>
        </w:rPr>
        <w:t>http</w:t>
      </w:r>
      <w:r w:rsidRPr="003C2AF3">
        <w:rPr>
          <w:spacing w:val="2"/>
        </w:rPr>
        <w:t>://</w:t>
      </w:r>
      <w:r w:rsidRPr="003C2AF3">
        <w:rPr>
          <w:spacing w:val="2"/>
          <w:lang w:val="fr-FR"/>
        </w:rPr>
        <w:t>www</w:t>
      </w:r>
      <w:r w:rsidRPr="003C2AF3">
        <w:rPr>
          <w:spacing w:val="2"/>
        </w:rPr>
        <w:t>.</w:t>
      </w:r>
      <w:r w:rsidRPr="003C2AF3">
        <w:rPr>
          <w:spacing w:val="2"/>
          <w:lang w:val="fr-FR"/>
        </w:rPr>
        <w:t>legilux</w:t>
      </w:r>
      <w:r w:rsidRPr="003C2AF3">
        <w:rPr>
          <w:spacing w:val="2"/>
        </w:rPr>
        <w:t>.</w:t>
      </w:r>
      <w:r w:rsidRPr="003C2AF3">
        <w:rPr>
          <w:spacing w:val="2"/>
          <w:lang w:val="fr-FR"/>
        </w:rPr>
        <w:t>public</w:t>
      </w:r>
      <w:r w:rsidRPr="003C2AF3">
        <w:rPr>
          <w:spacing w:val="2"/>
        </w:rPr>
        <w:t>.</w:t>
      </w:r>
      <w:r w:rsidRPr="003C2AF3">
        <w:rPr>
          <w:spacing w:val="2"/>
          <w:lang w:val="fr-FR"/>
        </w:rPr>
        <w:t>lu</w:t>
      </w:r>
      <w:r w:rsidRPr="003C2AF3">
        <w:rPr>
          <w:spacing w:val="2"/>
        </w:rPr>
        <w:t>/</w:t>
      </w:r>
      <w:r w:rsidRPr="003C2AF3">
        <w:rPr>
          <w:spacing w:val="2"/>
          <w:lang w:val="fr-FR"/>
        </w:rPr>
        <w:t>leg</w:t>
      </w:r>
      <w:r w:rsidRPr="003C2AF3">
        <w:rPr>
          <w:spacing w:val="2"/>
        </w:rPr>
        <w:t>/</w:t>
      </w:r>
      <w:r w:rsidRPr="003C2AF3">
        <w:rPr>
          <w:spacing w:val="2"/>
          <w:lang w:val="fr-FR"/>
        </w:rPr>
        <w:t>a</w:t>
      </w:r>
      <w:r w:rsidRPr="003C2AF3">
        <w:rPr>
          <w:spacing w:val="2"/>
        </w:rPr>
        <w:t>/</w:t>
      </w:r>
      <w:r w:rsidRPr="003C2AF3">
        <w:rPr>
          <w:spacing w:val="2"/>
          <w:lang w:val="fr-FR"/>
        </w:rPr>
        <w:t>archives</w:t>
      </w:r>
      <w:r w:rsidRPr="003C2AF3">
        <w:rPr>
          <w:spacing w:val="2"/>
        </w:rPr>
        <w:t>/2009/0020/</w:t>
      </w:r>
      <w:r w:rsidRPr="003C2AF3">
        <w:rPr>
          <w:spacing w:val="2"/>
          <w:lang w:val="fr-FR"/>
        </w:rPr>
        <w:t>a</w:t>
      </w:r>
      <w:r w:rsidRPr="003C2AF3">
        <w:rPr>
          <w:spacing w:val="2"/>
        </w:rPr>
        <w:t>020.</w:t>
      </w:r>
      <w:r w:rsidRPr="003C2AF3">
        <w:rPr>
          <w:spacing w:val="2"/>
          <w:lang w:val="fr-FR"/>
        </w:rPr>
        <w:t>pdf</w:t>
      </w:r>
      <w:r w:rsidRPr="003C2AF3">
        <w:rPr>
          <w:spacing w:val="2"/>
        </w:rPr>
        <w:t>#</w:t>
      </w:r>
      <w:r w:rsidR="003C2AF3">
        <w:rPr>
          <w:spacing w:val="2"/>
        </w:rPr>
        <w:t xml:space="preserve"> </w:t>
      </w:r>
      <w:r w:rsidRPr="003C2AF3">
        <w:rPr>
          <w:spacing w:val="2"/>
          <w:lang w:val="fr-FR"/>
        </w:rPr>
        <w:t>page</w:t>
      </w:r>
      <w:r w:rsidRPr="003C2AF3">
        <w:rPr>
          <w:spacing w:val="2"/>
        </w:rPr>
        <w:t>=4)</w:t>
      </w:r>
      <w:r w:rsidRPr="00844E22">
        <w:t>;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 xml:space="preserve">Постановление Великого </w:t>
      </w:r>
      <w:r w:rsidR="003C2AF3" w:rsidRPr="00844E22">
        <w:t xml:space="preserve">Герцогства </w:t>
      </w:r>
      <w:r w:rsidRPr="00844E22">
        <w:t>от 16 июня 2009 года о порядке о</w:t>
      </w:r>
      <w:r w:rsidRPr="00844E22">
        <w:t>р</w:t>
      </w:r>
      <w:r w:rsidRPr="00844E22">
        <w:t>ганизации вводных занятий и классов по приему для учащихся, недавно прибывших в страну (</w:t>
      </w:r>
      <w:r w:rsidRPr="00844E22">
        <w:rPr>
          <w:lang w:val="fr-FR"/>
        </w:rPr>
        <w:t>http</w:t>
      </w:r>
      <w:r w:rsidRPr="00844E22">
        <w:t>://</w:t>
      </w:r>
      <w:r w:rsidRPr="00844E22">
        <w:rPr>
          <w:lang w:val="fr-FR"/>
        </w:rPr>
        <w:t>www</w:t>
      </w:r>
      <w:r w:rsidRPr="00844E22">
        <w:t>.</w:t>
      </w:r>
      <w:r w:rsidRPr="00844E22">
        <w:rPr>
          <w:lang w:val="fr-FR"/>
        </w:rPr>
        <w:t>legilux</w:t>
      </w:r>
      <w:r w:rsidRPr="00844E22">
        <w:t>.</w:t>
      </w:r>
      <w:r w:rsidRPr="00844E22">
        <w:rPr>
          <w:lang w:val="fr-FR"/>
        </w:rPr>
        <w:t>public</w:t>
      </w:r>
      <w:r w:rsidRPr="00844E22">
        <w:t>.</w:t>
      </w:r>
      <w:r w:rsidRPr="00844E22">
        <w:rPr>
          <w:lang w:val="fr-FR"/>
        </w:rPr>
        <w:t>lu</w:t>
      </w:r>
      <w:r w:rsidRPr="00844E22">
        <w:t>/</w:t>
      </w:r>
      <w:r w:rsidRPr="00844E22">
        <w:rPr>
          <w:lang w:val="fr-FR"/>
        </w:rPr>
        <w:t>leg</w:t>
      </w:r>
      <w:r w:rsidRPr="00844E22">
        <w:t>/</w:t>
      </w:r>
      <w:r w:rsidRPr="00844E22">
        <w:rPr>
          <w:lang w:val="fr-FR"/>
        </w:rPr>
        <w:t>a</w:t>
      </w:r>
      <w:r w:rsidRPr="00844E22">
        <w:t>/</w:t>
      </w:r>
      <w:r w:rsidRPr="00844E22">
        <w:rPr>
          <w:lang w:val="fr-FR"/>
        </w:rPr>
        <w:t>archives</w:t>
      </w:r>
      <w:r w:rsidRPr="00844E22">
        <w:t>/2009/0144/</w:t>
      </w:r>
      <w:r w:rsidR="003C2AF3">
        <w:t xml:space="preserve"> </w:t>
      </w:r>
      <w:r w:rsidRPr="00844E22">
        <w:rPr>
          <w:lang w:val="fr-FR"/>
        </w:rPr>
        <w:t>a</w:t>
      </w:r>
      <w:r w:rsidRPr="00844E22">
        <w:t>144.</w:t>
      </w:r>
      <w:r w:rsidRPr="00844E22">
        <w:rPr>
          <w:lang w:val="fr-FR"/>
        </w:rPr>
        <w:t>pdf</w:t>
      </w:r>
      <w:r w:rsidRPr="00844E22">
        <w:t>#</w:t>
      </w:r>
      <w:r w:rsidRPr="00844E22">
        <w:rPr>
          <w:lang w:val="fr-FR"/>
        </w:rPr>
        <w:t>page</w:t>
      </w:r>
      <w:r w:rsidRPr="00844E22">
        <w:t>=2);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>статьи 9 и 39 Закона от 25 июня 2004 года об организации лицеев и те</w:t>
      </w:r>
      <w:r w:rsidRPr="00844E22">
        <w:t>х</w:t>
      </w:r>
      <w:r w:rsidRPr="00844E22">
        <w:t>ниче</w:t>
      </w:r>
      <w:r>
        <w:t>ских лицеев</w:t>
      </w:r>
      <w:r w:rsidRPr="00844E22">
        <w:t xml:space="preserve"> </w:t>
      </w:r>
      <w:r w:rsidRPr="003C2AF3">
        <w:rPr>
          <w:spacing w:val="-2"/>
          <w:w w:val="101"/>
        </w:rPr>
        <w:t>(</w:t>
      </w:r>
      <w:r w:rsidRPr="003C2AF3">
        <w:rPr>
          <w:spacing w:val="-2"/>
          <w:w w:val="101"/>
          <w:lang w:val="fr-FR"/>
        </w:rPr>
        <w:t>http</w:t>
      </w:r>
      <w:r w:rsidRPr="003C2AF3">
        <w:rPr>
          <w:spacing w:val="-2"/>
          <w:w w:val="101"/>
        </w:rPr>
        <w:t>://</w:t>
      </w:r>
      <w:r w:rsidRPr="003C2AF3">
        <w:rPr>
          <w:spacing w:val="-2"/>
          <w:w w:val="101"/>
          <w:lang w:val="fr-FR"/>
        </w:rPr>
        <w:t>www</w:t>
      </w:r>
      <w:r w:rsidRPr="003C2AF3">
        <w:rPr>
          <w:spacing w:val="-2"/>
          <w:w w:val="101"/>
        </w:rPr>
        <w:t>.</w:t>
      </w:r>
      <w:r w:rsidRPr="003C2AF3">
        <w:rPr>
          <w:spacing w:val="-2"/>
          <w:w w:val="101"/>
          <w:lang w:val="fr-FR"/>
        </w:rPr>
        <w:t>legilux</w:t>
      </w:r>
      <w:r w:rsidRPr="003C2AF3">
        <w:rPr>
          <w:spacing w:val="-2"/>
          <w:w w:val="101"/>
        </w:rPr>
        <w:t>.</w:t>
      </w:r>
      <w:r w:rsidRPr="003C2AF3">
        <w:rPr>
          <w:spacing w:val="-2"/>
          <w:w w:val="101"/>
          <w:lang w:val="fr-FR"/>
        </w:rPr>
        <w:t>public</w:t>
      </w:r>
      <w:r w:rsidRPr="003C2AF3">
        <w:rPr>
          <w:spacing w:val="-2"/>
          <w:w w:val="101"/>
        </w:rPr>
        <w:t>.</w:t>
      </w:r>
      <w:r w:rsidRPr="003C2AF3">
        <w:rPr>
          <w:spacing w:val="-2"/>
          <w:w w:val="101"/>
          <w:lang w:val="fr-FR"/>
        </w:rPr>
        <w:t>lu</w:t>
      </w:r>
      <w:r w:rsidRPr="003C2AF3">
        <w:rPr>
          <w:spacing w:val="-2"/>
          <w:w w:val="101"/>
        </w:rPr>
        <w:t>/</w:t>
      </w:r>
      <w:r w:rsidRPr="003C2AF3">
        <w:rPr>
          <w:spacing w:val="-2"/>
          <w:w w:val="101"/>
          <w:lang w:val="fr-FR"/>
        </w:rPr>
        <w:t>leg</w:t>
      </w:r>
      <w:r w:rsidRPr="003C2AF3">
        <w:rPr>
          <w:spacing w:val="-2"/>
          <w:w w:val="101"/>
        </w:rPr>
        <w:t>/</w:t>
      </w:r>
      <w:r w:rsidRPr="003C2AF3">
        <w:rPr>
          <w:spacing w:val="-2"/>
          <w:w w:val="101"/>
          <w:lang w:val="fr-FR"/>
        </w:rPr>
        <w:t>a</w:t>
      </w:r>
      <w:r w:rsidRPr="003C2AF3">
        <w:rPr>
          <w:spacing w:val="-2"/>
          <w:w w:val="101"/>
        </w:rPr>
        <w:t>/</w:t>
      </w:r>
      <w:r w:rsidRPr="003C2AF3">
        <w:rPr>
          <w:spacing w:val="-2"/>
          <w:w w:val="101"/>
          <w:lang w:val="fr-FR"/>
        </w:rPr>
        <w:t>archives</w:t>
      </w:r>
      <w:r w:rsidRPr="003C2AF3">
        <w:rPr>
          <w:spacing w:val="-2"/>
          <w:w w:val="101"/>
        </w:rPr>
        <w:t>/2004/0126/</w:t>
      </w:r>
      <w:r w:rsidRPr="003C2AF3">
        <w:rPr>
          <w:spacing w:val="-2"/>
          <w:w w:val="101"/>
          <w:lang w:val="fr-FR"/>
        </w:rPr>
        <w:t>a</w:t>
      </w:r>
      <w:r w:rsidRPr="003C2AF3">
        <w:rPr>
          <w:spacing w:val="-2"/>
          <w:w w:val="101"/>
        </w:rPr>
        <w:t>126.</w:t>
      </w:r>
      <w:r w:rsidRPr="003C2AF3">
        <w:rPr>
          <w:spacing w:val="-2"/>
          <w:w w:val="101"/>
          <w:lang w:val="fr-FR"/>
        </w:rPr>
        <w:t>pdf</w:t>
      </w:r>
      <w:r w:rsidRPr="003C2AF3">
        <w:rPr>
          <w:spacing w:val="-2"/>
          <w:w w:val="101"/>
        </w:rPr>
        <w:t>#</w:t>
      </w:r>
      <w:r w:rsidR="003C2AF3" w:rsidRPr="003C2AF3">
        <w:rPr>
          <w:spacing w:val="-2"/>
          <w:w w:val="101"/>
        </w:rPr>
        <w:t xml:space="preserve"> </w:t>
      </w:r>
      <w:r w:rsidRPr="00061F10">
        <w:rPr>
          <w:spacing w:val="-2"/>
          <w:lang w:val="fr-FR"/>
        </w:rPr>
        <w:t>page</w:t>
      </w:r>
      <w:r w:rsidRPr="00061F10">
        <w:rPr>
          <w:spacing w:val="-2"/>
        </w:rPr>
        <w:t>=2)</w:t>
      </w:r>
      <w:r w:rsidRPr="00844E22">
        <w:t>;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>доступ несовершеннолетних просителей убежища к профессиональному обучению определен в Постановлении Великого Герцогства от 21 июля 2006 года об условиях доступа лиц, ищущих международной защиты, к профессиональному обучению, предусмо</w:t>
      </w:r>
      <w:r w:rsidR="000F11C3">
        <w:t>тренному статьей 14 Закона от 5 </w:t>
      </w:r>
      <w:r w:rsidRPr="00844E22">
        <w:t xml:space="preserve">мая 2006 года о праве на убежище и </w:t>
      </w:r>
      <w:r w:rsidR="000F11C3">
        <w:t xml:space="preserve">на дополнительные формы защиты </w:t>
      </w:r>
      <w:r w:rsidRPr="00844E22">
        <w:t>(</w:t>
      </w:r>
      <w:hyperlink r:id="rId8" w:history="1">
        <w:r w:rsidRPr="00061F10">
          <w:rPr>
            <w:rStyle w:val="Hyperlink"/>
            <w:u w:val="none"/>
            <w:lang w:val="fr-FR"/>
          </w:rPr>
          <w:t>http</w:t>
        </w:r>
        <w:r w:rsidRPr="00061F10">
          <w:rPr>
            <w:rStyle w:val="Hyperlink"/>
            <w:u w:val="none"/>
          </w:rPr>
          <w:t>://</w:t>
        </w:r>
        <w:r w:rsidRPr="00061F10">
          <w:rPr>
            <w:rStyle w:val="Hyperlink"/>
            <w:u w:val="none"/>
            <w:lang w:val="fr-FR"/>
          </w:rPr>
          <w:t>www</w:t>
        </w:r>
        <w:r w:rsidRPr="00061F10">
          <w:rPr>
            <w:rStyle w:val="Hyperlink"/>
            <w:u w:val="none"/>
          </w:rPr>
          <w:t>.</w:t>
        </w:r>
        <w:r w:rsidRPr="00061F10">
          <w:rPr>
            <w:rStyle w:val="Hyperlink"/>
            <w:u w:val="none"/>
            <w:lang w:val="fr-FR"/>
          </w:rPr>
          <w:t>legilux</w:t>
        </w:r>
        <w:r w:rsidRPr="00061F10">
          <w:rPr>
            <w:rStyle w:val="Hyperlink"/>
            <w:u w:val="none"/>
          </w:rPr>
          <w:t>.</w:t>
        </w:r>
        <w:r w:rsidRPr="00061F10">
          <w:rPr>
            <w:rStyle w:val="Hyperlink"/>
            <w:u w:val="none"/>
            <w:lang w:val="fr-FR"/>
          </w:rPr>
          <w:t>public</w:t>
        </w:r>
      </w:hyperlink>
      <w:r w:rsidRPr="00061F10">
        <w:t>.</w:t>
      </w:r>
      <w:r w:rsidRPr="00061F10">
        <w:rPr>
          <w:lang w:val="fr-FR"/>
        </w:rPr>
        <w:t>lu</w:t>
      </w:r>
      <w:r w:rsidRPr="00061F10">
        <w:t>/</w:t>
      </w:r>
      <w:r w:rsidRPr="00061F10">
        <w:rPr>
          <w:lang w:val="fr-FR"/>
        </w:rPr>
        <w:t>leg</w:t>
      </w:r>
      <w:r w:rsidRPr="00061F10">
        <w:t>/</w:t>
      </w:r>
      <w:r>
        <w:t xml:space="preserve"> </w:t>
      </w:r>
      <w:r w:rsidRPr="00061F10">
        <w:rPr>
          <w:lang w:val="fr-FR"/>
        </w:rPr>
        <w:t>a</w:t>
      </w:r>
      <w:r w:rsidRPr="00061F10">
        <w:t>/</w:t>
      </w:r>
      <w:r w:rsidRPr="00061F10">
        <w:rPr>
          <w:lang w:val="fr-FR"/>
        </w:rPr>
        <w:t>archives</w:t>
      </w:r>
      <w:r w:rsidRPr="00061F10">
        <w:t>/2006/0131/</w:t>
      </w:r>
      <w:r w:rsidRPr="00061F10">
        <w:rPr>
          <w:lang w:val="fr-FR"/>
        </w:rPr>
        <w:t>a</w:t>
      </w:r>
      <w:r w:rsidRPr="00061F10">
        <w:t>131.</w:t>
      </w:r>
      <w:r w:rsidRPr="00061F10">
        <w:rPr>
          <w:lang w:val="fr-FR"/>
        </w:rPr>
        <w:t>pdf</w:t>
      </w:r>
      <w:r w:rsidRPr="00061F10">
        <w:t>#</w:t>
      </w:r>
      <w:r w:rsidRPr="00061F10">
        <w:rPr>
          <w:lang w:val="fr-FR"/>
        </w:rPr>
        <w:t>page</w:t>
      </w:r>
      <w:r w:rsidRPr="00061F10">
        <w:t>=3</w:t>
      </w:r>
      <w:r w:rsidRPr="00844E22">
        <w:t>).</w:t>
      </w:r>
    </w:p>
    <w:p w:rsidR="009120A7" w:rsidRPr="00844E22" w:rsidRDefault="009120A7" w:rsidP="009120A7">
      <w:pPr>
        <w:pStyle w:val="H23GR"/>
      </w:pPr>
      <w:r>
        <w:tab/>
        <w:t>6.</w:t>
      </w:r>
      <w:r>
        <w:tab/>
      </w:r>
      <w:r w:rsidRPr="00844E22">
        <w:t>Право на равное участие в культурной жизни</w:t>
      </w:r>
    </w:p>
    <w:p w:rsidR="009120A7" w:rsidRPr="00844E22" w:rsidRDefault="009120A7" w:rsidP="009120A7">
      <w:pPr>
        <w:pStyle w:val="SingleTxtGR"/>
      </w:pPr>
      <w:r w:rsidRPr="00844E22">
        <w:t>109.</w:t>
      </w:r>
      <w:r w:rsidRPr="00844E22">
        <w:tab/>
        <w:t>Принцип, на котором основана деятельность Министерства культуры, з</w:t>
      </w:r>
      <w:r w:rsidRPr="00844E22">
        <w:t>а</w:t>
      </w:r>
      <w:r w:rsidRPr="00844E22">
        <w:t>ключается в уважении разнообразия культурной самобытности отдельных лиц и общин, находящихся на люксембургской территории. Поскольку Люксембург – многоязычная и многокультурная страна, поощрение культурного разнообразия является неотъемлемой частью его политических устремлений, особенно в о</w:t>
      </w:r>
      <w:r w:rsidRPr="00844E22">
        <w:t>б</w:t>
      </w:r>
      <w:r w:rsidRPr="00844E22">
        <w:t>ласти культуры. В самом деле, культурное разнообразие – это реальность п</w:t>
      </w:r>
      <w:r w:rsidRPr="00844E22">
        <w:t>о</w:t>
      </w:r>
      <w:r w:rsidRPr="00844E22">
        <w:t>вседневной жизни страны: примерно 43% ее населения составляют лица ин</w:t>
      </w:r>
      <w:r w:rsidRPr="00844E22">
        <w:t>о</w:t>
      </w:r>
      <w:r w:rsidRPr="00844E22">
        <w:t>странного происхождения. Таким образом, проведение в жизнь принципа мн</w:t>
      </w:r>
      <w:r w:rsidRPr="00844E22">
        <w:t>о</w:t>
      </w:r>
      <w:r w:rsidRPr="00844E22">
        <w:t>гокультурности страны наряду с укреплением ее собственной культурной сам</w:t>
      </w:r>
      <w:r w:rsidRPr="00844E22">
        <w:t>о</w:t>
      </w:r>
      <w:r w:rsidRPr="00844E22">
        <w:t>бытности является главным инструментом недопущения любых форм дискр</w:t>
      </w:r>
      <w:r w:rsidRPr="00844E22">
        <w:t>и</w:t>
      </w:r>
      <w:r w:rsidRPr="00844E22">
        <w:t>минации и борьбы с ними, причем не только в культурной сфере. В то же время нужно обеспечивать, чтобы культурное разнообразие не ущемляло или не огр</w:t>
      </w:r>
      <w:r w:rsidRPr="00844E22">
        <w:t>а</w:t>
      </w:r>
      <w:r w:rsidRPr="00844E22">
        <w:t>ничивало основные права других лиц или общин, проживающих в Люксембу</w:t>
      </w:r>
      <w:r w:rsidRPr="00844E22">
        <w:t>р</w:t>
      </w:r>
      <w:r w:rsidRPr="00844E22">
        <w:t>ге.</w:t>
      </w:r>
    </w:p>
    <w:p w:rsidR="009120A7" w:rsidRPr="00844E22" w:rsidRDefault="009120A7" w:rsidP="009120A7">
      <w:pPr>
        <w:pStyle w:val="SingleTxtGR"/>
      </w:pPr>
      <w:r w:rsidRPr="00844E22">
        <w:t>110.</w:t>
      </w:r>
      <w:r w:rsidRPr="00844E22">
        <w:tab/>
        <w:t>Опираясь на базовые принципы осуществления Международного пакта об экономических, социальных и культурных правах, министр культуры счит</w:t>
      </w:r>
      <w:r w:rsidRPr="00844E22">
        <w:t>а</w:t>
      </w:r>
      <w:r w:rsidRPr="00844E22">
        <w:t>ет, что гарантирование права каждого человека на участие в культурной жизни предполагает три взаимозависимых аспекта: участие, доступ и вклад в культу</w:t>
      </w:r>
      <w:r w:rsidRPr="00844E22">
        <w:t>р</w:t>
      </w:r>
      <w:r w:rsidRPr="00844E22">
        <w:t xml:space="preserve">ную жизнь. </w:t>
      </w:r>
    </w:p>
    <w:p w:rsidR="009120A7" w:rsidRPr="00844E22" w:rsidRDefault="009120A7" w:rsidP="009120A7">
      <w:pPr>
        <w:pStyle w:val="SingleTxtGR"/>
      </w:pPr>
      <w:r w:rsidRPr="00844E22">
        <w:t>111.</w:t>
      </w:r>
      <w:r w:rsidRPr="00844E22">
        <w:tab/>
        <w:t>В этой связи нужно в первую очередь выделить основные демократич</w:t>
      </w:r>
      <w:r w:rsidRPr="00844E22">
        <w:t>е</w:t>
      </w:r>
      <w:r w:rsidRPr="00844E22">
        <w:t>ские принципы, согласно которым каждый человек имеет право действовать свободно, придерживаться своих культурных традиций, развивать средства культурного самовыражения и творчества, разделять их с другими и т.д.</w:t>
      </w:r>
    </w:p>
    <w:p w:rsidR="009120A7" w:rsidRPr="00844E22" w:rsidRDefault="009120A7" w:rsidP="009120A7">
      <w:pPr>
        <w:pStyle w:val="SingleTxtGR"/>
      </w:pPr>
      <w:r w:rsidRPr="00844E22">
        <w:t>112.</w:t>
      </w:r>
      <w:r w:rsidRPr="00844E22">
        <w:tab/>
        <w:t>Люксембург предпринимает позитивные меры и в этих областях, орие</w:t>
      </w:r>
      <w:r w:rsidRPr="00844E22">
        <w:t>н</w:t>
      </w:r>
      <w:r w:rsidRPr="00844E22">
        <w:t xml:space="preserve">тируясь на цели в культурной сфере, изложенные в заявлении правительства от 29 июля 2009 года, которое, в частности, гласит, что </w:t>
      </w:r>
      <w:r>
        <w:t>"</w:t>
      </w:r>
      <w:r w:rsidRPr="00844E22">
        <w:t>доступ к культуре являе</w:t>
      </w:r>
      <w:r w:rsidRPr="00844E22">
        <w:t>т</w:t>
      </w:r>
      <w:r w:rsidRPr="00844E22">
        <w:t>ся одним из основных прав</w:t>
      </w:r>
      <w:r>
        <w:t>"</w:t>
      </w:r>
      <w:r w:rsidRPr="00844E22">
        <w:t xml:space="preserve">, учитывая, что </w:t>
      </w:r>
      <w:r>
        <w:t>"</w:t>
      </w:r>
      <w:r w:rsidRPr="00844E22">
        <w:t>культура как источник ценностей представляет собой фактор интеграции и способствует единению нашего общ</w:t>
      </w:r>
      <w:r w:rsidRPr="00844E22">
        <w:t>е</w:t>
      </w:r>
      <w:r w:rsidRPr="00844E22">
        <w:t>ства</w:t>
      </w:r>
      <w:r>
        <w:t>"</w:t>
      </w:r>
      <w:r w:rsidRPr="00844E22">
        <w:t xml:space="preserve">. </w:t>
      </w:r>
    </w:p>
    <w:p w:rsidR="009120A7" w:rsidRPr="00844E22" w:rsidRDefault="009120A7" w:rsidP="009120A7">
      <w:pPr>
        <w:pStyle w:val="SingleTxtGR"/>
      </w:pPr>
      <w:r w:rsidRPr="00844E22">
        <w:t>113.</w:t>
      </w:r>
      <w:r w:rsidRPr="00844E22">
        <w:tab/>
        <w:t>В соответствии с этими приоритетами и основными направлениями Лю</w:t>
      </w:r>
      <w:r w:rsidRPr="00844E22">
        <w:t>к</w:t>
      </w:r>
      <w:r w:rsidRPr="00844E22">
        <w:t>сембург, в частности, расширил условия для свободного и равного доступа всех лиц к культурным ресурсам, непосредственно выделив при этом районы, для которых была выработана политика активизации культурной жизни на местном уровне. С другой стороны, он принимает меры для обеспечения разнообразия культурных мероприятий и услуг в сфере культуры, причем не только через комплекс государственных культурных учреждений, действующих под эгидой Министерства культуры, активизируя их взаимодействие с организациями а</w:t>
      </w:r>
      <w:r w:rsidRPr="00844E22">
        <w:t>с</w:t>
      </w:r>
      <w:r w:rsidRPr="00844E22">
        <w:t>социативного и частного секторов, но и через оказание финансовой помощи ц</w:t>
      </w:r>
      <w:r w:rsidRPr="00844E22">
        <w:t>е</w:t>
      </w:r>
      <w:r w:rsidRPr="00844E22">
        <w:t>лому ряду ассоциаций в сфере культуры и творчества, не проводя при этом н</w:t>
      </w:r>
      <w:r w:rsidRPr="00844E22">
        <w:t>и</w:t>
      </w:r>
      <w:r w:rsidRPr="00844E22">
        <w:t xml:space="preserve">каких различий по дискриминационным признакам. </w:t>
      </w:r>
    </w:p>
    <w:p w:rsidR="009120A7" w:rsidRPr="00844E22" w:rsidRDefault="009120A7" w:rsidP="009120A7">
      <w:pPr>
        <w:pStyle w:val="SingleTxtGR"/>
      </w:pPr>
      <w:r w:rsidRPr="00844E22">
        <w:t>114.</w:t>
      </w:r>
      <w:r w:rsidRPr="00844E22">
        <w:tab/>
        <w:t>Кроме того, особое внимание уделяется молодежи и обеспечению ее представителям равного доступа к художественным и культурным мероприят</w:t>
      </w:r>
      <w:r w:rsidRPr="00844E22">
        <w:t>и</w:t>
      </w:r>
      <w:r w:rsidRPr="00844E22">
        <w:t>ям. Этот же принцип недискриминации заложен в основу усилий по развитию художественного творчества и выявлению новых деятелей искусства и новых форм культурного и творческого самовыражения. К числу приоритетов этой деятельности также относится развитие новых способов распространения кул</w:t>
      </w:r>
      <w:r w:rsidRPr="00844E22">
        <w:t>ь</w:t>
      </w:r>
      <w:r w:rsidRPr="00844E22">
        <w:t>турного содержания для обеспечения его всеобщей доступности, прежде всего цифровых технологий.</w:t>
      </w:r>
    </w:p>
    <w:p w:rsidR="009120A7" w:rsidRPr="00844E22" w:rsidRDefault="009120A7" w:rsidP="009120A7">
      <w:pPr>
        <w:pStyle w:val="SingleTxtGR"/>
      </w:pPr>
      <w:r w:rsidRPr="00844E22">
        <w:t>115.</w:t>
      </w:r>
      <w:r w:rsidRPr="00844E22">
        <w:tab/>
        <w:t>Еще одной целью является проведение к 2014 году Форума культур – платформы, предназначенной для более широкой популяризации культурного разнообразия Люксембурга и создания условий для подлинно объединяющего творческого обмена путем обеспечения встреч между деятелями культуры, а также между иностранцами и люксембуржцами, в частности для налаживания межкультурного диалога.</w:t>
      </w:r>
    </w:p>
    <w:p w:rsidR="009120A7" w:rsidRPr="00844E22" w:rsidRDefault="009120A7" w:rsidP="009120A7">
      <w:pPr>
        <w:pStyle w:val="H23GR"/>
      </w:pPr>
      <w:r>
        <w:tab/>
        <w:t>7.</w:t>
      </w:r>
      <w:r>
        <w:tab/>
      </w:r>
      <w:r w:rsidRPr="00844E22">
        <w:t>Право на доступ к любому месту, предназначенному для обществе</w:t>
      </w:r>
      <w:r w:rsidRPr="00844E22">
        <w:t>н</w:t>
      </w:r>
      <w:r w:rsidRPr="00844E22">
        <w:t>ного пользования</w:t>
      </w:r>
      <w:r w:rsidRPr="006A2C5A">
        <w:rPr>
          <w:b w:val="0"/>
          <w:sz w:val="18"/>
          <w:szCs w:val="18"/>
          <w:vertAlign w:val="superscript"/>
          <w:lang w:val="fr-FR"/>
        </w:rPr>
        <w:footnoteReference w:id="8"/>
      </w:r>
    </w:p>
    <w:p w:rsidR="009120A7" w:rsidRPr="00844E22" w:rsidRDefault="009120A7" w:rsidP="00047CC9">
      <w:pPr>
        <w:pStyle w:val="H4GR"/>
        <w:spacing w:before="240"/>
      </w:pPr>
      <w:r w:rsidRPr="00844E22">
        <w:tab/>
      </w:r>
      <w:r w:rsidRPr="00844E22">
        <w:tab/>
        <w:t>Информация, полученная от жертв или от потенциаль</w:t>
      </w:r>
      <w:r>
        <w:t xml:space="preserve">ных жертв </w:t>
      </w:r>
      <w:r w:rsidR="00047CC9">
        <w:br/>
      </w:r>
      <w:r w:rsidR="00047CC9">
        <w:tab/>
      </w:r>
      <w:r w:rsidR="00047CC9">
        <w:tab/>
      </w:r>
      <w:r>
        <w:t>расовой дискриминации</w:t>
      </w:r>
    </w:p>
    <w:p w:rsidR="009120A7" w:rsidRPr="00844E22" w:rsidRDefault="009120A7" w:rsidP="009120A7">
      <w:pPr>
        <w:pStyle w:val="SingleTxtGR"/>
      </w:pPr>
      <w:r w:rsidRPr="00844E22">
        <w:t>116.</w:t>
      </w:r>
      <w:r w:rsidRPr="00844E22">
        <w:tab/>
        <w:t>В этой связи см. доклады о деятельности Центра по вопросам равного обращения (</w:t>
      </w:r>
      <w:r w:rsidRPr="00844E22">
        <w:rPr>
          <w:lang w:val="fr-FR"/>
        </w:rPr>
        <w:t>http</w:t>
      </w:r>
      <w:r w:rsidRPr="00844E22">
        <w:t>://</w:t>
      </w:r>
      <w:r w:rsidRPr="00844E22">
        <w:rPr>
          <w:lang w:val="fr-FR"/>
        </w:rPr>
        <w:t>cet</w:t>
      </w:r>
      <w:r w:rsidRPr="00844E22">
        <w:t>.</w:t>
      </w:r>
      <w:r w:rsidRPr="00844E22">
        <w:rPr>
          <w:lang w:val="fr-FR"/>
        </w:rPr>
        <w:t>lu</w:t>
      </w:r>
      <w:r w:rsidRPr="00844E22">
        <w:t>/</w:t>
      </w:r>
      <w:r w:rsidRPr="00844E22">
        <w:rPr>
          <w:lang w:val="fr-FR"/>
        </w:rPr>
        <w:t>category</w:t>
      </w:r>
      <w:r w:rsidRPr="00844E22">
        <w:t>/</w:t>
      </w:r>
      <w:r w:rsidRPr="00844E22">
        <w:rPr>
          <w:lang w:val="fr-FR"/>
        </w:rPr>
        <w:t>publications</w:t>
      </w:r>
      <w:r w:rsidRPr="00844E22">
        <w:t>/).</w:t>
      </w:r>
    </w:p>
    <w:p w:rsidR="009120A7" w:rsidRPr="00844E22" w:rsidRDefault="009120A7" w:rsidP="009120A7">
      <w:pPr>
        <w:pStyle w:val="HChGR"/>
      </w:pPr>
      <w:r>
        <w:tab/>
      </w:r>
      <w:r>
        <w:tab/>
      </w:r>
      <w:r w:rsidRPr="00844E22">
        <w:t>Статья 6</w:t>
      </w:r>
    </w:p>
    <w:p w:rsidR="009120A7" w:rsidRPr="00844E22" w:rsidRDefault="009120A7" w:rsidP="009120A7">
      <w:pPr>
        <w:pStyle w:val="H1GR"/>
      </w:pPr>
      <w:r>
        <w:tab/>
      </w:r>
      <w:r w:rsidR="000F11C3">
        <w:t>А.</w:t>
      </w:r>
      <w:r>
        <w:tab/>
      </w:r>
      <w:r w:rsidRPr="00844E22">
        <w:t>Информация о законодательных, судебных, административных или иных мерах, обеспечивающих осуществление положений статьи 6 Конвенции</w:t>
      </w:r>
    </w:p>
    <w:p w:rsidR="009120A7" w:rsidRPr="00844E22" w:rsidRDefault="009120A7" w:rsidP="009120A7">
      <w:pPr>
        <w:pStyle w:val="SingleTxtGR"/>
      </w:pPr>
      <w:r w:rsidRPr="00844E22">
        <w:t>117.</w:t>
      </w:r>
      <w:r w:rsidRPr="00844E22">
        <w:tab/>
        <w:t>Количество обвинительных приговоров по делам о расовой дискримин</w:t>
      </w:r>
      <w:r w:rsidRPr="00844E22">
        <w:t>а</w:t>
      </w:r>
      <w:r w:rsidRPr="00844E22">
        <w:t>ции:</w:t>
      </w:r>
    </w:p>
    <w:p w:rsidR="009120A7" w:rsidRPr="00564E46" w:rsidRDefault="009120A7" w:rsidP="009120A7">
      <w:pPr>
        <w:pStyle w:val="SingleTxtGR"/>
      </w:pPr>
      <w:r>
        <w:tab/>
      </w:r>
      <w:r w:rsidRPr="00564E46">
        <w:t>2005</w:t>
      </w:r>
      <w:r w:rsidRPr="00844E22">
        <w:t xml:space="preserve"> год </w:t>
      </w:r>
      <w:r>
        <w:t>−</w:t>
      </w:r>
      <w:r w:rsidRPr="00844E22">
        <w:t xml:space="preserve"> </w:t>
      </w:r>
      <w:r w:rsidRPr="00564E46">
        <w:t>4</w:t>
      </w:r>
    </w:p>
    <w:p w:rsidR="009120A7" w:rsidRPr="00564E46" w:rsidRDefault="009120A7" w:rsidP="009120A7">
      <w:pPr>
        <w:pStyle w:val="SingleTxtGR"/>
      </w:pPr>
      <w:r>
        <w:tab/>
      </w:r>
      <w:r w:rsidRPr="00564E46">
        <w:t>2006</w:t>
      </w:r>
      <w:r w:rsidRPr="00844E22">
        <w:t xml:space="preserve"> год </w:t>
      </w:r>
      <w:r>
        <w:t>−</w:t>
      </w:r>
      <w:r w:rsidRPr="00844E22">
        <w:t xml:space="preserve"> 0</w:t>
      </w:r>
    </w:p>
    <w:p w:rsidR="009120A7" w:rsidRPr="00564E46" w:rsidRDefault="009120A7" w:rsidP="009120A7">
      <w:pPr>
        <w:pStyle w:val="SingleTxtGR"/>
      </w:pPr>
      <w:r>
        <w:tab/>
      </w:r>
      <w:r w:rsidRPr="00564E46">
        <w:t>2007</w:t>
      </w:r>
      <w:r w:rsidRPr="00844E22">
        <w:t xml:space="preserve"> год </w:t>
      </w:r>
      <w:r>
        <w:t>−</w:t>
      </w:r>
      <w:r w:rsidRPr="00844E22">
        <w:t xml:space="preserve"> 3</w:t>
      </w:r>
    </w:p>
    <w:p w:rsidR="009120A7" w:rsidRPr="00564E46" w:rsidRDefault="009120A7" w:rsidP="009120A7">
      <w:pPr>
        <w:pStyle w:val="SingleTxtGR"/>
      </w:pPr>
      <w:r>
        <w:tab/>
      </w:r>
      <w:r w:rsidRPr="00564E46">
        <w:t>2008</w:t>
      </w:r>
      <w:r w:rsidRPr="00844E22">
        <w:t xml:space="preserve"> год </w:t>
      </w:r>
      <w:r>
        <w:t>−</w:t>
      </w:r>
      <w:r w:rsidRPr="00844E22">
        <w:t xml:space="preserve"> </w:t>
      </w:r>
      <w:r w:rsidRPr="00564E46">
        <w:t>1</w:t>
      </w:r>
    </w:p>
    <w:p w:rsidR="009120A7" w:rsidRPr="00564E46" w:rsidRDefault="009120A7" w:rsidP="009120A7">
      <w:pPr>
        <w:pStyle w:val="SingleTxtGR"/>
      </w:pPr>
      <w:r>
        <w:tab/>
      </w:r>
      <w:r w:rsidRPr="00564E46">
        <w:t>2009</w:t>
      </w:r>
      <w:r w:rsidRPr="00844E22">
        <w:t xml:space="preserve"> год </w:t>
      </w:r>
      <w:r>
        <w:t>−</w:t>
      </w:r>
      <w:r w:rsidRPr="00844E22">
        <w:t xml:space="preserve"> 1</w:t>
      </w:r>
    </w:p>
    <w:p w:rsidR="009120A7" w:rsidRPr="00564E46" w:rsidRDefault="009120A7" w:rsidP="009120A7">
      <w:pPr>
        <w:pStyle w:val="SingleTxtGR"/>
      </w:pPr>
      <w:r>
        <w:tab/>
      </w:r>
      <w:r w:rsidRPr="00564E46">
        <w:t>2010</w:t>
      </w:r>
      <w:r w:rsidRPr="00844E22">
        <w:t xml:space="preserve"> год </w:t>
      </w:r>
      <w:r>
        <w:t>−</w:t>
      </w:r>
      <w:r w:rsidRPr="00844E22">
        <w:t xml:space="preserve"> 1</w:t>
      </w:r>
    </w:p>
    <w:p w:rsidR="009120A7" w:rsidRPr="00564E46" w:rsidRDefault="009120A7" w:rsidP="009120A7">
      <w:pPr>
        <w:pStyle w:val="SingleTxtGR"/>
      </w:pPr>
      <w:r>
        <w:tab/>
      </w:r>
      <w:r w:rsidRPr="00564E46">
        <w:t>2011</w:t>
      </w:r>
      <w:r w:rsidRPr="00844E22">
        <w:t xml:space="preserve"> год </w:t>
      </w:r>
      <w:r>
        <w:t>−</w:t>
      </w:r>
      <w:r w:rsidRPr="00844E22">
        <w:t xml:space="preserve"> 0</w:t>
      </w:r>
    </w:p>
    <w:p w:rsidR="009120A7" w:rsidRPr="00564E46" w:rsidRDefault="009120A7" w:rsidP="009120A7">
      <w:pPr>
        <w:pStyle w:val="SingleTxtGR"/>
      </w:pPr>
      <w:r>
        <w:tab/>
      </w:r>
      <w:r w:rsidRPr="00564E46">
        <w:t>2012</w:t>
      </w:r>
      <w:r w:rsidRPr="00844E22">
        <w:t xml:space="preserve"> год</w:t>
      </w:r>
      <w:r w:rsidRPr="00564E46">
        <w:t xml:space="preserve"> (</w:t>
      </w:r>
      <w:r w:rsidRPr="00844E22">
        <w:t>к 1 сентября</w:t>
      </w:r>
      <w:r w:rsidRPr="00564E46">
        <w:t>)</w:t>
      </w:r>
      <w:r w:rsidRPr="00844E22">
        <w:t xml:space="preserve"> </w:t>
      </w:r>
      <w:r>
        <w:t>−</w:t>
      </w:r>
      <w:r w:rsidRPr="00844E22">
        <w:t xml:space="preserve"> 1</w:t>
      </w:r>
    </w:p>
    <w:p w:rsidR="009120A7" w:rsidRPr="00844E22" w:rsidRDefault="000F11C3" w:rsidP="009120A7">
      <w:pPr>
        <w:pStyle w:val="SingleTxtGR"/>
      </w:pPr>
      <w:r>
        <w:tab/>
      </w:r>
      <w:r w:rsidR="009120A7" w:rsidRPr="00844E22">
        <w:t xml:space="preserve">По ряду дел проводится расследование. </w:t>
      </w:r>
    </w:p>
    <w:p w:rsidR="009120A7" w:rsidRPr="00844E22" w:rsidRDefault="009120A7" w:rsidP="009120A7">
      <w:pPr>
        <w:pStyle w:val="H1GR"/>
      </w:pPr>
      <w:r>
        <w:tab/>
        <w:t>В.</w:t>
      </w:r>
      <w:r>
        <w:tab/>
      </w:r>
      <w:r w:rsidRPr="00844E22">
        <w:t>Информация об осуществлении пункта 2 статьи 14</w:t>
      </w:r>
    </w:p>
    <w:p w:rsidR="009120A7" w:rsidRPr="00564E46" w:rsidRDefault="009120A7" w:rsidP="009120A7">
      <w:pPr>
        <w:pStyle w:val="SingleTxtGR"/>
      </w:pPr>
      <w:r w:rsidRPr="00844E22">
        <w:t>118.</w:t>
      </w:r>
      <w:r w:rsidRPr="00844E22">
        <w:tab/>
      </w:r>
      <w:r w:rsidRPr="000F11C3">
        <w:rPr>
          <w:spacing w:val="3"/>
        </w:rPr>
        <w:t>В соответствии с Законом о равном обращении от 28 ноября 2006 года был учрежден Центр по вопросам равного обращения (ЦРО).</w:t>
      </w:r>
      <w:r w:rsidRPr="000F11C3">
        <w:t xml:space="preserve"> </w:t>
      </w:r>
      <w:r w:rsidRPr="000F11C3">
        <w:rPr>
          <w:spacing w:val="3"/>
        </w:rPr>
        <w:t xml:space="preserve">См. пункты 14 </w:t>
      </w:r>
      <w:r w:rsidRPr="000F11C3">
        <w:rPr>
          <w:spacing w:val="3"/>
          <w:lang w:val="fr-FR"/>
        </w:rPr>
        <w:t>c</w:t>
      </w:r>
      <w:r w:rsidRPr="000F11C3">
        <w:rPr>
          <w:spacing w:val="3"/>
        </w:rPr>
        <w:t>)</w:t>
      </w:r>
      <w:r w:rsidR="000F11C3" w:rsidRPr="000F11C3">
        <w:rPr>
          <w:spacing w:val="3"/>
        </w:rPr>
        <w:t> −</w:t>
      </w:r>
      <w:r w:rsidRPr="000F11C3">
        <w:rPr>
          <w:spacing w:val="3"/>
        </w:rPr>
        <w:t xml:space="preserve"> 18</w:t>
      </w:r>
      <w:r w:rsidRPr="00564E46">
        <w:t xml:space="preserve"> (</w:t>
      </w:r>
      <w:r w:rsidRPr="00844E22">
        <w:t>стр.</w:t>
      </w:r>
      <w:r w:rsidRPr="00564E46">
        <w:t xml:space="preserve"> 4 </w:t>
      </w:r>
      <w:r w:rsidRPr="00844E22">
        <w:t>и 5 настоящего доклада</w:t>
      </w:r>
      <w:r w:rsidRPr="00564E46">
        <w:t>).</w:t>
      </w:r>
    </w:p>
    <w:p w:rsidR="009120A7" w:rsidRPr="00844E22" w:rsidRDefault="009120A7" w:rsidP="009120A7">
      <w:pPr>
        <w:pStyle w:val="HChGR"/>
      </w:pPr>
      <w:r>
        <w:tab/>
      </w:r>
      <w:r>
        <w:tab/>
      </w:r>
      <w:r w:rsidR="000F11C3">
        <w:t>Статья 7</w:t>
      </w:r>
      <w:r w:rsidR="000F11C3">
        <w:br/>
      </w:r>
      <w:r w:rsidRPr="00844E22">
        <w:t>Информация о законодательных, судебных, административных или иных мерах, обеспечивающих осуществление положений статьи 7 Ко</w:t>
      </w:r>
      <w:r w:rsidRPr="00844E22">
        <w:t>н</w:t>
      </w:r>
      <w:r w:rsidRPr="00844E22">
        <w:t>венции</w:t>
      </w:r>
    </w:p>
    <w:p w:rsidR="009120A7" w:rsidRPr="00844E22" w:rsidRDefault="009120A7" w:rsidP="009120A7">
      <w:pPr>
        <w:pStyle w:val="H1GR"/>
      </w:pPr>
      <w:r>
        <w:tab/>
      </w:r>
      <w:r w:rsidR="00047CC9">
        <w:t>А.</w:t>
      </w:r>
      <w:r>
        <w:tab/>
      </w:r>
      <w:r w:rsidRPr="00844E22">
        <w:t xml:space="preserve">Воспитание и преподавание </w:t>
      </w:r>
    </w:p>
    <w:p w:rsidR="009120A7" w:rsidRPr="00564E46" w:rsidRDefault="009120A7" w:rsidP="009120A7">
      <w:pPr>
        <w:pStyle w:val="SingleTxtGR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844E22">
        <w:rPr>
          <w:b/>
        </w:rPr>
        <w:t>План исследований в сфере базового образования четко указывает на то, что эти темы рассматриваются в рамках комплексного похода, прежде всего с точки зрения привития интереса к наукам, и что особое внимание при этом уделяется чтению. Согласно Закону от 25 июня 2004 года об орг</w:t>
      </w:r>
      <w:r w:rsidRPr="00844E22">
        <w:rPr>
          <w:b/>
        </w:rPr>
        <w:t>а</w:t>
      </w:r>
      <w:r w:rsidRPr="00844E22">
        <w:rPr>
          <w:b/>
        </w:rPr>
        <w:t>низации лицеев и технических лицеев, одна из задач лицеев состоит в том, чтобы ученик получил образование, цель которого – обеспечить ему пол</w:t>
      </w:r>
      <w:r w:rsidRPr="00844E22">
        <w:rPr>
          <w:b/>
        </w:rPr>
        <w:t>у</w:t>
      </w:r>
      <w:r w:rsidRPr="00844E22">
        <w:rPr>
          <w:b/>
        </w:rPr>
        <w:t>чение соответствующего диплома, повысить уровень общего развития, подготовить его к активной жизни и к выполнению своих человеческих и гражданских обязанностей. Образование помогает учащемуся в его личном ра</w:t>
      </w:r>
      <w:r w:rsidRPr="00844E22">
        <w:rPr>
          <w:b/>
        </w:rPr>
        <w:t>з</w:t>
      </w:r>
      <w:r w:rsidRPr="00844E22">
        <w:rPr>
          <w:b/>
        </w:rPr>
        <w:t>витии и ориентации.</w:t>
      </w:r>
    </w:p>
    <w:p w:rsidR="009120A7" w:rsidRPr="00844E22" w:rsidRDefault="009120A7" w:rsidP="009120A7">
      <w:pPr>
        <w:pStyle w:val="SingleTxtGR"/>
      </w:pPr>
      <w:r w:rsidRPr="00844E22">
        <w:t>119.</w:t>
      </w:r>
      <w:r w:rsidRPr="00844E22">
        <w:tab/>
        <w:t>В статье 42 этого же закона предусмотрены дисциплинарные меры нак</w:t>
      </w:r>
      <w:r w:rsidRPr="00844E22">
        <w:t>а</w:t>
      </w:r>
      <w:r w:rsidRPr="00844E22">
        <w:t>зания за проявление расовой дискриминации.</w:t>
      </w:r>
    </w:p>
    <w:p w:rsidR="009120A7" w:rsidRPr="00844E22" w:rsidRDefault="009120A7" w:rsidP="009120A7">
      <w:pPr>
        <w:pStyle w:val="SingleTxtGR"/>
      </w:pPr>
      <w:r w:rsidRPr="00844E22">
        <w:t>120.</w:t>
      </w:r>
      <w:r w:rsidRPr="00844E22">
        <w:tab/>
        <w:t>Нарушения, которые способны повлечь за собой окончательное исключ</w:t>
      </w:r>
      <w:r w:rsidRPr="00844E22">
        <w:t>е</w:t>
      </w:r>
      <w:r w:rsidRPr="00844E22">
        <w:t>ние из лицея, передаются советом класса на рассмотрение дисциплинарного с</w:t>
      </w:r>
      <w:r w:rsidRPr="00844E22">
        <w:t>о</w:t>
      </w:r>
      <w:r w:rsidRPr="00844E22">
        <w:t>вета лицея (имеются в виду такие нарушения, как разжигание расовой ненави</w:t>
      </w:r>
      <w:r w:rsidRPr="00844E22">
        <w:t>с</w:t>
      </w:r>
      <w:r w:rsidRPr="00844E22">
        <w:t>ти, ксенофобии и религиозной нетерпимости).</w:t>
      </w:r>
    </w:p>
    <w:p w:rsidR="009120A7" w:rsidRPr="00844E22" w:rsidRDefault="009120A7" w:rsidP="009120A7">
      <w:pPr>
        <w:pStyle w:val="SingleTxtGR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844E22">
        <w:rPr>
          <w:b/>
        </w:rPr>
        <w:t>В ходе профессиональной подготовки будущих преподавателей си</w:t>
      </w:r>
      <w:r w:rsidRPr="00844E22">
        <w:rPr>
          <w:b/>
        </w:rPr>
        <w:t>с</w:t>
      </w:r>
      <w:r w:rsidRPr="00844E22">
        <w:rPr>
          <w:b/>
        </w:rPr>
        <w:t xml:space="preserve">темы базового образования проводится </w:t>
      </w:r>
      <w:r w:rsidR="00047CC9">
        <w:rPr>
          <w:b/>
        </w:rPr>
        <w:t>курс гражданского воспитания. С </w:t>
      </w:r>
      <w:r w:rsidRPr="00844E22">
        <w:rPr>
          <w:b/>
        </w:rPr>
        <w:t>2012/13 учебного года будет выпущен новый школьный учебник по гра</w:t>
      </w:r>
      <w:r w:rsidRPr="00844E22">
        <w:rPr>
          <w:b/>
        </w:rPr>
        <w:t>ж</w:t>
      </w:r>
      <w:r w:rsidRPr="00844E22">
        <w:rPr>
          <w:b/>
        </w:rPr>
        <w:t xml:space="preserve">данскому воспитанию. Кроме того, курсы гражданского воспитания были включены в программу на всех уровнях профессионального обучения. </w:t>
      </w:r>
    </w:p>
    <w:p w:rsidR="009120A7" w:rsidRPr="00844E22" w:rsidRDefault="009120A7" w:rsidP="009120A7">
      <w:pPr>
        <w:pStyle w:val="SingleTxtGR"/>
      </w:pPr>
      <w:r w:rsidRPr="00844E22">
        <w:t>121.</w:t>
      </w:r>
      <w:r w:rsidRPr="00844E22">
        <w:tab/>
        <w:t>Наряду с общим имплицитным осознанием соответствующей проблем</w:t>
      </w:r>
      <w:r w:rsidRPr="00844E22">
        <w:t>а</w:t>
      </w:r>
      <w:r w:rsidRPr="00844E22">
        <w:t>тики в рамках программы преподавателями проводятся многочисленные восп</w:t>
      </w:r>
      <w:r w:rsidRPr="00844E22">
        <w:t>и</w:t>
      </w:r>
      <w:r w:rsidRPr="00844E22">
        <w:t>тательные мероприятия как на уровне базового образования (воспитание в духе мира), так и на уровне посленачального образования (проекты учреждений по правам человека, составление школьной хартии с описанием характеристик, к</w:t>
      </w:r>
      <w:r w:rsidRPr="00844E22">
        <w:t>о</w:t>
      </w:r>
      <w:r w:rsidRPr="00844E22">
        <w:t>торые коллектив учащихся хотел бы придать своему лицею).</w:t>
      </w:r>
    </w:p>
    <w:p w:rsidR="009120A7" w:rsidRPr="00844E22" w:rsidRDefault="009120A7" w:rsidP="009120A7">
      <w:pPr>
        <w:pStyle w:val="SingleTxtGR"/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844E22">
        <w:rPr>
          <w:b/>
        </w:rPr>
        <w:t>Национальным комиссиям по программам было предложено пер</w:t>
      </w:r>
      <w:r w:rsidRPr="00844E22">
        <w:rPr>
          <w:b/>
        </w:rPr>
        <w:t>е</w:t>
      </w:r>
      <w:r w:rsidRPr="00844E22">
        <w:rPr>
          <w:b/>
        </w:rPr>
        <w:t>смотреть все разделы школьных учебников, в которых содержатся изобр</w:t>
      </w:r>
      <w:r w:rsidRPr="00844E22">
        <w:rPr>
          <w:b/>
        </w:rPr>
        <w:t>а</w:t>
      </w:r>
      <w:r w:rsidRPr="00844E22">
        <w:rPr>
          <w:b/>
        </w:rPr>
        <w:t>жения, ссылки, названия или мнения, которые создают стереотипный или уничижительный образ групп, защищаемых Конвенцией, и заменить их изображениями, ссылками, названиями или мнениями, пронизанными д</w:t>
      </w:r>
      <w:r w:rsidRPr="00844E22">
        <w:rPr>
          <w:b/>
        </w:rPr>
        <w:t>у</w:t>
      </w:r>
      <w:r w:rsidRPr="00844E22">
        <w:rPr>
          <w:b/>
        </w:rPr>
        <w:t>хом уважения достоинства, присущего человеческой личности, и равенства в осуществлении прав человека.</w:t>
      </w:r>
    </w:p>
    <w:p w:rsidR="009120A7" w:rsidRPr="00844E22" w:rsidRDefault="009120A7" w:rsidP="009120A7">
      <w:pPr>
        <w:pStyle w:val="H1GR"/>
      </w:pPr>
      <w:r>
        <w:tab/>
        <w:t>В.</w:t>
      </w:r>
      <w:r>
        <w:tab/>
      </w:r>
      <w:r w:rsidRPr="00844E22">
        <w:t xml:space="preserve">Культура </w:t>
      </w:r>
    </w:p>
    <w:p w:rsidR="009120A7" w:rsidRPr="00844E22" w:rsidRDefault="009120A7" w:rsidP="009120A7">
      <w:pPr>
        <w:pStyle w:val="SingleTxtGR"/>
      </w:pPr>
      <w:r w:rsidRPr="00844E22">
        <w:t>122.</w:t>
      </w:r>
      <w:r w:rsidRPr="00844E22">
        <w:tab/>
        <w:t xml:space="preserve">Деятельность Люксембурга в области культуры как на национальном, так и на международном уровнях проводится в соответствии с фундаментальным принципом </w:t>
      </w:r>
      <w:r>
        <w:t>"</w:t>
      </w:r>
      <w:r w:rsidRPr="00844E22">
        <w:t>жить вместе</w:t>
      </w:r>
      <w:r>
        <w:t>"</w:t>
      </w:r>
      <w:r w:rsidRPr="00844E22">
        <w:t>. Поэтому меры, принимаемые в культурной сфере, всегда направлены еще и на ознакомление с культурой других людей.</w:t>
      </w:r>
    </w:p>
    <w:p w:rsidR="009120A7" w:rsidRPr="00844E22" w:rsidRDefault="009120A7" w:rsidP="009120A7">
      <w:pPr>
        <w:pStyle w:val="SingleTxtGR"/>
      </w:pPr>
      <w:r w:rsidRPr="00844E22">
        <w:t>123.</w:t>
      </w:r>
      <w:r w:rsidRPr="00844E22">
        <w:tab/>
        <w:t>Непосредственным воплощением этих мер является открытие в здании Невмюнстерского аббатства Культурного центра по организации встреч. В с</w:t>
      </w:r>
      <w:r w:rsidRPr="00844E22">
        <w:t>о</w:t>
      </w:r>
      <w:r w:rsidRPr="00844E22">
        <w:t xml:space="preserve">ответствии с законодательством основной задачей этого центра </w:t>
      </w:r>
      <w:r>
        <w:t>−</w:t>
      </w:r>
      <w:r w:rsidRPr="00844E22">
        <w:t xml:space="preserve"> государстве</w:t>
      </w:r>
      <w:r w:rsidRPr="00844E22">
        <w:t>н</w:t>
      </w:r>
      <w:r w:rsidRPr="00844E22">
        <w:t>ного учреждения, открытого 28 мая 2004 года под эгидой Министерства культ</w:t>
      </w:r>
      <w:r w:rsidRPr="00844E22">
        <w:t>у</w:t>
      </w:r>
      <w:r w:rsidRPr="00844E22">
        <w:t xml:space="preserve">ры, </w:t>
      </w:r>
      <w:r>
        <w:t xml:space="preserve">− </w:t>
      </w:r>
      <w:r w:rsidRPr="00844E22">
        <w:t>является разработка проекта культурно-художественных мероприятий по теме культурной самобытности Люксембурга и ее сосуществования с другими культурами, а также развитие контактов между люксембургскими и иностра</w:t>
      </w:r>
      <w:r w:rsidRPr="00844E22">
        <w:t>н</w:t>
      </w:r>
      <w:r w:rsidRPr="00844E22">
        <w:t xml:space="preserve">ными деятелями культуры и социально-культурной сферы, с одной стороны, и контактов между этими деятелями и публикой – с другой. Ежегодно в Центре проводится более 700 мероприятий; здание аббатства определяется как </w:t>
      </w:r>
      <w:r>
        <w:t>"</w:t>
      </w:r>
      <w:r w:rsidRPr="00844E22">
        <w:t>место, открытое для всех, которое служит для проведения встреч, обеспечивающих диалог культур и культуру диалога</w:t>
      </w:r>
      <w:r>
        <w:t>"</w:t>
      </w:r>
      <w:r w:rsidRPr="00844E22">
        <w:t>.</w:t>
      </w:r>
    </w:p>
    <w:p w:rsidR="009120A7" w:rsidRPr="00844E22" w:rsidRDefault="009120A7" w:rsidP="009120A7">
      <w:pPr>
        <w:pStyle w:val="SingleTxtGR"/>
      </w:pPr>
      <w:r w:rsidRPr="00844E22">
        <w:t>124.</w:t>
      </w:r>
      <w:r w:rsidRPr="00844E22">
        <w:tab/>
        <w:t xml:space="preserve">В этом же ключе Люксембург оказывает поддержку ассоциации </w:t>
      </w:r>
      <w:r>
        <w:t>"</w:t>
      </w:r>
      <w:r w:rsidRPr="00844E22">
        <w:t>Инст</w:t>
      </w:r>
      <w:r w:rsidRPr="00844E22">
        <w:t>и</w:t>
      </w:r>
      <w:r w:rsidRPr="00844E22">
        <w:t>тут Пьера Вернера</w:t>
      </w:r>
      <w:r>
        <w:t>"</w:t>
      </w:r>
      <w:r w:rsidRPr="00844E22">
        <w:t>, созданной в 2003 году по инициативе правительств Герм</w:t>
      </w:r>
      <w:r w:rsidRPr="00844E22">
        <w:t>а</w:t>
      </w:r>
      <w:r w:rsidRPr="00844E22">
        <w:t>нии, Франции и Люксембурга и являющейся форумом для встреч с другими е</w:t>
      </w:r>
      <w:r w:rsidRPr="00844E22">
        <w:t>в</w:t>
      </w:r>
      <w:r w:rsidRPr="00844E22">
        <w:t>ропейскими странами, цель которой – способствовать активизации интеллект</w:t>
      </w:r>
      <w:r w:rsidRPr="00844E22">
        <w:t>у</w:t>
      </w:r>
      <w:r w:rsidRPr="00844E22">
        <w:t>ального и научного анализа и обменов. Наряду с этим Институт регулярно пр</w:t>
      </w:r>
      <w:r w:rsidRPr="00844E22">
        <w:t>о</w:t>
      </w:r>
      <w:r w:rsidRPr="00844E22">
        <w:t>водит Европейский форум культуры и общества, обеспечивающий многост</w:t>
      </w:r>
      <w:r w:rsidRPr="00844E22">
        <w:t>о</w:t>
      </w:r>
      <w:r w:rsidRPr="00844E22">
        <w:t>роннее обсуждение тем и проблем европейского общества.</w:t>
      </w:r>
    </w:p>
    <w:p w:rsidR="009120A7" w:rsidRPr="00844E22" w:rsidRDefault="009120A7" w:rsidP="009120A7">
      <w:pPr>
        <w:pStyle w:val="SingleTxtGR"/>
      </w:pPr>
      <w:r w:rsidRPr="00844E22">
        <w:t>125.</w:t>
      </w:r>
      <w:r w:rsidRPr="00844E22">
        <w:tab/>
        <w:t>С другой стороны, десятки ассоциаций имеют соглашения с Министерс</w:t>
      </w:r>
      <w:r w:rsidRPr="00844E22">
        <w:t>т</w:t>
      </w:r>
      <w:r w:rsidRPr="00844E22">
        <w:t xml:space="preserve">вом культуры, которое следит за тем, чтобы в их задачи и деятельность были включены общие цели, касающиеся обеспечения доступа, разнообразия и т.п. </w:t>
      </w:r>
    </w:p>
    <w:p w:rsidR="009120A7" w:rsidRPr="00844E22" w:rsidRDefault="009120A7" w:rsidP="009120A7">
      <w:pPr>
        <w:pStyle w:val="SingleTxtGR"/>
      </w:pPr>
      <w:r w:rsidRPr="00844E22">
        <w:t>126.</w:t>
      </w:r>
      <w:r w:rsidRPr="00844E22">
        <w:tab/>
        <w:t xml:space="preserve">Наряду с этим Люксембург продолжает обеспечивать проживающим в стране зарубежным деятелям культуры такие виды помощи, как, например, предоставление статуса профессионального независимого артиста или артиста эстрады, творческих стипендий, субсидий и т.п. </w:t>
      </w:r>
    </w:p>
    <w:p w:rsidR="009120A7" w:rsidRPr="00844E22" w:rsidRDefault="009120A7" w:rsidP="009120A7">
      <w:pPr>
        <w:pStyle w:val="SingleTxtGR"/>
      </w:pPr>
      <w:r w:rsidRPr="00844E22">
        <w:t>127.</w:t>
      </w:r>
      <w:r w:rsidRPr="00844E22">
        <w:tab/>
        <w:t>Кроме того, для изложения ответов на вопросы, наиболее часто задава</w:t>
      </w:r>
      <w:r w:rsidRPr="00844E22">
        <w:t>е</w:t>
      </w:r>
      <w:r w:rsidRPr="00844E22">
        <w:t>мые деятелями художественной и культурной сферы, в 2011 году был выпущен Практический справочник деятеля искусств. Этот справочник является единс</w:t>
      </w:r>
      <w:r w:rsidRPr="00844E22">
        <w:t>т</w:t>
      </w:r>
      <w:r w:rsidRPr="00844E22">
        <w:t xml:space="preserve">венным в своем роде инструментом, где в общедоступном виде собрана и обобщена вся </w:t>
      </w:r>
      <w:r>
        <w:t>"</w:t>
      </w:r>
      <w:r w:rsidRPr="00844E22">
        <w:t>официальная</w:t>
      </w:r>
      <w:r>
        <w:t>"</w:t>
      </w:r>
      <w:r w:rsidRPr="00844E22">
        <w:t xml:space="preserve"> информаци</w:t>
      </w:r>
      <w:r>
        <w:t>я: в нем содержатся пояснения к</w:t>
      </w:r>
      <w:r w:rsidRPr="00844E22">
        <w:t xml:space="preserve"> зак</w:t>
      </w:r>
      <w:r w:rsidRPr="00844E22">
        <w:t>о</w:t>
      </w:r>
      <w:r w:rsidRPr="00844E22">
        <w:t>нодательным актам, касающимся трудовых отношений, защиты, поощрения или мобильности артистов и т.п. Благодаря этому удается еще и способствовать п</w:t>
      </w:r>
      <w:r w:rsidRPr="00844E22">
        <w:t>о</w:t>
      </w:r>
      <w:r w:rsidRPr="00844E22">
        <w:t>вышению информированности о профессиональной специализации артиста и его специфике, развивать диалог с другими учреждениями, а также понимание их деятельности, ч</w:t>
      </w:r>
      <w:r>
        <w:t>тобы успешнее в нее включаться.</w:t>
      </w:r>
      <w:r w:rsidRPr="00844E22">
        <w:t xml:space="preserve"> Это также дает возмо</w:t>
      </w:r>
      <w:r w:rsidRPr="00844E22">
        <w:t>ж</w:t>
      </w:r>
      <w:r w:rsidRPr="00844E22">
        <w:t>ность повышать уровень творчества и доступ к его результатам, в частности для молодежи, и обогащать культурную палитру Люксембурга, для которой х</w:t>
      </w:r>
      <w:r w:rsidRPr="00844E22">
        <w:t>а</w:t>
      </w:r>
      <w:r w:rsidRPr="00844E22">
        <w:t>рактерны исключительное разнообразие и изобилие, превращающие страну в европейский центр культуры. Цель этих мероприятий – сформировать среду, благоприятную для деятелей искусств национального и международного уро</w:t>
      </w:r>
      <w:r w:rsidRPr="00844E22">
        <w:t>в</w:t>
      </w:r>
      <w:r w:rsidRPr="00844E22">
        <w:t>ней, и существенно способствовать при этом росту их профессионализма, по</w:t>
      </w:r>
      <w:r w:rsidRPr="00844E22">
        <w:t>д</w:t>
      </w:r>
      <w:r w:rsidRPr="00844E22">
        <w:t xml:space="preserve">черкивая в этой связи роль культуры и сохранения культурного разнообразия как инструмента экономического и социального развития нашего общества. </w:t>
      </w:r>
    </w:p>
    <w:p w:rsidR="009120A7" w:rsidRPr="00844E22" w:rsidRDefault="009120A7" w:rsidP="009120A7">
      <w:pPr>
        <w:pStyle w:val="SingleTxtGR"/>
      </w:pPr>
      <w:r w:rsidRPr="00844E22">
        <w:t>128.</w:t>
      </w:r>
      <w:r w:rsidRPr="00844E22">
        <w:tab/>
        <w:t>Наряду с этим активизируется обмен между деятелями искусства Лю</w:t>
      </w:r>
      <w:r w:rsidRPr="00844E22">
        <w:t>к</w:t>
      </w:r>
      <w:r w:rsidRPr="00844E22">
        <w:t xml:space="preserve">сембурга и </w:t>
      </w:r>
      <w:r>
        <w:t>"</w:t>
      </w:r>
      <w:r w:rsidRPr="00844E22">
        <w:t>Большого региона</w:t>
      </w:r>
      <w:r>
        <w:t>" −</w:t>
      </w:r>
      <w:r w:rsidRPr="00844E22">
        <w:t xml:space="preserve"> культурного пространства, в которое входят приграничные районы Германии (Саарская и Рейнская области), Бельгии (Ва</w:t>
      </w:r>
      <w:r w:rsidRPr="00844E22">
        <w:t>л</w:t>
      </w:r>
      <w:r w:rsidRPr="00844E22">
        <w:t>лония) и Франции (Лотарингия); с этой целью в 2008 году была создана асс</w:t>
      </w:r>
      <w:r w:rsidRPr="00844E22">
        <w:t>о</w:t>
      </w:r>
      <w:r w:rsidRPr="00844E22">
        <w:t xml:space="preserve">циация </w:t>
      </w:r>
      <w:r>
        <w:t>"</w:t>
      </w:r>
      <w:r w:rsidRPr="00844E22">
        <w:t>Культурное пространство Большого региона</w:t>
      </w:r>
      <w:r>
        <w:t>"</w:t>
      </w:r>
      <w:r w:rsidRPr="00844E22">
        <w:t>, которая объединяет представителей различных стран и регионов и основная задача которой закл</w:t>
      </w:r>
      <w:r w:rsidRPr="00844E22">
        <w:t>ю</w:t>
      </w:r>
      <w:r w:rsidRPr="00844E22">
        <w:t>чается в координации, сопровождении и продвижении трансграничных прое</w:t>
      </w:r>
      <w:r w:rsidRPr="00844E22">
        <w:t>к</w:t>
      </w:r>
      <w:r w:rsidRPr="00844E22">
        <w:t>тов в целях сотрудничества, а также обеспечение трансграничных обменов и повышения профессионального уровня артистов.</w:t>
      </w:r>
    </w:p>
    <w:p w:rsidR="009120A7" w:rsidRPr="00844E22" w:rsidRDefault="009120A7" w:rsidP="009120A7">
      <w:pPr>
        <w:pStyle w:val="SingleTxtGR"/>
      </w:pPr>
      <w:r w:rsidRPr="00844E22">
        <w:t>129.</w:t>
      </w:r>
      <w:r w:rsidRPr="00844E22">
        <w:tab/>
        <w:t>Что касается языковой политики, то для Люксембурга характерно мног</w:t>
      </w:r>
      <w:r w:rsidRPr="00844E22">
        <w:t>о</w:t>
      </w:r>
      <w:r w:rsidRPr="00844E22">
        <w:t xml:space="preserve">язычие, предусмотренное законодательством с 1984 года: люксембургский язык является национальным языком, французский язык </w:t>
      </w:r>
      <w:r>
        <w:t>−</w:t>
      </w:r>
      <w:r w:rsidRPr="00844E22">
        <w:t xml:space="preserve"> языком законодательства; при этом французский, немецкий и люксембургский языки имеют общий статус административных и судебных языков. На практике использование этих языков, равно как и языков различных общин, в значительной степени варьируется в з</w:t>
      </w:r>
      <w:r w:rsidRPr="00844E22">
        <w:t>а</w:t>
      </w:r>
      <w:r w:rsidRPr="00844E22">
        <w:t>висимости от сферы и значимости (трудовые отношения, документация, оф</w:t>
      </w:r>
      <w:r w:rsidRPr="00844E22">
        <w:t>и</w:t>
      </w:r>
      <w:r w:rsidRPr="00844E22">
        <w:t>циальное и неофициальное общение). Важность владения люксембургским языком возросла не только на рынке труда, но и после принятия в 2008 году З</w:t>
      </w:r>
      <w:r w:rsidRPr="00844E22">
        <w:t>а</w:t>
      </w:r>
      <w:r w:rsidRPr="00844E22">
        <w:t>кона о гражданстве Люксембурга, согласно которому для каждого кандидата на натурализацию был введен обязательный экзамен по разговорному люксе</w:t>
      </w:r>
      <w:r w:rsidRPr="00844E22">
        <w:t>м</w:t>
      </w:r>
      <w:r w:rsidRPr="00844E22">
        <w:t xml:space="preserve">бургскому языку. </w:t>
      </w:r>
    </w:p>
    <w:p w:rsidR="009120A7" w:rsidRPr="00844E22" w:rsidRDefault="009120A7" w:rsidP="009120A7">
      <w:pPr>
        <w:pStyle w:val="SingleTxtGR"/>
      </w:pPr>
      <w:r w:rsidRPr="00844E22">
        <w:t>130.</w:t>
      </w:r>
      <w:r w:rsidRPr="00844E22">
        <w:tab/>
        <w:t xml:space="preserve">Для предоставления большему числу лиц </w:t>
      </w:r>
      <w:r w:rsidR="00047CC9">
        <w:t>−</w:t>
      </w:r>
      <w:r w:rsidRPr="00844E22">
        <w:t xml:space="preserve"> как граждан, так и неграждан Люксембурга – возможности изучать национальный язык была начата работа по составлению электронного словаря, которая в настоящее время находится в з</w:t>
      </w:r>
      <w:r w:rsidRPr="00844E22">
        <w:t>а</w:t>
      </w:r>
      <w:r w:rsidRPr="00844E22">
        <w:t>ключительной стадии. Это будет многоязычный словарь, доступный через И</w:t>
      </w:r>
      <w:r w:rsidRPr="00844E22">
        <w:t>н</w:t>
      </w:r>
      <w:r w:rsidRPr="00844E22">
        <w:t>тернет, в котором собрана лексика люксембургского языка с переводом знач</w:t>
      </w:r>
      <w:r w:rsidRPr="00844E22">
        <w:t>е</w:t>
      </w:r>
      <w:r w:rsidRPr="00844E22">
        <w:t xml:space="preserve">ний слов на немецкий, французский, английский и португальский языки. </w:t>
      </w:r>
    </w:p>
    <w:p w:rsidR="009120A7" w:rsidRPr="00844E22" w:rsidRDefault="009120A7" w:rsidP="009120A7">
      <w:pPr>
        <w:pStyle w:val="SingleTxtGR"/>
      </w:pPr>
      <w:r w:rsidRPr="00844E22">
        <w:t>131.</w:t>
      </w:r>
      <w:r w:rsidRPr="00844E22">
        <w:tab/>
        <w:t>Наряду с этим Люксембург продолжает оказывать поддержку переводам литературных произведений, публикуемых как люксембургскими, так и ин</w:t>
      </w:r>
      <w:r w:rsidRPr="00844E22">
        <w:t>о</w:t>
      </w:r>
      <w:r w:rsidRPr="00844E22">
        <w:t>странными авторами, проживающими в Люксембурге, а также переводам ин</w:t>
      </w:r>
      <w:r w:rsidRPr="00844E22">
        <w:t>о</w:t>
      </w:r>
      <w:r w:rsidRPr="00844E22">
        <w:t>странных произведений, которые представляют интерес с культурной и ме</w:t>
      </w:r>
      <w:r w:rsidRPr="00844E22">
        <w:t>ж</w:t>
      </w:r>
      <w:r w:rsidRPr="00844E22">
        <w:t>культурной точек зрения.</w:t>
      </w:r>
    </w:p>
    <w:p w:rsidR="009120A7" w:rsidRPr="00844E22" w:rsidRDefault="009120A7" w:rsidP="009120A7">
      <w:pPr>
        <w:pStyle w:val="H1GR"/>
      </w:pPr>
      <w:r>
        <w:tab/>
        <w:t>С.</w:t>
      </w:r>
      <w:r>
        <w:tab/>
      </w:r>
      <w:r w:rsidR="00047CC9">
        <w:t>Информация</w:t>
      </w:r>
    </w:p>
    <w:p w:rsidR="009120A7" w:rsidRPr="00844E22" w:rsidRDefault="009120A7" w:rsidP="009120A7">
      <w:pPr>
        <w:pStyle w:val="SingleTxtGR"/>
      </w:pPr>
      <w:r w:rsidRPr="00844E22">
        <w:t>132.</w:t>
      </w:r>
      <w:r w:rsidRPr="00844E22">
        <w:tab/>
        <w:t>Статья 6 (подпункт с) пункта 1) Закона от 27 июля 1991 года об эле</w:t>
      </w:r>
      <w:r w:rsidRPr="00844E22">
        <w:t>к</w:t>
      </w:r>
      <w:r w:rsidRPr="00844E22">
        <w:t xml:space="preserve">тронных средствах массовой информации с внесенными в него изменениями гласит, что </w:t>
      </w:r>
      <w:r>
        <w:t>"</w:t>
      </w:r>
      <w:r w:rsidRPr="00844E22">
        <w:t>содержание транслируемых в Люксембурге радиопрограмм должно соответствовать следующим принципам: (…) в них не должно содержаться н</w:t>
      </w:r>
      <w:r w:rsidRPr="00844E22">
        <w:t>и</w:t>
      </w:r>
      <w:r w:rsidRPr="00844E22">
        <w:t>каких призывов к ненависти по признакам расы, пола, убеждений, религии или гражданства</w:t>
      </w:r>
      <w:r>
        <w:t>"</w:t>
      </w:r>
      <w:r w:rsidRPr="00844E22">
        <w:t>.</w:t>
      </w:r>
    </w:p>
    <w:p w:rsidR="009120A7" w:rsidRPr="00844E22" w:rsidRDefault="009120A7" w:rsidP="009120A7">
      <w:pPr>
        <w:pStyle w:val="SingleTxtGR"/>
      </w:pPr>
      <w:r w:rsidRPr="00844E22">
        <w:t>133.</w:t>
      </w:r>
      <w:r w:rsidRPr="00844E22">
        <w:tab/>
        <w:t>В соответствии с Законом от 17 декабря 2010 года о внесении изменений в измененный Закон от 27 июля 1991 года об электронных средствах массовой информации статья 6 была упразднена и заменена новой статьей 26-</w:t>
      </w:r>
      <w:r w:rsidR="00047CC9">
        <w:t>бис</w:t>
      </w:r>
      <w:r w:rsidRPr="00844E22">
        <w:t>, соде</w:t>
      </w:r>
      <w:r w:rsidRPr="00844E22">
        <w:t>р</w:t>
      </w:r>
      <w:r w:rsidRPr="00844E22">
        <w:t>жание которой полностью соответствует прежней статье 6 и действие которой распространяется на все услуги аудиовизуальных или звуковых средств инфо</w:t>
      </w:r>
      <w:r w:rsidRPr="00844E22">
        <w:t>р</w:t>
      </w:r>
      <w:r>
        <w:t xml:space="preserve">мации, </w:t>
      </w:r>
      <w:r w:rsidRPr="00844E22">
        <w:t xml:space="preserve">относящихся к компетенции Люксембурга (Статья 26: </w:t>
      </w:r>
      <w:r>
        <w:t>"</w:t>
      </w:r>
      <w:r w:rsidRPr="00844E22">
        <w:t>В услугах ауди</w:t>
      </w:r>
      <w:r w:rsidRPr="00844E22">
        <w:t>о</w:t>
      </w:r>
      <w:r w:rsidRPr="00844E22">
        <w:t>визуальных или звуковых средств информации не должно содержаться н</w:t>
      </w:r>
      <w:r w:rsidRPr="00844E22">
        <w:t>и</w:t>
      </w:r>
      <w:r w:rsidRPr="00844E22">
        <w:t>каких призывов к ненависти по признакам расы, пола, убеждений, религии или гра</w:t>
      </w:r>
      <w:r w:rsidRPr="00844E22">
        <w:t>ж</w:t>
      </w:r>
      <w:r w:rsidRPr="00844E22">
        <w:t>данства</w:t>
      </w:r>
      <w:r>
        <w:t>"</w:t>
      </w:r>
      <w:r w:rsidRPr="00844E22">
        <w:t>).</w:t>
      </w:r>
    </w:p>
    <w:p w:rsidR="009120A7" w:rsidRPr="00B656AE" w:rsidRDefault="009120A7" w:rsidP="009120A7">
      <w:pPr>
        <w:pStyle w:val="SingleTxtGR"/>
      </w:pPr>
      <w:r w:rsidRPr="00844E22">
        <w:t>134.</w:t>
      </w:r>
      <w:r w:rsidRPr="00844E22">
        <w:tab/>
        <w:t>За период, истекший после вступления в силу Закона от 19 июля 1997 г</w:t>
      </w:r>
      <w:r w:rsidRPr="00844E22">
        <w:t>о</w:t>
      </w:r>
      <w:r w:rsidRPr="00844E22">
        <w:t>да об изменении и дополнении Уголовного кодекса путем включения в него ст</w:t>
      </w:r>
      <w:r w:rsidRPr="00844E22">
        <w:t>а</w:t>
      </w:r>
      <w:r w:rsidRPr="00844E22">
        <w:t>тьи 454 и ряда последующих статей о запрещении и криминализации действий, основанных на незаконной дискриминации, накопилась лишь незначительная судебная практика в этой области, несмотря на агитационную кампанию, ра</w:t>
      </w:r>
      <w:r w:rsidRPr="00844E22">
        <w:t>з</w:t>
      </w:r>
      <w:r w:rsidRPr="00844E22">
        <w:t>вернутую Министерством юстиции совместно с НПО, занимающимися данной проблематикой, в ходе которой среди домохозяйств Люксембурга распростр</w:t>
      </w:r>
      <w:r w:rsidRPr="00844E22">
        <w:t>а</w:t>
      </w:r>
      <w:r w:rsidRPr="00844E22">
        <w:t xml:space="preserve">нялся складной буклет </w:t>
      </w:r>
      <w:r>
        <w:t>"</w:t>
      </w:r>
      <w:r w:rsidRPr="00844E22">
        <w:t>Все разные – все равны</w:t>
      </w:r>
      <w:r>
        <w:t>"</w:t>
      </w:r>
      <w:r w:rsidRPr="00844E22">
        <w:t xml:space="preserve"> с ясным и доходчивым разъя</w:t>
      </w:r>
      <w:r w:rsidRPr="00844E22">
        <w:t>с</w:t>
      </w:r>
      <w:r w:rsidRPr="00844E22">
        <w:t>нением положений вс</w:t>
      </w:r>
      <w:r>
        <w:t>тупившего в силу нового закона.</w:t>
      </w:r>
    </w:p>
    <w:p w:rsidR="009120A7" w:rsidRPr="00844E22" w:rsidRDefault="009120A7" w:rsidP="009120A7">
      <w:pPr>
        <w:pStyle w:val="SingleTxtGR"/>
      </w:pPr>
      <w:r w:rsidRPr="00844E22">
        <w:t>135.</w:t>
      </w:r>
      <w:r w:rsidRPr="00844E22">
        <w:tab/>
        <w:t>Различные радиостанции и телеканалы осуществляют тесное сотрудн</w:t>
      </w:r>
      <w:r w:rsidRPr="00844E22">
        <w:t>и</w:t>
      </w:r>
      <w:r w:rsidRPr="00844E22">
        <w:t>чество с иностранными ассоциациями и с ассоциациями, действующими в и</w:t>
      </w:r>
      <w:r w:rsidRPr="00844E22">
        <w:t>н</w:t>
      </w:r>
      <w:r w:rsidRPr="00844E22">
        <w:t>тересах иностранцев, чтобы расширять кругозор как люксембуржцев, так и иностр</w:t>
      </w:r>
      <w:r>
        <w:t xml:space="preserve">анцев, постоянно проживающих в </w:t>
      </w:r>
      <w:r w:rsidRPr="00844E22">
        <w:t>стране, и знакомить их прежде всего с культурными и социальными, а также с экономическими и политическими а</w:t>
      </w:r>
      <w:r w:rsidRPr="00844E22">
        <w:t>с</w:t>
      </w:r>
      <w:r w:rsidRPr="00844E22">
        <w:t xml:space="preserve">пектами, которые являются малоизвестными или вообще неизвестными. </w:t>
      </w:r>
    </w:p>
    <w:p w:rsidR="009120A7" w:rsidRPr="00844E22" w:rsidRDefault="009120A7" w:rsidP="009120A7">
      <w:pPr>
        <w:pStyle w:val="SingleTxtGR"/>
      </w:pPr>
      <w:r w:rsidRPr="00844E22">
        <w:t>136.</w:t>
      </w:r>
      <w:r w:rsidRPr="00844E22">
        <w:tab/>
        <w:t>С 2006 года проводятся информационно-пропагандистские кампании, в ходе которых, в частности, распространяется информация о действующем зак</w:t>
      </w:r>
      <w:r w:rsidRPr="00844E22">
        <w:t>о</w:t>
      </w:r>
      <w:r w:rsidRPr="00844E22">
        <w:t>нодательстве и подчеркивается тот факт, что дискриминация в Люксембурге поставлена вне закона. Так, например, Люксембург принял активное участие в проведении Дней разнообразия, организованных Европейской комиссией в 2009</w:t>
      </w:r>
      <w:r>
        <w:t xml:space="preserve"> </w:t>
      </w:r>
      <w:r w:rsidRPr="00844E22">
        <w:t>и 2010 годах. Кроме того, благодаря совместному финансированию Европейск</w:t>
      </w:r>
      <w:r w:rsidRPr="00844E22">
        <w:t>о</w:t>
      </w:r>
      <w:r w:rsidRPr="00844E22">
        <w:t>го союза он разработал комплекс мероприятий по привлечению внимания нас</w:t>
      </w:r>
      <w:r w:rsidRPr="00844E22">
        <w:t>е</w:t>
      </w:r>
      <w:r w:rsidRPr="00844E22">
        <w:t>ления в целом и его специализированных групп к проблеме борьбы против ди</w:t>
      </w:r>
      <w:r w:rsidRPr="00844E22">
        <w:t>с</w:t>
      </w:r>
      <w:r w:rsidRPr="00844E22">
        <w:t>криминации и по разъяснению законодательных положений, дейс</w:t>
      </w:r>
      <w:r w:rsidRPr="00844E22">
        <w:t>т</w:t>
      </w:r>
      <w:r w:rsidRPr="00844E22">
        <w:t>вующих в этой области. В 2012 году в рамках Национального плана действий в области интеграции и борьбы с дискриминацией, в частности, было оказано с</w:t>
      </w:r>
      <w:r w:rsidRPr="00844E22">
        <w:t>о</w:t>
      </w:r>
      <w:r w:rsidRPr="00844E22">
        <w:t>действие в проведении манифестации с участием представителей разных поколений, о</w:t>
      </w:r>
      <w:r w:rsidRPr="00844E22">
        <w:t>р</w:t>
      </w:r>
      <w:r w:rsidRPr="00844E22">
        <w:t xml:space="preserve">ганизованной Всеобщей конфедерацией молодежи Люксембурга совместно с </w:t>
      </w:r>
      <w:r>
        <w:t>"</w:t>
      </w:r>
      <w:r w:rsidRPr="00844E22">
        <w:rPr>
          <w:lang w:val="fr-FR"/>
        </w:rPr>
        <w:t>RBS</w:t>
      </w:r>
      <w:r w:rsidRPr="00844E22">
        <w:t xml:space="preserve"> – </w:t>
      </w:r>
      <w:r w:rsidRPr="00844E22">
        <w:rPr>
          <w:lang w:val="fr-FR"/>
        </w:rPr>
        <w:t>Center</w:t>
      </w:r>
      <w:r w:rsidRPr="00844E22">
        <w:t xml:space="preserve"> </w:t>
      </w:r>
      <w:r w:rsidRPr="00844E22">
        <w:rPr>
          <w:lang w:val="fr-FR"/>
        </w:rPr>
        <w:t>fir</w:t>
      </w:r>
      <w:r w:rsidRPr="00844E22">
        <w:t xml:space="preserve"> </w:t>
      </w:r>
      <w:r w:rsidRPr="00844E22">
        <w:rPr>
          <w:lang w:val="fr-FR"/>
        </w:rPr>
        <w:t>Altersfroen</w:t>
      </w:r>
      <w:r>
        <w:t>"</w:t>
      </w:r>
      <w:r w:rsidRPr="00844E22">
        <w:t>, и в проведении дня, посвященного рассмотрению вопросов тестирования.</w:t>
      </w:r>
    </w:p>
    <w:p w:rsidR="009120A7" w:rsidRPr="00844E22" w:rsidRDefault="009120A7" w:rsidP="009120A7">
      <w:pPr>
        <w:pStyle w:val="HChGR"/>
      </w:pPr>
      <w:r>
        <w:br w:type="page"/>
      </w:r>
      <w:r>
        <w:tab/>
      </w:r>
      <w:r w:rsidRPr="00844E22">
        <w:t>Приложение</w:t>
      </w:r>
    </w:p>
    <w:p w:rsidR="009120A7" w:rsidRPr="00844E22" w:rsidRDefault="009120A7" w:rsidP="009120A7">
      <w:pPr>
        <w:pStyle w:val="HChGR"/>
      </w:pPr>
      <w:r>
        <w:tab/>
      </w:r>
      <w:r>
        <w:tab/>
      </w:r>
      <w:r w:rsidRPr="00844E22">
        <w:t>Рекомендации, изложенные Комитетом по</w:t>
      </w:r>
      <w:r>
        <w:t> </w:t>
      </w:r>
      <w:r w:rsidRPr="00844E22">
        <w:t>ликвидации расовой дискриминации в его заключительных замечаниях по предыдущему докл</w:t>
      </w:r>
      <w:r>
        <w:t>аду</w:t>
      </w:r>
    </w:p>
    <w:p w:rsidR="009120A7" w:rsidRPr="00844E22" w:rsidRDefault="009120A7" w:rsidP="009120A7">
      <w:pPr>
        <w:pStyle w:val="SingleTxtGR"/>
        <w:rPr>
          <w:b/>
        </w:rPr>
      </w:pPr>
      <w:r>
        <w:rPr>
          <w:b/>
        </w:rPr>
        <w:t>12.</w:t>
      </w:r>
      <w:r>
        <w:rPr>
          <w:b/>
        </w:rPr>
        <w:tab/>
        <w:t>"</w:t>
      </w:r>
      <w:r w:rsidRPr="00844E22">
        <w:rPr>
          <w:b/>
          <w:bCs/>
        </w:rPr>
        <w:t xml:space="preserve">Напоминая о своих общих рекомендациях </w:t>
      </w:r>
      <w:r w:rsidRPr="00844E22">
        <w:rPr>
          <w:b/>
          <w:bCs/>
          <w:lang w:val="en-US"/>
        </w:rPr>
        <w:t>XXIV</w:t>
      </w:r>
      <w:r w:rsidRPr="00844E22">
        <w:rPr>
          <w:b/>
          <w:bCs/>
        </w:rPr>
        <w:t xml:space="preserve"> и </w:t>
      </w:r>
      <w:r w:rsidRPr="00844E22">
        <w:rPr>
          <w:b/>
          <w:bCs/>
          <w:lang w:val="en-US"/>
        </w:rPr>
        <w:t>XXX</w:t>
      </w:r>
      <w:r w:rsidRPr="00844E22">
        <w:rPr>
          <w:b/>
          <w:bCs/>
        </w:rPr>
        <w:t>, Комитет просит государство-участник включить в свой следующий периодический доклад обновленные статистические данные, в частности касающиеся о</w:t>
      </w:r>
      <w:r w:rsidRPr="00844E22">
        <w:rPr>
          <w:b/>
          <w:bCs/>
        </w:rPr>
        <w:t>б</w:t>
      </w:r>
      <w:r w:rsidRPr="00844E22">
        <w:rPr>
          <w:b/>
          <w:bCs/>
        </w:rPr>
        <w:t>щин рома, а также таких уязвимых групп, как неграждане, беженцы, пр</w:t>
      </w:r>
      <w:r w:rsidRPr="00844E22">
        <w:rPr>
          <w:b/>
          <w:bCs/>
        </w:rPr>
        <w:t>о</w:t>
      </w:r>
      <w:r w:rsidRPr="00844E22">
        <w:rPr>
          <w:b/>
          <w:bCs/>
        </w:rPr>
        <w:t>сители убежища и нелегальные трудящиеся</w:t>
      </w:r>
      <w:r>
        <w:rPr>
          <w:b/>
        </w:rPr>
        <w:t>".</w:t>
      </w:r>
    </w:p>
    <w:p w:rsidR="009120A7" w:rsidRPr="00844E22" w:rsidRDefault="009120A7" w:rsidP="009120A7">
      <w:pPr>
        <w:pStyle w:val="SingleTxtGR"/>
      </w:pPr>
      <w:r w:rsidRPr="00844E22">
        <w:t>1.</w:t>
      </w:r>
      <w:r w:rsidRPr="00844E22">
        <w:tab/>
        <w:t xml:space="preserve">Данные </w:t>
      </w:r>
      <w:r w:rsidR="00047CC9">
        <w:t>10-</w:t>
      </w:r>
      <w:r w:rsidRPr="00844E22">
        <w:t>летней переписи населения, проведенной в 2011 году, показ</w:t>
      </w:r>
      <w:r w:rsidRPr="00844E22">
        <w:t>а</w:t>
      </w:r>
      <w:r w:rsidRPr="00844E22">
        <w:t>ли, что население Великого Герцогства возросло на 72</w:t>
      </w:r>
      <w:r w:rsidRPr="00844E22">
        <w:rPr>
          <w:lang w:val="fr-FR"/>
        </w:rPr>
        <w:t> </w:t>
      </w:r>
      <w:r w:rsidRPr="00844E22">
        <w:t>814 человек по сравн</w:t>
      </w:r>
      <w:r w:rsidRPr="00844E22">
        <w:t>е</w:t>
      </w:r>
      <w:r w:rsidRPr="00844E22">
        <w:t>нию с результатами переписи 2001 года и к 1 февраля 2011 года составило 512</w:t>
      </w:r>
      <w:r w:rsidRPr="00844E22">
        <w:rPr>
          <w:lang w:val="fr-FR"/>
        </w:rPr>
        <w:t> </w:t>
      </w:r>
      <w:r w:rsidRPr="00844E22">
        <w:t>353 жителя, показав среднегодовой прирост в 1,5%. За этот период ин</w:t>
      </w:r>
      <w:r w:rsidRPr="00844E22">
        <w:t>о</w:t>
      </w:r>
      <w:r w:rsidRPr="00844E22">
        <w:t>странное население увеличилось почти на 35% и составило 43,04% от общей численности населения.</w:t>
      </w:r>
    </w:p>
    <w:p w:rsidR="009120A7" w:rsidRPr="00844E22" w:rsidRDefault="009120A7" w:rsidP="009120A7">
      <w:pPr>
        <w:pStyle w:val="SingleTxtGR"/>
      </w:pPr>
      <w:r w:rsidRPr="00844E22">
        <w:t>2.</w:t>
      </w:r>
      <w:r w:rsidRPr="00844E22">
        <w:tab/>
        <w:t>Согласно результатам переписи населения, по состоянию на 1 февраля 2011 года 59,8% жителей Великого Герцогства составляли лица, родившиеся в Люксембурге. По данным СТАТЕК</w:t>
      </w:r>
      <w:r w:rsidR="006D78EF">
        <w:t>,</w:t>
      </w:r>
      <w:r w:rsidRPr="00844E22">
        <w:t xml:space="preserve"> 74,2% лиц, которые родились за границей и проживают в Люксембурге, имеют гражданство одной из стран Европейского союза, а 14,1% из них имеют гражданство Люксембурга.</w:t>
      </w:r>
    </w:p>
    <w:p w:rsidR="009120A7" w:rsidRPr="00844E22" w:rsidRDefault="009120A7" w:rsidP="009120A7">
      <w:pPr>
        <w:pStyle w:val="SingleTxtGR"/>
      </w:pPr>
      <w:r w:rsidRPr="00844E22">
        <w:t>3.</w:t>
      </w:r>
      <w:r w:rsidRPr="00844E22">
        <w:tab/>
        <w:t>По состоянию на 1 января 2012 года население Люксембурга составляло 524 900 человек, в том числе 229</w:t>
      </w:r>
      <w:r w:rsidRPr="00844E22">
        <w:rPr>
          <w:lang w:val="fr-FR"/>
        </w:rPr>
        <w:t> </w:t>
      </w:r>
      <w:r w:rsidRPr="00844E22">
        <w:t>900 иностранцев (43,8%).</w:t>
      </w:r>
    </w:p>
    <w:p w:rsidR="009120A7" w:rsidRPr="00844E22" w:rsidRDefault="009120A7" w:rsidP="009120A7">
      <w:pPr>
        <w:pStyle w:val="SingleTxtGR"/>
      </w:pPr>
      <w:r w:rsidRPr="00844E22">
        <w:t>4.</w:t>
      </w:r>
      <w:r w:rsidRPr="00844E22">
        <w:tab/>
        <w:t>Подавляющее большинство иностранцев, постоянно проживающих в Люксембурге, составляют граждане Европейского союза: их насчитывается  198</w:t>
      </w:r>
      <w:r w:rsidRPr="00844E22">
        <w:rPr>
          <w:lang w:val="fr-FR"/>
        </w:rPr>
        <w:t> </w:t>
      </w:r>
      <w:r w:rsidRPr="00844E22">
        <w:t xml:space="preserve">681 человек, </w:t>
      </w:r>
      <w:r w:rsidR="006D78EF">
        <w:t xml:space="preserve">т.е. </w:t>
      </w:r>
      <w:r w:rsidRPr="00844E22">
        <w:t>37,8% всего населения и 86,4% иностранного населения Люксембурга.</w:t>
      </w:r>
    </w:p>
    <w:p w:rsidR="009120A7" w:rsidRPr="00844E22" w:rsidRDefault="009120A7" w:rsidP="009120A7">
      <w:pPr>
        <w:pStyle w:val="SingleTxtGR"/>
      </w:pPr>
      <w:r w:rsidRPr="00844E22">
        <w:t>5.</w:t>
      </w:r>
      <w:r w:rsidRPr="00844E22">
        <w:tab/>
        <w:t>За период с 1 января 2005 года по 31 октября 2012 года 7</w:t>
      </w:r>
      <w:r w:rsidRPr="00844E22">
        <w:rPr>
          <w:lang w:val="fr-FR"/>
        </w:rPr>
        <w:t> </w:t>
      </w:r>
      <w:r w:rsidRPr="00844E22">
        <w:t>546 человек п</w:t>
      </w:r>
      <w:r w:rsidRPr="00844E22">
        <w:t>о</w:t>
      </w:r>
      <w:r w:rsidRPr="00844E22">
        <w:t>дали ходатайство о предоставлении им международной защиты в Люксембурге; 767 из них был предоставлен какой-либо из двух статусов международной з</w:t>
      </w:r>
      <w:r w:rsidRPr="00844E22">
        <w:t>а</w:t>
      </w:r>
      <w:r w:rsidRPr="00844E22">
        <w:t>щиты.</w:t>
      </w:r>
    </w:p>
    <w:p w:rsidR="009120A7" w:rsidRPr="00844E22" w:rsidRDefault="009120A7" w:rsidP="009120A7">
      <w:pPr>
        <w:pStyle w:val="SingleTxtGR"/>
      </w:pPr>
      <w:r w:rsidRPr="00844E22">
        <w:t>6.</w:t>
      </w:r>
      <w:r w:rsidRPr="00844E22">
        <w:tab/>
        <w:t xml:space="preserve">См. также информацию, представленную в подразделе 4 </w:t>
      </w:r>
      <w:r>
        <w:t>"</w:t>
      </w:r>
      <w:r w:rsidRPr="00844E22">
        <w:t>Просители убежища и международная защита</w:t>
      </w:r>
      <w:r>
        <w:t>"</w:t>
      </w:r>
      <w:r w:rsidRPr="00844E22">
        <w:t xml:space="preserve"> раздела </w:t>
      </w:r>
      <w:r w:rsidRPr="00844E22">
        <w:rPr>
          <w:lang w:val="en-US"/>
        </w:rPr>
        <w:t>F</w:t>
      </w:r>
      <w:r w:rsidRPr="00844E22">
        <w:t xml:space="preserve"> главы </w:t>
      </w:r>
      <w:r w:rsidR="006D78EF">
        <w:rPr>
          <w:lang w:val="en-US"/>
        </w:rPr>
        <w:t>VI</w:t>
      </w:r>
      <w:r w:rsidRPr="00844E22">
        <w:t xml:space="preserve"> базового документа</w:t>
      </w:r>
      <w:r w:rsidR="006D78EF">
        <w:t xml:space="preserve"> (</w:t>
      </w:r>
      <w:r w:rsidR="006D78EF" w:rsidRPr="009F7F2B">
        <w:t>HRI/CORE/ LUX/2012</w:t>
      </w:r>
      <w:r w:rsidR="006D78EF">
        <w:t>)</w:t>
      </w:r>
      <w:r w:rsidRPr="00844E22">
        <w:t>.</w:t>
      </w:r>
    </w:p>
    <w:p w:rsidR="009120A7" w:rsidRPr="00844E22" w:rsidRDefault="009120A7" w:rsidP="009120A7">
      <w:pPr>
        <w:pStyle w:val="SingleTxtGR"/>
        <w:rPr>
          <w:b/>
        </w:rPr>
      </w:pPr>
      <w:r>
        <w:rPr>
          <w:b/>
        </w:rPr>
        <w:t>13.</w:t>
      </w:r>
      <w:r>
        <w:rPr>
          <w:b/>
        </w:rPr>
        <w:tab/>
        <w:t>"</w:t>
      </w:r>
      <w:r w:rsidRPr="00844E22">
        <w:rPr>
          <w:b/>
          <w:bCs/>
        </w:rPr>
        <w:t>Комитет</w:t>
      </w:r>
      <w:r w:rsidR="006D78EF">
        <w:rPr>
          <w:b/>
          <w:bCs/>
        </w:rPr>
        <w:t xml:space="preserve"> призывает государство-участник</w:t>
      </w:r>
      <w:r w:rsidRPr="00844E22">
        <w:rPr>
          <w:b/>
          <w:bCs/>
        </w:rPr>
        <w:t xml:space="preserve"> продолжать борьбу с предрассудками и стереотипами ксенофобного характера, в частности в средствах массовой информации, и преодолевать предубеждения и проя</w:t>
      </w:r>
      <w:r w:rsidRPr="00844E22">
        <w:rPr>
          <w:b/>
          <w:bCs/>
        </w:rPr>
        <w:t>в</w:t>
      </w:r>
      <w:r w:rsidRPr="00844E22">
        <w:rPr>
          <w:b/>
          <w:bCs/>
        </w:rPr>
        <w:t>ления дис</w:t>
      </w:r>
      <w:r>
        <w:rPr>
          <w:b/>
          <w:bCs/>
        </w:rPr>
        <w:t xml:space="preserve">криминационного толка. </w:t>
      </w:r>
      <w:r w:rsidRPr="00844E22">
        <w:rPr>
          <w:b/>
          <w:bCs/>
        </w:rPr>
        <w:t>Комитет рекомендует властям разраб</w:t>
      </w:r>
      <w:r w:rsidRPr="00844E22">
        <w:rPr>
          <w:b/>
          <w:bCs/>
        </w:rPr>
        <w:t>о</w:t>
      </w:r>
      <w:r w:rsidRPr="00844E22">
        <w:rPr>
          <w:b/>
          <w:bCs/>
        </w:rPr>
        <w:t>тать программу мер по улучшению осведомленности широкой обществе</w:t>
      </w:r>
      <w:r w:rsidRPr="00844E22">
        <w:rPr>
          <w:b/>
          <w:bCs/>
        </w:rPr>
        <w:t>н</w:t>
      </w:r>
      <w:r w:rsidRPr="00844E22">
        <w:rPr>
          <w:b/>
          <w:bCs/>
        </w:rPr>
        <w:t>ности о существовании и задачах учреждений, созданных для борьбы с р</w:t>
      </w:r>
      <w:r w:rsidRPr="00844E22">
        <w:rPr>
          <w:b/>
          <w:bCs/>
        </w:rPr>
        <w:t>а</w:t>
      </w:r>
      <w:r w:rsidRPr="00844E22">
        <w:rPr>
          <w:b/>
          <w:bCs/>
        </w:rPr>
        <w:t>совой дискриминацией</w:t>
      </w:r>
      <w:r>
        <w:rPr>
          <w:b/>
          <w:bCs/>
        </w:rPr>
        <w:t>"</w:t>
      </w:r>
      <w:r w:rsidRPr="00844E22">
        <w:rPr>
          <w:b/>
          <w:bCs/>
        </w:rPr>
        <w:t>.</w:t>
      </w:r>
    </w:p>
    <w:p w:rsidR="009120A7" w:rsidRPr="00844E22" w:rsidRDefault="009120A7" w:rsidP="006D78EF">
      <w:pPr>
        <w:pStyle w:val="SingleTxtGR"/>
        <w:keepNext/>
        <w:pageBreakBefore/>
      </w:pPr>
      <w:r w:rsidRPr="00844E22">
        <w:t>7.</w:t>
      </w:r>
      <w:r w:rsidRPr="00844E22">
        <w:tab/>
        <w:t>В ходе создания Центра по вопросам равного обращения благодаря по</w:t>
      </w:r>
      <w:r w:rsidRPr="00844E22">
        <w:t>д</w:t>
      </w:r>
      <w:r w:rsidRPr="00844E22">
        <w:t xml:space="preserve">держке программы </w:t>
      </w:r>
      <w:r>
        <w:t>"</w:t>
      </w:r>
      <w:r w:rsidRPr="00844E22">
        <w:t>Прогресс</w:t>
      </w:r>
      <w:r>
        <w:t>"</w:t>
      </w:r>
      <w:r w:rsidRPr="00844E22">
        <w:t xml:space="preserve"> Европейского союза в средствах массовой и</w:t>
      </w:r>
      <w:r w:rsidRPr="00844E22">
        <w:t>н</w:t>
      </w:r>
      <w:r w:rsidRPr="00844E22">
        <w:t>формации была проведена информационно-разъяснительная кампания, посв</w:t>
      </w:r>
      <w:r w:rsidRPr="00844E22">
        <w:t>я</w:t>
      </w:r>
      <w:r w:rsidRPr="00844E22">
        <w:t xml:space="preserve">щенная его деятельности. </w:t>
      </w:r>
    </w:p>
    <w:p w:rsidR="009120A7" w:rsidRPr="00844E22" w:rsidRDefault="009120A7" w:rsidP="009120A7">
      <w:pPr>
        <w:pStyle w:val="SingleTxtGR"/>
      </w:pPr>
      <w:r w:rsidRPr="00844E22">
        <w:t>8.</w:t>
      </w:r>
      <w:r w:rsidRPr="00844E22">
        <w:tab/>
        <w:t>С тех пор в зависимости от имеющихся средств Управление по вопросам приема и интеграции Люксембурга (УИПЛ) стремится в ходе всех просвет</w:t>
      </w:r>
      <w:r w:rsidRPr="00844E22">
        <w:t>и</w:t>
      </w:r>
      <w:r w:rsidRPr="00844E22">
        <w:t>тельских мероприятий среди широкой общественности популяризировать де</w:t>
      </w:r>
      <w:r w:rsidRPr="00844E22">
        <w:t>я</w:t>
      </w:r>
      <w:r w:rsidRPr="00844E22">
        <w:t>тельность Центра по вопросам равного обращения, информируя ее о функци</w:t>
      </w:r>
      <w:r w:rsidRPr="00844E22">
        <w:t>о</w:t>
      </w:r>
      <w:r w:rsidRPr="00844E22">
        <w:t xml:space="preserve">нировании и полномочиях центра. Например, следует отметить ежегодно транслируемую программу </w:t>
      </w:r>
      <w:r>
        <w:t>"</w:t>
      </w:r>
      <w:r w:rsidRPr="00844E22">
        <w:t>Радио Латина</w:t>
      </w:r>
      <w:r>
        <w:t>"</w:t>
      </w:r>
      <w:r w:rsidRPr="00844E22">
        <w:t>, посвященную этому центру, или стендовую презентацию Центра по вопросам равного обращения (ЦРО) в ходе ознакомительного дня, проводимого несколько раз в год и ориентированного прежде всего на кандидатов-стажеров, подписавших контракт по приему и и</w:t>
      </w:r>
      <w:r w:rsidRPr="00844E22">
        <w:t>н</w:t>
      </w:r>
      <w:r w:rsidRPr="00844E22">
        <w:t>теграции.</w:t>
      </w:r>
    </w:p>
    <w:p w:rsidR="009120A7" w:rsidRPr="00844E22" w:rsidRDefault="009120A7" w:rsidP="009120A7">
      <w:pPr>
        <w:pStyle w:val="SingleTxtGR"/>
        <w:rPr>
          <w:b/>
        </w:rPr>
      </w:pPr>
      <w:r>
        <w:rPr>
          <w:b/>
        </w:rPr>
        <w:t>14.</w:t>
      </w:r>
      <w:r>
        <w:rPr>
          <w:b/>
        </w:rPr>
        <w:tab/>
        <w:t>"</w:t>
      </w:r>
      <w:r w:rsidRPr="00844E22">
        <w:rPr>
          <w:b/>
          <w:bCs/>
        </w:rPr>
        <w:t>Комитет призывает государство-участник бороться с этой совр</w:t>
      </w:r>
      <w:r w:rsidRPr="00844E22">
        <w:rPr>
          <w:b/>
          <w:bCs/>
        </w:rPr>
        <w:t>е</w:t>
      </w:r>
      <w:r w:rsidRPr="00844E22">
        <w:rPr>
          <w:b/>
          <w:bCs/>
        </w:rPr>
        <w:t>менной формой расовой дискриминации, которая под</w:t>
      </w:r>
      <w:r w:rsidR="006D78EF">
        <w:rPr>
          <w:b/>
          <w:bCs/>
        </w:rPr>
        <w:t xml:space="preserve">падает под принципы Конвенции. </w:t>
      </w:r>
      <w:r w:rsidRPr="00844E22">
        <w:rPr>
          <w:b/>
          <w:bCs/>
        </w:rPr>
        <w:t>Комитет просит информировать его о мерах, принятых гос</w:t>
      </w:r>
      <w:r w:rsidRPr="00844E22">
        <w:rPr>
          <w:b/>
          <w:bCs/>
        </w:rPr>
        <w:t>у</w:t>
      </w:r>
      <w:r w:rsidRPr="00844E22">
        <w:rPr>
          <w:b/>
          <w:bCs/>
        </w:rPr>
        <w:t>дарством-участником в этой связи, при представлении им своего след</w:t>
      </w:r>
      <w:r>
        <w:rPr>
          <w:b/>
          <w:bCs/>
        </w:rPr>
        <w:t>у</w:t>
      </w:r>
      <w:r>
        <w:rPr>
          <w:b/>
          <w:bCs/>
        </w:rPr>
        <w:t>ю</w:t>
      </w:r>
      <w:r>
        <w:rPr>
          <w:b/>
          <w:bCs/>
        </w:rPr>
        <w:t xml:space="preserve">щего периодического доклада. </w:t>
      </w:r>
      <w:r w:rsidRPr="00844E22">
        <w:rPr>
          <w:b/>
          <w:bCs/>
        </w:rPr>
        <w:t>Кроме того, он рекомендует государству-участнику ратифицировать Конвенцию Совета Европы о борьбе с кибе</w:t>
      </w:r>
      <w:r w:rsidRPr="00844E22">
        <w:rPr>
          <w:b/>
          <w:bCs/>
        </w:rPr>
        <w:t>р</w:t>
      </w:r>
      <w:r w:rsidRPr="00844E22">
        <w:rPr>
          <w:b/>
          <w:bCs/>
        </w:rPr>
        <w:t>преступностью и Дополнительный протокол к ней, касающийся привлеч</w:t>
      </w:r>
      <w:r w:rsidRPr="00844E22">
        <w:rPr>
          <w:b/>
          <w:bCs/>
        </w:rPr>
        <w:t>е</w:t>
      </w:r>
      <w:r w:rsidRPr="00844E22">
        <w:rPr>
          <w:b/>
          <w:bCs/>
        </w:rPr>
        <w:t>ния к ответственности за деяния расистского и ксенофобного характера, совершаемые через посредство информационных систем</w:t>
      </w:r>
      <w:r>
        <w:rPr>
          <w:b/>
          <w:bCs/>
        </w:rPr>
        <w:t>"</w:t>
      </w:r>
      <w:r w:rsidRPr="00844E22">
        <w:rPr>
          <w:b/>
          <w:bCs/>
        </w:rPr>
        <w:t>.</w:t>
      </w:r>
    </w:p>
    <w:p w:rsidR="009120A7" w:rsidRPr="00844E22" w:rsidRDefault="009120A7" w:rsidP="009120A7">
      <w:pPr>
        <w:pStyle w:val="SingleTxtGR"/>
      </w:pPr>
      <w:r w:rsidRPr="00844E22">
        <w:t>9.</w:t>
      </w:r>
      <w:r w:rsidRPr="00844E22">
        <w:tab/>
        <w:t>В рамках многолетней информационно-просветительской кампании, пр</w:t>
      </w:r>
      <w:r w:rsidRPr="00844E22">
        <w:t>о</w:t>
      </w:r>
      <w:r w:rsidRPr="00844E22">
        <w:t>водимой Министерством по делам семьи и интеграции/Управлением по вопр</w:t>
      </w:r>
      <w:r w:rsidRPr="00844E22">
        <w:t>о</w:t>
      </w:r>
      <w:r w:rsidRPr="00844E22">
        <w:t xml:space="preserve">сам приема и интеграции Люксембурга при поддержке программы ЕС </w:t>
      </w:r>
      <w:r>
        <w:t>"</w:t>
      </w:r>
      <w:r w:rsidRPr="00844E22">
        <w:t>Пр</w:t>
      </w:r>
      <w:r w:rsidRPr="00844E22">
        <w:t>о</w:t>
      </w:r>
      <w:r w:rsidRPr="00844E22">
        <w:t>гресс</w:t>
      </w:r>
      <w:r>
        <w:t>"</w:t>
      </w:r>
      <w:r w:rsidRPr="00844E22">
        <w:t>, реализуются два проекта, которые ориентированы прежде всего на м</w:t>
      </w:r>
      <w:r w:rsidRPr="00844E22">
        <w:t>о</w:t>
      </w:r>
      <w:r w:rsidRPr="00844E22">
        <w:t>лодежь и посвящены опасностям, связанным с использованием новых средств информации:</w:t>
      </w:r>
    </w:p>
    <w:p w:rsidR="009120A7" w:rsidRPr="00844E22" w:rsidRDefault="009120A7" w:rsidP="009120A7">
      <w:pPr>
        <w:pStyle w:val="Bullet1GR"/>
        <w:numPr>
          <w:ilvl w:val="0"/>
          <w:numId w:val="1"/>
        </w:numPr>
      </w:pPr>
      <w:r w:rsidRPr="00844E22">
        <w:t xml:space="preserve">Проект </w:t>
      </w:r>
      <w:r>
        <w:t>"</w:t>
      </w:r>
      <w:r w:rsidRPr="00844E22">
        <w:t>Дискриминация незаконна. В Интернете – тоже</w:t>
      </w:r>
      <w:r>
        <w:t>"</w:t>
      </w:r>
      <w:r w:rsidRPr="00844E22">
        <w:t>, проводимый ЦРО с</w:t>
      </w:r>
      <w:r w:rsidRPr="00844E22">
        <w:t>о</w:t>
      </w:r>
      <w:r w:rsidRPr="00844E22">
        <w:t xml:space="preserve">вместно с </w:t>
      </w:r>
      <w:r>
        <w:t>"</w:t>
      </w:r>
      <w:r w:rsidRPr="00844E22">
        <w:t>BEE Secure</w:t>
      </w:r>
      <w:r>
        <w:t>"</w:t>
      </w:r>
      <w:r w:rsidRPr="00844E22">
        <w:t xml:space="preserve"> и некоммерческой ассоциацией </w:t>
      </w:r>
      <w:r>
        <w:t>"</w:t>
      </w:r>
      <w:r w:rsidRPr="00844E22">
        <w:t>4motion</w:t>
      </w:r>
      <w:r>
        <w:t>"</w:t>
      </w:r>
      <w:r w:rsidRPr="00844E22">
        <w:t>. Этот проект предусматривает составление и распространение складного буклета, предназначенного непосредственно для подростков. На убед</w:t>
      </w:r>
      <w:r w:rsidRPr="00844E22">
        <w:t>и</w:t>
      </w:r>
      <w:r w:rsidRPr="00844E22">
        <w:t>тельном примере этот буклет ясно показывает, что проявления дискрим</w:t>
      </w:r>
      <w:r w:rsidRPr="00844E22">
        <w:t>и</w:t>
      </w:r>
      <w:r w:rsidRPr="00844E22">
        <w:t>нации являются наказуемыми и могут отслеживаться, даже если их авт</w:t>
      </w:r>
      <w:r w:rsidRPr="00844E22">
        <w:t>о</w:t>
      </w:r>
      <w:r w:rsidRPr="00844E22">
        <w:t>ры уверены в анонимности своих де</w:t>
      </w:r>
      <w:r w:rsidRPr="00844E22">
        <w:t>й</w:t>
      </w:r>
      <w:r w:rsidRPr="00844E22">
        <w:t>ствий в Интернете.</w:t>
      </w:r>
    </w:p>
    <w:p w:rsidR="009120A7" w:rsidRPr="007A56D0" w:rsidRDefault="009120A7" w:rsidP="009120A7">
      <w:pPr>
        <w:pStyle w:val="Bullet1GR"/>
        <w:numPr>
          <w:ilvl w:val="0"/>
          <w:numId w:val="1"/>
        </w:numPr>
      </w:pPr>
      <w:r w:rsidRPr="00844E22">
        <w:t xml:space="preserve">Рекламный ролик под названием </w:t>
      </w:r>
      <w:r>
        <w:t>"</w:t>
      </w:r>
      <w:r w:rsidRPr="00844E22">
        <w:t>Азбука терпимости</w:t>
      </w:r>
      <w:r>
        <w:t>"</w:t>
      </w:r>
      <w:r w:rsidRPr="00844E22">
        <w:t xml:space="preserve"> − проект, реал</w:t>
      </w:r>
      <w:r w:rsidRPr="00844E22">
        <w:t>и</w:t>
      </w:r>
      <w:r w:rsidRPr="00844E22">
        <w:t>зуемый Ассоциацией содействия трудящимся-мигрантам (АСТМ) в с</w:t>
      </w:r>
      <w:r w:rsidRPr="00844E22">
        <w:t>о</w:t>
      </w:r>
      <w:r w:rsidRPr="00844E22">
        <w:t>трудничестве с Национальной службой по делам молодежи, домами м</w:t>
      </w:r>
      <w:r w:rsidRPr="00844E22">
        <w:t>о</w:t>
      </w:r>
      <w:r w:rsidRPr="00844E22">
        <w:t>лодежи и Министерством национального образования, представляет с</w:t>
      </w:r>
      <w:r w:rsidRPr="00844E22">
        <w:t>о</w:t>
      </w:r>
      <w:r w:rsidRPr="00844E22">
        <w:t xml:space="preserve">бой рекламный ролик </w:t>
      </w:r>
      <w:r>
        <w:t>"</w:t>
      </w:r>
      <w:r w:rsidRPr="00844E22">
        <w:t>Азбука терпимости</w:t>
      </w:r>
      <w:r>
        <w:t>"</w:t>
      </w:r>
      <w:r w:rsidRPr="00844E22">
        <w:t>. В этом клипе, снятом мол</w:t>
      </w:r>
      <w:r w:rsidRPr="00844E22">
        <w:t>о</w:t>
      </w:r>
      <w:r w:rsidRPr="00844E22">
        <w:t xml:space="preserve">дыми люксембуржцами, обучающимися в лицее Дикирха, обращается внимание молодежной аудитории на риски, связанные с пользованием социальной сетью </w:t>
      </w:r>
      <w:r>
        <w:t>"</w:t>
      </w:r>
      <w:r w:rsidRPr="00844E22">
        <w:t>Фейсбук</w:t>
      </w:r>
      <w:r>
        <w:t>"</w:t>
      </w:r>
      <w:r w:rsidRPr="00844E22">
        <w:t xml:space="preserve"> с точки зрения проя</w:t>
      </w:r>
      <w:r w:rsidRPr="00844E22">
        <w:t>в</w:t>
      </w:r>
      <w:r w:rsidRPr="00844E22">
        <w:t>лений нетерпимости и расизма.</w:t>
      </w:r>
    </w:p>
    <w:p w:rsidR="009120A7" w:rsidRPr="00844E22" w:rsidRDefault="009120A7" w:rsidP="009120A7">
      <w:pPr>
        <w:pStyle w:val="SingleTxtGR"/>
      </w:pPr>
      <w:r w:rsidRPr="00844E22">
        <w:t>10.</w:t>
      </w:r>
      <w:r w:rsidRPr="00844E22">
        <w:tab/>
        <w:t>В Люксембурге готовится законопроект о ратификации Конвенции Сов</w:t>
      </w:r>
      <w:r w:rsidRPr="00844E22">
        <w:t>е</w:t>
      </w:r>
      <w:r w:rsidRPr="00844E22">
        <w:t xml:space="preserve">та Европы о борьбе с киберпреступностью и </w:t>
      </w:r>
      <w:r w:rsidRPr="00844E22">
        <w:rPr>
          <w:bCs/>
        </w:rPr>
        <w:t>Дополнительного протокола к ней, касающегося привлечения к ответственности за деяния расистского и ксен</w:t>
      </w:r>
      <w:r w:rsidRPr="00844E22">
        <w:rPr>
          <w:bCs/>
        </w:rPr>
        <w:t>о</w:t>
      </w:r>
      <w:r w:rsidRPr="00844E22">
        <w:rPr>
          <w:bCs/>
        </w:rPr>
        <w:t>фобного характера, совершаемые через посредство информационных систем</w:t>
      </w:r>
      <w:r w:rsidRPr="00844E22">
        <w:t>.</w:t>
      </w:r>
    </w:p>
    <w:p w:rsidR="009120A7" w:rsidRPr="00844E22" w:rsidRDefault="009120A7" w:rsidP="009120A7">
      <w:pPr>
        <w:pStyle w:val="SingleTxtGR"/>
        <w:rPr>
          <w:b/>
        </w:rPr>
      </w:pPr>
      <w:r>
        <w:rPr>
          <w:b/>
        </w:rPr>
        <w:t>16.</w:t>
      </w:r>
      <w:r>
        <w:rPr>
          <w:b/>
        </w:rPr>
        <w:tab/>
        <w:t>"</w:t>
      </w:r>
      <w:r w:rsidRPr="00844E22">
        <w:rPr>
          <w:b/>
          <w:bCs/>
        </w:rPr>
        <w:t xml:space="preserve">Комитет обращает внимание государства-участника на свою Общую рекомендацию </w:t>
      </w:r>
      <w:r w:rsidRPr="00844E22">
        <w:rPr>
          <w:b/>
          <w:bCs/>
          <w:lang w:val="en-US"/>
        </w:rPr>
        <w:t>XV</w:t>
      </w:r>
      <w:r w:rsidRPr="00844E22">
        <w:rPr>
          <w:b/>
          <w:bCs/>
        </w:rPr>
        <w:t>, гласящую, что все положения статьи 4 Конвенции им</w:t>
      </w:r>
      <w:r w:rsidRPr="00844E22">
        <w:rPr>
          <w:b/>
          <w:bCs/>
        </w:rPr>
        <w:t>е</w:t>
      </w:r>
      <w:r w:rsidRPr="00844E22">
        <w:rPr>
          <w:b/>
          <w:bCs/>
        </w:rPr>
        <w:t>ют императивный характер, включая обязательство объявлять незаконной и запрещать любую организацию, способствующую дискриминации или подстрекающую к ней, а также считать правонарушением, наказуемым в соответствии с законом, учас</w:t>
      </w:r>
      <w:r>
        <w:rPr>
          <w:b/>
          <w:bCs/>
        </w:rPr>
        <w:t xml:space="preserve">тие в такого рода организации. </w:t>
      </w:r>
      <w:r w:rsidRPr="00844E22">
        <w:rPr>
          <w:b/>
          <w:bCs/>
        </w:rPr>
        <w:t>В этой связи Комитет рекомендует государству-участнику пересмотреть свою позицию по данному вопросу</w:t>
      </w:r>
      <w:r>
        <w:rPr>
          <w:b/>
          <w:bCs/>
        </w:rPr>
        <w:t>"</w:t>
      </w:r>
      <w:r w:rsidRPr="00844E22">
        <w:rPr>
          <w:b/>
          <w:bCs/>
        </w:rPr>
        <w:t>.</w:t>
      </w:r>
    </w:p>
    <w:p w:rsidR="009120A7" w:rsidRPr="007A56D0" w:rsidRDefault="009120A7" w:rsidP="009120A7">
      <w:pPr>
        <w:pStyle w:val="SingleTxtGR"/>
      </w:pPr>
      <w:r w:rsidRPr="00844E22">
        <w:t>11.</w:t>
      </w:r>
      <w:r w:rsidRPr="00844E22">
        <w:tab/>
        <w:t>Следует упомянуть о введении в 2010 году уголовной ответственности юридических лиц и вновь сослаться на то, что уже было сообщено о Законе 1928 года об ассоциациях, в частности на положения об общественном порядке и о возможности роспуска ассоциаций. Введение автоматического запрета не предусматривается, поскольку считается, что такой запрет охватывается дейс</w:t>
      </w:r>
      <w:r w:rsidRPr="00844E22">
        <w:t>т</w:t>
      </w:r>
      <w:r w:rsidRPr="00844E22">
        <w:t>вующими законами. Вероятно, представленный в 2005 году ответ был отчасти неудачным.</w:t>
      </w:r>
    </w:p>
    <w:p w:rsidR="009120A7" w:rsidRPr="00844E22" w:rsidRDefault="009120A7" w:rsidP="009120A7">
      <w:pPr>
        <w:pStyle w:val="SingleTxtGR"/>
        <w:rPr>
          <w:b/>
        </w:rPr>
      </w:pPr>
      <w:r>
        <w:rPr>
          <w:b/>
        </w:rPr>
        <w:t>17.</w:t>
      </w:r>
      <w:r>
        <w:rPr>
          <w:b/>
        </w:rPr>
        <w:tab/>
        <w:t>"</w:t>
      </w:r>
      <w:r w:rsidRPr="00844E22">
        <w:rPr>
          <w:b/>
          <w:bCs/>
        </w:rPr>
        <w:t xml:space="preserve">С учетом своей Общей рекомендации </w:t>
      </w:r>
      <w:r w:rsidRPr="00844E22">
        <w:rPr>
          <w:b/>
          <w:bCs/>
          <w:lang w:val="en-US"/>
        </w:rPr>
        <w:t>XXX</w:t>
      </w:r>
      <w:r w:rsidRPr="00844E22">
        <w:rPr>
          <w:b/>
          <w:bCs/>
        </w:rPr>
        <w:t xml:space="preserve"> Комитет предлагает пр</w:t>
      </w:r>
      <w:r w:rsidRPr="00844E22">
        <w:rPr>
          <w:b/>
          <w:bCs/>
        </w:rPr>
        <w:t>и</w:t>
      </w:r>
      <w:r w:rsidRPr="00844E22">
        <w:rPr>
          <w:b/>
          <w:bCs/>
        </w:rPr>
        <w:t>нять конкретные меры, с тем чтобы гарантировать равное право на дост</w:t>
      </w:r>
      <w:r w:rsidRPr="00844E22">
        <w:rPr>
          <w:b/>
          <w:bCs/>
        </w:rPr>
        <w:t>а</w:t>
      </w:r>
      <w:r w:rsidRPr="00844E22">
        <w:rPr>
          <w:b/>
          <w:bCs/>
        </w:rPr>
        <w:t>точное жилище гражданам и негражданам, в частности устранив всякую сегрег</w:t>
      </w:r>
      <w:r w:rsidRPr="00844E22">
        <w:rPr>
          <w:b/>
          <w:bCs/>
        </w:rPr>
        <w:t>а</w:t>
      </w:r>
      <w:r w:rsidRPr="00844E22">
        <w:rPr>
          <w:b/>
          <w:bCs/>
        </w:rPr>
        <w:t>цию в вопросах обеспечения  жильем и следя за тем, чтобы органы, занимающиеся жилищными вопросами, воздерживались от дискримин</w:t>
      </w:r>
      <w:r w:rsidRPr="00844E22">
        <w:rPr>
          <w:b/>
          <w:bCs/>
        </w:rPr>
        <w:t>а</w:t>
      </w:r>
      <w:r w:rsidRPr="00844E22">
        <w:rPr>
          <w:b/>
          <w:bCs/>
        </w:rPr>
        <w:t>ционных действий</w:t>
      </w:r>
      <w:r>
        <w:rPr>
          <w:b/>
          <w:bCs/>
        </w:rPr>
        <w:t>".</w:t>
      </w:r>
    </w:p>
    <w:p w:rsidR="009120A7" w:rsidRPr="00844E22" w:rsidRDefault="009120A7" w:rsidP="009120A7">
      <w:pPr>
        <w:pStyle w:val="SingleTxtGR"/>
      </w:pPr>
      <w:r w:rsidRPr="00844E22">
        <w:t>12.</w:t>
      </w:r>
      <w:r w:rsidRPr="00844E22">
        <w:tab/>
        <w:t>В распоряжении Жилищного фонда Люксембурга, являющегося осно</w:t>
      </w:r>
      <w:r w:rsidRPr="00844E22">
        <w:t>в</w:t>
      </w:r>
      <w:r w:rsidRPr="00844E22">
        <w:t>ным государственным органом по развитию жилищной инфраструктуры, нах</w:t>
      </w:r>
      <w:r w:rsidRPr="00844E22">
        <w:t>о</w:t>
      </w:r>
      <w:r w:rsidRPr="00844E22">
        <w:t>дится около 1 700 единиц социального арендного жилья. Только 35% социал</w:t>
      </w:r>
      <w:r w:rsidRPr="00844E22">
        <w:t>ь</w:t>
      </w:r>
      <w:r w:rsidRPr="00844E22">
        <w:t>ного арендного жилья занято семьями люксембуржцев; 65% этого жилого фо</w:t>
      </w:r>
      <w:r w:rsidRPr="00844E22">
        <w:t>н</w:t>
      </w:r>
      <w:r w:rsidRPr="00844E22">
        <w:t>да занимают иностранные семьи.</w:t>
      </w:r>
    </w:p>
    <w:p w:rsidR="009120A7" w:rsidRPr="00642A97" w:rsidRDefault="009120A7" w:rsidP="009120A7">
      <w:pPr>
        <w:pStyle w:val="SingleTxtGR"/>
        <w:rPr>
          <w:b/>
          <w:bCs/>
        </w:rPr>
      </w:pPr>
      <w:r>
        <w:rPr>
          <w:b/>
        </w:rPr>
        <w:t>19.</w:t>
      </w:r>
      <w:r>
        <w:rPr>
          <w:b/>
        </w:rPr>
        <w:tab/>
        <w:t>"</w:t>
      </w:r>
      <w:r w:rsidRPr="00844E22">
        <w:rPr>
          <w:b/>
          <w:bCs/>
        </w:rPr>
        <w:t>Принимая во внимание предоставленную государством-участником информацию о программах подготовки по вопросам прав человека для г</w:t>
      </w:r>
      <w:r w:rsidRPr="00844E22">
        <w:rPr>
          <w:b/>
          <w:bCs/>
        </w:rPr>
        <w:t>о</w:t>
      </w:r>
      <w:r w:rsidRPr="00844E22">
        <w:rPr>
          <w:b/>
          <w:bCs/>
        </w:rPr>
        <w:t>сударственных служащих, Комитет в то же время призывает государство-участник включать в программы такой подготовки аспекты, более ко</w:t>
      </w:r>
      <w:r w:rsidRPr="00844E22">
        <w:rPr>
          <w:b/>
          <w:bCs/>
        </w:rPr>
        <w:t>н</w:t>
      </w:r>
      <w:r w:rsidRPr="00844E22">
        <w:rPr>
          <w:b/>
          <w:bCs/>
        </w:rPr>
        <w:t>кретно связанные с проблемами расизма и дискриминации, и охватить т</w:t>
      </w:r>
      <w:r w:rsidRPr="00844E22">
        <w:rPr>
          <w:b/>
          <w:bCs/>
        </w:rPr>
        <w:t>а</w:t>
      </w:r>
      <w:r w:rsidRPr="00844E22">
        <w:rPr>
          <w:b/>
          <w:bCs/>
        </w:rPr>
        <w:t>кого рода программами подготовки и информирования всех сотрудников, работающих с группами меньшинств</w:t>
      </w:r>
      <w:r>
        <w:rPr>
          <w:b/>
          <w:bCs/>
        </w:rPr>
        <w:t>"</w:t>
      </w:r>
      <w:r w:rsidRPr="00844E22">
        <w:rPr>
          <w:b/>
          <w:bCs/>
        </w:rPr>
        <w:t>.</w:t>
      </w:r>
    </w:p>
    <w:p w:rsidR="009120A7" w:rsidRPr="00844E22" w:rsidRDefault="009120A7" w:rsidP="009120A7">
      <w:pPr>
        <w:pStyle w:val="SingleTxtGR"/>
      </w:pPr>
      <w:r w:rsidRPr="00844E22">
        <w:t>13.</w:t>
      </w:r>
      <w:r w:rsidRPr="00844E22">
        <w:tab/>
        <w:t xml:space="preserve">См. информацию по статье 5, раздел В </w:t>
      </w:r>
      <w:r w:rsidR="00C52D42">
        <w:t>настоящего доклада</w:t>
      </w:r>
      <w:r w:rsidRPr="00844E22">
        <w:t>.</w:t>
      </w:r>
    </w:p>
    <w:p w:rsidR="009120A7" w:rsidRPr="00844E22" w:rsidRDefault="009120A7" w:rsidP="009120A7">
      <w:pPr>
        <w:pStyle w:val="SingleTxtGR"/>
        <w:rPr>
          <w:b/>
        </w:rPr>
      </w:pPr>
      <w:r>
        <w:rPr>
          <w:b/>
        </w:rPr>
        <w:t>20.</w:t>
      </w:r>
      <w:r>
        <w:rPr>
          <w:b/>
        </w:rPr>
        <w:tab/>
        <w:t>"</w:t>
      </w:r>
      <w:r w:rsidRPr="00844E22">
        <w:rPr>
          <w:b/>
        </w:rPr>
        <w:t>Комитет призывает государство-участник изучить возможность р</w:t>
      </w:r>
      <w:r w:rsidRPr="00844E22">
        <w:rPr>
          <w:b/>
        </w:rPr>
        <w:t>а</w:t>
      </w:r>
      <w:r w:rsidRPr="00844E22">
        <w:rPr>
          <w:b/>
        </w:rPr>
        <w:t>тификации Международной конвенции о защите прав всех трудящихся-мигрантов и членов их семей, а также Конвенции 1961 года о сокращении безгражданства</w:t>
      </w:r>
      <w:r>
        <w:rPr>
          <w:b/>
        </w:rPr>
        <w:t>"</w:t>
      </w:r>
      <w:r w:rsidRPr="00844E22">
        <w:rPr>
          <w:b/>
        </w:rPr>
        <w:t>.</w:t>
      </w:r>
    </w:p>
    <w:p w:rsidR="009120A7" w:rsidRPr="00844E22" w:rsidRDefault="009120A7" w:rsidP="00C52D42">
      <w:pPr>
        <w:pStyle w:val="H4GR"/>
        <w:spacing w:before="240"/>
      </w:pPr>
      <w:r w:rsidRPr="00844E22">
        <w:tab/>
      </w:r>
      <w:r w:rsidRPr="00844E22">
        <w:tab/>
        <w:t xml:space="preserve">Международная конвенция о защите прав всех трудящихся-мигрантов </w:t>
      </w:r>
      <w:r w:rsidR="00C52D42">
        <w:br/>
      </w:r>
      <w:r w:rsidR="00C52D42">
        <w:tab/>
      </w:r>
      <w:r w:rsidR="00C52D42">
        <w:tab/>
      </w:r>
      <w:r w:rsidRPr="00844E22">
        <w:t xml:space="preserve">и членов их семей </w:t>
      </w:r>
    </w:p>
    <w:p w:rsidR="009120A7" w:rsidRPr="00844E22" w:rsidRDefault="009120A7" w:rsidP="009120A7">
      <w:pPr>
        <w:pStyle w:val="SingleTxtGR"/>
      </w:pPr>
      <w:r w:rsidRPr="00844E22">
        <w:t>14.</w:t>
      </w:r>
      <w:r w:rsidRPr="00844E22">
        <w:tab/>
        <w:t>Существенные юридические препятствия в области регулирования стат</w:t>
      </w:r>
      <w:r w:rsidRPr="00844E22">
        <w:t>у</w:t>
      </w:r>
      <w:r w:rsidRPr="00844E22">
        <w:t>са трудящихся-мигрантов, связанные с членством в Европейском союзе, не п</w:t>
      </w:r>
      <w:r w:rsidRPr="00844E22">
        <w:t>о</w:t>
      </w:r>
      <w:r w:rsidRPr="00844E22">
        <w:t>зволяют Люксембургу на данном этапе рассматривать вопрос о ратификации этой конвенции. Люксембургу хотелось бы, чтобы в рамках Европейского союза было проведено исследование для определения возможных средств, позволя</w:t>
      </w:r>
      <w:r w:rsidRPr="00844E22">
        <w:t>ю</w:t>
      </w:r>
      <w:r w:rsidRPr="00844E22">
        <w:t>щих выработать какое-либо решение вопроса о ратификации Конвенции. Как и другие европейские партнеры, Люксембург будет продолжать активно участв</w:t>
      </w:r>
      <w:r w:rsidRPr="00844E22">
        <w:t>о</w:t>
      </w:r>
      <w:r w:rsidRPr="00844E22">
        <w:t xml:space="preserve">вать в обсуждении международным сообществом вопроса о мигрантах. </w:t>
      </w:r>
    </w:p>
    <w:p w:rsidR="009120A7" w:rsidRPr="00844E22" w:rsidRDefault="009120A7" w:rsidP="00C52D42">
      <w:pPr>
        <w:pStyle w:val="H4GR"/>
        <w:spacing w:before="240"/>
      </w:pPr>
      <w:r w:rsidRPr="00844E22">
        <w:tab/>
      </w:r>
      <w:r w:rsidRPr="00844E22">
        <w:tab/>
        <w:t>Конвенция о сокращении безгражданства</w:t>
      </w:r>
    </w:p>
    <w:p w:rsidR="009120A7" w:rsidRPr="00844E22" w:rsidRDefault="009120A7" w:rsidP="009120A7">
      <w:pPr>
        <w:pStyle w:val="SingleTxtGR"/>
      </w:pPr>
      <w:r>
        <w:t>15.</w:t>
      </w:r>
      <w:r>
        <w:tab/>
      </w:r>
      <w:r w:rsidRPr="00844E22">
        <w:t>Люксембург подтверждает свое стремление присоединиться к Конвенции 1961 года о сокращении безгражданства. Однако для присоединения к ней тр</w:t>
      </w:r>
      <w:r w:rsidRPr="00844E22">
        <w:t>е</w:t>
      </w:r>
      <w:r w:rsidRPr="00844E22">
        <w:t>буется внести ряд изменений в Закон от 23 октября 2008 года о гражданстве Люксембурга, оценка которого была проведена в сентябре 2012 года. Прав</w:t>
      </w:r>
      <w:r w:rsidRPr="00844E22">
        <w:t>и</w:t>
      </w:r>
      <w:r w:rsidRPr="00844E22">
        <w:t xml:space="preserve">тельство обратилось к парламенту с просьбой провести прения по вопросу о реформе </w:t>
      </w:r>
      <w:r w:rsidR="00240B02">
        <w:t>данного Закона</w:t>
      </w:r>
      <w:r w:rsidRPr="00844E22">
        <w:t>. В рамках реформы законодательства о люксембур</w:t>
      </w:r>
      <w:r w:rsidRPr="00844E22">
        <w:t>г</w:t>
      </w:r>
      <w:r w:rsidRPr="00844E22">
        <w:t>ском гражданстве правительство планирует представить законопроект об одо</w:t>
      </w:r>
      <w:r w:rsidRPr="00844E22">
        <w:t>б</w:t>
      </w:r>
      <w:r w:rsidRPr="00844E22">
        <w:t>рении Конвенции о сокращении безгра</w:t>
      </w:r>
      <w:r w:rsidRPr="00844E22">
        <w:t>ж</w:t>
      </w:r>
      <w:r w:rsidRPr="00844E22">
        <w:t>данства.</w:t>
      </w:r>
    </w:p>
    <w:p w:rsidR="009120A7" w:rsidRPr="00642A97" w:rsidRDefault="009120A7" w:rsidP="009120A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120A7" w:rsidRPr="00642A97" w:rsidSect="007511D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0EC" w:rsidRDefault="00C560EC">
      <w:r>
        <w:rPr>
          <w:lang w:val="en-US"/>
        </w:rPr>
        <w:tab/>
      </w:r>
      <w:r>
        <w:separator/>
      </w:r>
    </w:p>
  </w:endnote>
  <w:endnote w:type="continuationSeparator" w:id="0">
    <w:p w:rsidR="00C560EC" w:rsidRDefault="00C56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6E" w:rsidRPr="009A6F4A" w:rsidRDefault="008B736E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0651"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Pr="00CC5381">
      <w:rPr>
        <w:lang w:val="en-US"/>
      </w:rPr>
      <w:t>13-44209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6E" w:rsidRPr="009A6F4A" w:rsidRDefault="008B736E">
    <w:pPr>
      <w:pStyle w:val="Footer"/>
      <w:rPr>
        <w:lang w:val="en-US"/>
      </w:rPr>
    </w:pPr>
    <w:r>
      <w:rPr>
        <w:lang w:val="en-US"/>
      </w:rPr>
      <w:t>GE.</w:t>
    </w:r>
    <w:r w:rsidRPr="00CC5381">
      <w:rPr>
        <w:lang w:val="en-US"/>
      </w:rPr>
      <w:t>13-44209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0651">
      <w:rPr>
        <w:rStyle w:val="PageNumber"/>
        <w:noProof/>
      </w:rPr>
      <w:t>31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6E" w:rsidRPr="009A6F4A" w:rsidRDefault="008B736E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GE.13-44209  (R)  </w:t>
    </w:r>
    <w:r>
      <w:rPr>
        <w:sz w:val="20"/>
        <w:lang w:val="ru-RU"/>
      </w:rPr>
      <w:t>260813  110913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0EC" w:rsidRPr="00F71F63" w:rsidRDefault="00C560E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560EC" w:rsidRPr="00F71F63" w:rsidRDefault="00C560E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560EC" w:rsidRPr="00635E86" w:rsidRDefault="00C560EC" w:rsidP="00635E86">
      <w:pPr>
        <w:pStyle w:val="Footer"/>
      </w:pPr>
    </w:p>
  </w:footnote>
  <w:footnote w:id="1">
    <w:p w:rsidR="008B736E" w:rsidRPr="004F1D0F" w:rsidRDefault="008B736E" w:rsidP="004F1D0F">
      <w:pPr>
        <w:pStyle w:val="FootnoteText"/>
        <w:rPr>
          <w:lang w:val="ru-RU"/>
        </w:rPr>
      </w:pPr>
      <w:r w:rsidRPr="00C67016">
        <w:rPr>
          <w:rStyle w:val="FootnoteReference"/>
          <w:vertAlign w:val="baseline"/>
          <w:lang w:val="ru-RU"/>
        </w:rPr>
        <w:tab/>
      </w:r>
      <w:r w:rsidRPr="00822EAA">
        <w:rPr>
          <w:rStyle w:val="FootnoteReference"/>
          <w:sz w:val="20"/>
          <w:vertAlign w:val="baseline"/>
          <w:lang w:val="ru-RU"/>
        </w:rPr>
        <w:t>*</w:t>
      </w:r>
      <w:r w:rsidRPr="004F1D0F">
        <w:rPr>
          <w:rStyle w:val="FootnoteReference"/>
          <w:szCs w:val="18"/>
          <w:lang w:val="ru-RU"/>
        </w:rPr>
        <w:tab/>
      </w:r>
      <w:r>
        <w:rPr>
          <w:szCs w:val="18"/>
          <w:lang w:val="ru-RU"/>
        </w:rPr>
        <w:t>Настоящий документ представляет собой сведенные воедино четырнадцатый</w:t>
      </w:r>
      <w:r w:rsidRPr="00C67016">
        <w:rPr>
          <w:szCs w:val="18"/>
          <w:lang w:val="ru-RU"/>
        </w:rPr>
        <w:t>−</w:t>
      </w:r>
      <w:r>
        <w:rPr>
          <w:szCs w:val="18"/>
          <w:lang w:val="ru-RU"/>
        </w:rPr>
        <w:t xml:space="preserve">семнадцатый периодические доклады государства-участника, подлежавшие представлению в </w:t>
      </w:r>
      <w:r w:rsidRPr="004F1D0F">
        <w:rPr>
          <w:szCs w:val="18"/>
          <w:lang w:val="ru-RU"/>
        </w:rPr>
        <w:t xml:space="preserve">2005, 2007, 2009 </w:t>
      </w:r>
      <w:r>
        <w:rPr>
          <w:szCs w:val="18"/>
          <w:lang w:val="ru-RU"/>
        </w:rPr>
        <w:t>и</w:t>
      </w:r>
      <w:r w:rsidRPr="004F1D0F">
        <w:rPr>
          <w:szCs w:val="18"/>
          <w:lang w:val="ru-RU"/>
        </w:rPr>
        <w:t xml:space="preserve"> 2011</w:t>
      </w:r>
      <w:r>
        <w:rPr>
          <w:szCs w:val="18"/>
          <w:lang w:val="ru-RU"/>
        </w:rPr>
        <w:t xml:space="preserve"> годах</w:t>
      </w:r>
      <w:r w:rsidRPr="004F1D0F">
        <w:rPr>
          <w:szCs w:val="18"/>
          <w:lang w:val="ru-RU"/>
        </w:rPr>
        <w:t xml:space="preserve">. </w:t>
      </w:r>
      <w:r>
        <w:rPr>
          <w:szCs w:val="18"/>
          <w:lang w:val="ru-RU"/>
        </w:rPr>
        <w:t xml:space="preserve">Десятый−тринадцатый доклады и краткие отчеты о заседаниях Комитета, посвященных их рассмотрению, </w:t>
      </w:r>
      <w:r w:rsidRPr="00C67016">
        <w:rPr>
          <w:szCs w:val="18"/>
          <w:lang w:val="ru-RU"/>
        </w:rPr>
        <w:br/>
      </w:r>
      <w:r>
        <w:rPr>
          <w:szCs w:val="18"/>
          <w:lang w:val="ru-RU"/>
        </w:rPr>
        <w:t xml:space="preserve">см. в документах </w:t>
      </w:r>
      <w:r w:rsidRPr="006701B4">
        <w:rPr>
          <w:szCs w:val="18"/>
        </w:rPr>
        <w:t>CERD</w:t>
      </w:r>
      <w:r w:rsidRPr="004F1D0F">
        <w:rPr>
          <w:szCs w:val="18"/>
          <w:lang w:val="ru-RU"/>
        </w:rPr>
        <w:t>/</w:t>
      </w:r>
      <w:r>
        <w:rPr>
          <w:szCs w:val="18"/>
        </w:rPr>
        <w:t>C</w:t>
      </w:r>
      <w:r w:rsidRPr="004F1D0F">
        <w:rPr>
          <w:szCs w:val="18"/>
          <w:lang w:val="ru-RU"/>
        </w:rPr>
        <w:t>/</w:t>
      </w:r>
      <w:r>
        <w:rPr>
          <w:szCs w:val="18"/>
        </w:rPr>
        <w:t>LUX</w:t>
      </w:r>
      <w:r w:rsidRPr="004F1D0F">
        <w:rPr>
          <w:szCs w:val="18"/>
          <w:lang w:val="ru-RU"/>
        </w:rPr>
        <w:t>/</w:t>
      </w:r>
      <w:r>
        <w:rPr>
          <w:szCs w:val="18"/>
        </w:rPr>
        <w:t>CO</w:t>
      </w:r>
      <w:r w:rsidRPr="004F1D0F">
        <w:rPr>
          <w:szCs w:val="18"/>
          <w:lang w:val="ru-RU"/>
        </w:rPr>
        <w:t xml:space="preserve">/13 </w:t>
      </w:r>
      <w:r>
        <w:rPr>
          <w:szCs w:val="18"/>
          <w:lang w:val="ru-RU"/>
        </w:rPr>
        <w:t>и</w:t>
      </w:r>
      <w:r w:rsidRPr="004F1D0F">
        <w:rPr>
          <w:szCs w:val="18"/>
          <w:lang w:val="ru-RU"/>
        </w:rPr>
        <w:t xml:space="preserve"> </w:t>
      </w:r>
      <w:r>
        <w:rPr>
          <w:szCs w:val="18"/>
        </w:rPr>
        <w:t>CERD</w:t>
      </w:r>
      <w:r w:rsidRPr="004F1D0F">
        <w:rPr>
          <w:szCs w:val="18"/>
          <w:lang w:val="ru-RU"/>
        </w:rPr>
        <w:t>/</w:t>
      </w:r>
      <w:r>
        <w:rPr>
          <w:szCs w:val="18"/>
        </w:rPr>
        <w:t>C</w:t>
      </w:r>
      <w:r w:rsidRPr="004F1D0F">
        <w:rPr>
          <w:szCs w:val="18"/>
          <w:lang w:val="ru-RU"/>
        </w:rPr>
        <w:t>/</w:t>
      </w:r>
      <w:r>
        <w:rPr>
          <w:szCs w:val="18"/>
        </w:rPr>
        <w:t>SR</w:t>
      </w:r>
      <w:r w:rsidRPr="004F1D0F">
        <w:rPr>
          <w:szCs w:val="18"/>
          <w:lang w:val="ru-RU"/>
        </w:rPr>
        <w:t xml:space="preserve">.1677 </w:t>
      </w:r>
      <w:r>
        <w:rPr>
          <w:szCs w:val="18"/>
          <w:lang w:val="ru-RU"/>
        </w:rPr>
        <w:t>и</w:t>
      </w:r>
      <w:r w:rsidRPr="004F1D0F">
        <w:rPr>
          <w:szCs w:val="18"/>
          <w:lang w:val="ru-RU"/>
        </w:rPr>
        <w:t xml:space="preserve"> 1678.</w:t>
      </w:r>
    </w:p>
  </w:footnote>
  <w:footnote w:id="2">
    <w:p w:rsidR="008B736E" w:rsidRPr="004F1D0F" w:rsidRDefault="008B736E" w:rsidP="004F1D0F">
      <w:pPr>
        <w:pStyle w:val="FootnoteText"/>
        <w:rPr>
          <w:lang w:val="ru-RU"/>
        </w:rPr>
      </w:pPr>
      <w:r w:rsidRPr="00C67016">
        <w:rPr>
          <w:rStyle w:val="FootnoteReference"/>
          <w:vertAlign w:val="baseline"/>
          <w:lang w:val="ru-RU"/>
        </w:rPr>
        <w:tab/>
      </w:r>
      <w:r w:rsidRPr="00C67016">
        <w:rPr>
          <w:rStyle w:val="FootnoteReference"/>
          <w:sz w:val="20"/>
          <w:vertAlign w:val="baseline"/>
          <w:lang w:val="ru-RU"/>
        </w:rPr>
        <w:t>**</w:t>
      </w:r>
      <w:r w:rsidRPr="004F1D0F">
        <w:rPr>
          <w:rStyle w:val="FootnoteReference"/>
          <w:lang w:val="ru-RU"/>
        </w:rPr>
        <w:tab/>
      </w:r>
      <w:r>
        <w:rPr>
          <w:lang w:val="ru-RU"/>
        </w:rPr>
        <w:t>В соответствии с информацией, направленной государствам-участникам в отношении оформления их докладов, настоящий документ не редактировался.</w:t>
      </w:r>
    </w:p>
  </w:footnote>
  <w:footnote w:id="3">
    <w:p w:rsidR="008B736E" w:rsidRPr="001C1D8B" w:rsidRDefault="008B736E" w:rsidP="009120A7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1C1D8B">
        <w:rPr>
          <w:lang w:val="ru-RU"/>
        </w:rPr>
        <w:tab/>
        <w:t>См. предыдущий доклад и вступительное замечание.</w:t>
      </w:r>
    </w:p>
  </w:footnote>
  <w:footnote w:id="4">
    <w:p w:rsidR="008B736E" w:rsidRPr="009F2827" w:rsidRDefault="008B736E" w:rsidP="009120A7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9F2827"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Там же</w:t>
      </w:r>
      <w:r w:rsidRPr="009F2827">
        <w:rPr>
          <w:lang w:val="ru-RU"/>
        </w:rPr>
        <w:t>.</w:t>
      </w:r>
    </w:p>
  </w:footnote>
  <w:footnote w:id="5">
    <w:p w:rsidR="008B736E" w:rsidRPr="009F2827" w:rsidRDefault="008B736E" w:rsidP="009120A7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9F2827"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Там же</w:t>
      </w:r>
      <w:r w:rsidRPr="009F2827">
        <w:rPr>
          <w:lang w:val="ru-RU"/>
        </w:rPr>
        <w:t>.</w:t>
      </w:r>
    </w:p>
  </w:footnote>
  <w:footnote w:id="6">
    <w:p w:rsidR="008B736E" w:rsidRPr="0075424E" w:rsidRDefault="008B736E" w:rsidP="009120A7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9F2827"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Там же.</w:t>
      </w:r>
    </w:p>
  </w:footnote>
  <w:footnote w:id="7">
    <w:p w:rsidR="008B736E" w:rsidRPr="004A2AA1" w:rsidRDefault="008B736E" w:rsidP="009120A7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9F2827"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Там же</w:t>
      </w:r>
      <w:r w:rsidRPr="004A2AA1">
        <w:rPr>
          <w:lang w:val="ru-RU"/>
        </w:rPr>
        <w:t>.</w:t>
      </w:r>
    </w:p>
  </w:footnote>
  <w:footnote w:id="8">
    <w:p w:rsidR="008B736E" w:rsidRPr="00F05C87" w:rsidRDefault="008B736E" w:rsidP="009120A7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4A2AA1">
        <w:rPr>
          <w:lang w:val="ru-RU"/>
        </w:rPr>
        <w:tab/>
      </w:r>
      <w:r>
        <w:rPr>
          <w:rStyle w:val="FootnoteReference"/>
        </w:rPr>
        <w:footnoteRef/>
      </w:r>
      <w:r w:rsidRPr="004A2AA1">
        <w:rPr>
          <w:lang w:val="ru-RU"/>
        </w:rPr>
        <w:tab/>
      </w:r>
      <w:r>
        <w:rPr>
          <w:lang w:val="ru-RU"/>
        </w:rPr>
        <w:t xml:space="preserve">Там же.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6E" w:rsidRPr="00CC5381" w:rsidRDefault="008B736E">
    <w:pPr>
      <w:pStyle w:val="Header"/>
      <w:rPr>
        <w:lang w:val="en-US"/>
      </w:rPr>
    </w:pPr>
    <w:r>
      <w:rPr>
        <w:lang w:val="en-US"/>
      </w:rPr>
      <w:t>CERD/</w:t>
    </w:r>
    <w:r w:rsidRPr="00CC5381">
      <w:rPr>
        <w:lang w:val="en-US"/>
      </w:rPr>
      <w:t>C/LUX/14-17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6E" w:rsidRPr="00CC5381" w:rsidRDefault="008B736E">
    <w:pPr>
      <w:pStyle w:val="Header"/>
      <w:rPr>
        <w:lang w:val="en-US"/>
      </w:rPr>
    </w:pPr>
    <w:r>
      <w:rPr>
        <w:lang w:val="en-US"/>
      </w:rPr>
      <w:tab/>
      <w:t>CERD/</w:t>
    </w:r>
    <w:r w:rsidRPr="00CC5381">
      <w:rPr>
        <w:lang w:val="en-US"/>
      </w:rPr>
      <w:t>C/LUX/14-17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51870"/>
    <w:multiLevelType w:val="hybridMultilevel"/>
    <w:tmpl w:val="54B2A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F4ED0E">
      <w:start w:val="1"/>
      <w:numFmt w:val="upp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2D1717"/>
    <w:multiLevelType w:val="hybridMultilevel"/>
    <w:tmpl w:val="D004CC54"/>
    <w:lvl w:ilvl="0" w:tplc="BA40C9FE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564646"/>
    <w:multiLevelType w:val="hybridMultilevel"/>
    <w:tmpl w:val="593CAC62"/>
    <w:lvl w:ilvl="0" w:tplc="1B828B2C">
      <w:start w:val="1"/>
      <w:numFmt w:val="bullet"/>
      <w:lvlText w:val=""/>
      <w:lvlJc w:val="left"/>
      <w:pPr>
        <w:tabs>
          <w:tab w:val="num" w:pos="2458"/>
        </w:tabs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DE5A77"/>
    <w:multiLevelType w:val="hybridMultilevel"/>
    <w:tmpl w:val="474E0118"/>
    <w:lvl w:ilvl="0" w:tplc="7572393E">
      <w:start w:val="1"/>
      <w:numFmt w:val="decimal"/>
      <w:lvlText w:val="%1.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169F0329"/>
    <w:multiLevelType w:val="hybridMultilevel"/>
    <w:tmpl w:val="D53AAF2A"/>
    <w:lvl w:ilvl="0" w:tplc="C5F60204">
      <w:start w:val="12"/>
      <w:numFmt w:val="decimal"/>
      <w:lvlText w:val="%1.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196B43DF"/>
    <w:multiLevelType w:val="hybridMultilevel"/>
    <w:tmpl w:val="ED1CFE02"/>
    <w:lvl w:ilvl="0" w:tplc="BA40C9FE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8114A"/>
    <w:multiLevelType w:val="multilevel"/>
    <w:tmpl w:val="3F2CCC0E"/>
    <w:lvl w:ilvl="0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8">
    <w:nsid w:val="384C7288"/>
    <w:multiLevelType w:val="hybridMultilevel"/>
    <w:tmpl w:val="0BAC09DC"/>
    <w:lvl w:ilvl="0" w:tplc="3EF0E364">
      <w:start w:val="1"/>
      <w:numFmt w:val="decimal"/>
      <w:lvlText w:val="%1.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A066DE56">
      <w:start w:val="1"/>
      <w:numFmt w:val="upperLetter"/>
      <w:lvlText w:val="%2."/>
      <w:lvlJc w:val="left"/>
      <w:pPr>
        <w:tabs>
          <w:tab w:val="num" w:pos="1860"/>
        </w:tabs>
        <w:ind w:left="1860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0">
    <w:nsid w:val="410B76B5"/>
    <w:multiLevelType w:val="hybridMultilevel"/>
    <w:tmpl w:val="709C7006"/>
    <w:lvl w:ilvl="0" w:tplc="C2C6D852">
      <w:start w:val="1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C54D69"/>
    <w:multiLevelType w:val="multilevel"/>
    <w:tmpl w:val="3F2CCC0E"/>
    <w:lvl w:ilvl="0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8431E8"/>
    <w:multiLevelType w:val="hybridMultilevel"/>
    <w:tmpl w:val="8B5CE308"/>
    <w:lvl w:ilvl="0" w:tplc="1B828B2C">
      <w:start w:val="1"/>
      <w:numFmt w:val="bullet"/>
      <w:lvlText w:val=""/>
      <w:lvlJc w:val="left"/>
      <w:pPr>
        <w:tabs>
          <w:tab w:val="num" w:pos="2458"/>
        </w:tabs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7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9">
    <w:nsid w:val="722F52A6"/>
    <w:multiLevelType w:val="hybridMultilevel"/>
    <w:tmpl w:val="41A8263C"/>
    <w:lvl w:ilvl="0" w:tplc="4D367C10">
      <w:start w:val="1"/>
      <w:numFmt w:val="decimal"/>
      <w:lvlText w:val="%1.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34C60C2A">
      <w:start w:val="1"/>
      <w:numFmt w:val="upperLetter"/>
      <w:lvlText w:val="%2."/>
      <w:lvlJc w:val="left"/>
      <w:pPr>
        <w:tabs>
          <w:tab w:val="num" w:pos="1860"/>
        </w:tabs>
        <w:ind w:left="1860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>
    <w:nsid w:val="72771416"/>
    <w:multiLevelType w:val="hybridMultilevel"/>
    <w:tmpl w:val="BA8861B8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5"/>
  </w:num>
  <w:num w:numId="2">
    <w:abstractNumId w:val="22"/>
  </w:num>
  <w:num w:numId="3">
    <w:abstractNumId w:val="24"/>
  </w:num>
  <w:num w:numId="4">
    <w:abstractNumId w:val="27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5"/>
  </w:num>
  <w:num w:numId="18">
    <w:abstractNumId w:val="22"/>
  </w:num>
  <w:num w:numId="19">
    <w:abstractNumId w:val="22"/>
  </w:num>
  <w:num w:numId="20">
    <w:abstractNumId w:val="25"/>
  </w:num>
  <w:num w:numId="21">
    <w:abstractNumId w:val="22"/>
  </w:num>
  <w:num w:numId="22">
    <w:abstractNumId w:val="24"/>
  </w:num>
  <w:num w:numId="23">
    <w:abstractNumId w:val="24"/>
  </w:num>
  <w:num w:numId="24">
    <w:abstractNumId w:val="30"/>
  </w:num>
  <w:num w:numId="25">
    <w:abstractNumId w:val="28"/>
  </w:num>
  <w:num w:numId="26">
    <w:abstractNumId w:val="19"/>
  </w:num>
  <w:num w:numId="27">
    <w:abstractNumId w:val="21"/>
  </w:num>
  <w:num w:numId="28">
    <w:abstractNumId w:val="12"/>
  </w:num>
  <w:num w:numId="29">
    <w:abstractNumId w:val="17"/>
  </w:num>
  <w:num w:numId="30">
    <w:abstractNumId w:val="26"/>
  </w:num>
  <w:num w:numId="31">
    <w:abstractNumId w:val="10"/>
  </w:num>
  <w:num w:numId="32">
    <w:abstractNumId w:val="18"/>
  </w:num>
  <w:num w:numId="33">
    <w:abstractNumId w:val="29"/>
  </w:num>
  <w:num w:numId="34">
    <w:abstractNumId w:val="14"/>
  </w:num>
  <w:num w:numId="35">
    <w:abstractNumId w:val="15"/>
  </w:num>
  <w:num w:numId="36">
    <w:abstractNumId w:val="20"/>
  </w:num>
  <w:num w:numId="37">
    <w:abstractNumId w:val="11"/>
  </w:num>
  <w:num w:numId="38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381"/>
    <w:rsid w:val="000033D8"/>
    <w:rsid w:val="00005C1C"/>
    <w:rsid w:val="00014390"/>
    <w:rsid w:val="000157C5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47CC9"/>
    <w:rsid w:val="0006401A"/>
    <w:rsid w:val="00070651"/>
    <w:rsid w:val="0007108D"/>
    <w:rsid w:val="00072C27"/>
    <w:rsid w:val="00086182"/>
    <w:rsid w:val="00087F64"/>
    <w:rsid w:val="00090891"/>
    <w:rsid w:val="00092E62"/>
    <w:rsid w:val="00097975"/>
    <w:rsid w:val="000A3DDF"/>
    <w:rsid w:val="000A60A0"/>
    <w:rsid w:val="000C3688"/>
    <w:rsid w:val="000D6863"/>
    <w:rsid w:val="000F11C3"/>
    <w:rsid w:val="00117AEE"/>
    <w:rsid w:val="001463F7"/>
    <w:rsid w:val="0015769C"/>
    <w:rsid w:val="00180752"/>
    <w:rsid w:val="00183A26"/>
    <w:rsid w:val="00185076"/>
    <w:rsid w:val="0018543C"/>
    <w:rsid w:val="00190231"/>
    <w:rsid w:val="001914B3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0B02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1B"/>
    <w:rsid w:val="00360477"/>
    <w:rsid w:val="00367FC9"/>
    <w:rsid w:val="003711A1"/>
    <w:rsid w:val="00372123"/>
    <w:rsid w:val="00386581"/>
    <w:rsid w:val="00387100"/>
    <w:rsid w:val="003951D3"/>
    <w:rsid w:val="003978C6"/>
    <w:rsid w:val="003B0634"/>
    <w:rsid w:val="003B40A9"/>
    <w:rsid w:val="003C016E"/>
    <w:rsid w:val="003C2AF3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4494C"/>
    <w:rsid w:val="00457634"/>
    <w:rsid w:val="004706CD"/>
    <w:rsid w:val="00474F42"/>
    <w:rsid w:val="0048244D"/>
    <w:rsid w:val="0048296E"/>
    <w:rsid w:val="004A05A2"/>
    <w:rsid w:val="004A0DE8"/>
    <w:rsid w:val="004A4CB7"/>
    <w:rsid w:val="004A57B5"/>
    <w:rsid w:val="004B19DA"/>
    <w:rsid w:val="004B77A8"/>
    <w:rsid w:val="004C2A53"/>
    <w:rsid w:val="004C3B35"/>
    <w:rsid w:val="004C43EC"/>
    <w:rsid w:val="004D36CB"/>
    <w:rsid w:val="004D6626"/>
    <w:rsid w:val="004E6729"/>
    <w:rsid w:val="004F0E47"/>
    <w:rsid w:val="004F1D0F"/>
    <w:rsid w:val="0051339C"/>
    <w:rsid w:val="0051412F"/>
    <w:rsid w:val="00522B6F"/>
    <w:rsid w:val="0052430E"/>
    <w:rsid w:val="005276AD"/>
    <w:rsid w:val="00540A9A"/>
    <w:rsid w:val="00543522"/>
    <w:rsid w:val="00545680"/>
    <w:rsid w:val="00561418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0791"/>
    <w:rsid w:val="00635E86"/>
    <w:rsid w:val="00636A37"/>
    <w:rsid w:val="006501A5"/>
    <w:rsid w:val="006567B2"/>
    <w:rsid w:val="00662ADE"/>
    <w:rsid w:val="00664106"/>
    <w:rsid w:val="006752CB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D78EF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62C78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2EAA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048C"/>
    <w:rsid w:val="00891C08"/>
    <w:rsid w:val="008A3879"/>
    <w:rsid w:val="008A5FA8"/>
    <w:rsid w:val="008A7575"/>
    <w:rsid w:val="008B5F47"/>
    <w:rsid w:val="008B736E"/>
    <w:rsid w:val="008C7B87"/>
    <w:rsid w:val="008D6A7A"/>
    <w:rsid w:val="008E3E87"/>
    <w:rsid w:val="008E7F13"/>
    <w:rsid w:val="008F3185"/>
    <w:rsid w:val="009120A7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1643"/>
    <w:rsid w:val="00A2446A"/>
    <w:rsid w:val="00A4025D"/>
    <w:rsid w:val="00A52676"/>
    <w:rsid w:val="00A800D1"/>
    <w:rsid w:val="00A867C6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5048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5213"/>
    <w:rsid w:val="00C47C7D"/>
    <w:rsid w:val="00C51419"/>
    <w:rsid w:val="00C52D42"/>
    <w:rsid w:val="00C54056"/>
    <w:rsid w:val="00C560EC"/>
    <w:rsid w:val="00C663A3"/>
    <w:rsid w:val="00C67016"/>
    <w:rsid w:val="00C75CB2"/>
    <w:rsid w:val="00C76B71"/>
    <w:rsid w:val="00C83884"/>
    <w:rsid w:val="00C90723"/>
    <w:rsid w:val="00C90D5C"/>
    <w:rsid w:val="00CA609E"/>
    <w:rsid w:val="00CA7DA4"/>
    <w:rsid w:val="00CB31FB"/>
    <w:rsid w:val="00CC5381"/>
    <w:rsid w:val="00CE3D6F"/>
    <w:rsid w:val="00CE79A5"/>
    <w:rsid w:val="00CF0042"/>
    <w:rsid w:val="00CF262F"/>
    <w:rsid w:val="00D025D5"/>
    <w:rsid w:val="00D25FD7"/>
    <w:rsid w:val="00D26B13"/>
    <w:rsid w:val="00D26CC1"/>
    <w:rsid w:val="00D30662"/>
    <w:rsid w:val="00D32A0B"/>
    <w:rsid w:val="00D6236B"/>
    <w:rsid w:val="00D624EE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5867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C41"/>
    <w:rsid w:val="00FA5522"/>
    <w:rsid w:val="00FA6E4A"/>
    <w:rsid w:val="00FB2B35"/>
    <w:rsid w:val="00FC4AE1"/>
    <w:rsid w:val="00FD35CD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,Table_G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</w:style>
  <w:style w:type="paragraph" w:styleId="Footer">
    <w:name w:val="footer"/>
    <w:aliases w:val="3_GR,3_G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,Footnote Text Char Знак Знак,Footnote Text Char Знак,Текст сноски Знак Знак Знак Знак,stile 1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MG">
    <w:name w:val="_ H __M_G"/>
    <w:basedOn w:val="Normal"/>
    <w:next w:val="Normal"/>
    <w:rsid w:val="009120A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ChG">
    <w:name w:val="_ H _Ch_G"/>
    <w:basedOn w:val="Normal"/>
    <w:next w:val="Normal"/>
    <w:rsid w:val="009120A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paragraph" w:customStyle="1" w:styleId="H1G">
    <w:name w:val="_ H_1_G"/>
    <w:basedOn w:val="Normal"/>
    <w:next w:val="Normal"/>
    <w:rsid w:val="009120A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23G">
    <w:name w:val="_ H_2/3_G"/>
    <w:basedOn w:val="Normal"/>
    <w:next w:val="Normal"/>
    <w:rsid w:val="009120A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</w:rPr>
  </w:style>
  <w:style w:type="paragraph" w:customStyle="1" w:styleId="H4G">
    <w:name w:val="_ H_4_G"/>
    <w:basedOn w:val="Normal"/>
    <w:next w:val="Normal"/>
    <w:rsid w:val="009120A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</w:rPr>
  </w:style>
  <w:style w:type="paragraph" w:customStyle="1" w:styleId="H56G">
    <w:name w:val="_ H_5/6_G"/>
    <w:basedOn w:val="Normal"/>
    <w:next w:val="Normal"/>
    <w:rsid w:val="009120A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</w:rPr>
  </w:style>
  <w:style w:type="paragraph" w:customStyle="1" w:styleId="SingleTxtG">
    <w:name w:val="_ Single Txt_G"/>
    <w:basedOn w:val="Normal"/>
    <w:rsid w:val="009120A7"/>
    <w:pPr>
      <w:suppressAutoHyphens/>
      <w:spacing w:after="120"/>
      <w:ind w:left="1134" w:right="1134"/>
      <w:jc w:val="both"/>
    </w:pPr>
    <w:rPr>
      <w:spacing w:val="0"/>
      <w:w w:val="100"/>
      <w:kern w:val="0"/>
    </w:rPr>
  </w:style>
  <w:style w:type="paragraph" w:customStyle="1" w:styleId="SLG">
    <w:name w:val="__S_L_G"/>
    <w:basedOn w:val="Normal"/>
    <w:next w:val="Normal"/>
    <w:rsid w:val="009120A7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</w:rPr>
  </w:style>
  <w:style w:type="paragraph" w:customStyle="1" w:styleId="SMG">
    <w:name w:val="__S_M_G"/>
    <w:basedOn w:val="Normal"/>
    <w:next w:val="Normal"/>
    <w:rsid w:val="009120A7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</w:rPr>
  </w:style>
  <w:style w:type="paragraph" w:customStyle="1" w:styleId="SSG">
    <w:name w:val="__S_S_G"/>
    <w:basedOn w:val="Normal"/>
    <w:next w:val="Normal"/>
    <w:rsid w:val="009120A7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</w:rPr>
  </w:style>
  <w:style w:type="paragraph" w:customStyle="1" w:styleId="XLargeG">
    <w:name w:val="__XLarge_G"/>
    <w:basedOn w:val="Normal"/>
    <w:next w:val="Normal"/>
    <w:rsid w:val="009120A7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</w:rPr>
  </w:style>
  <w:style w:type="paragraph" w:customStyle="1" w:styleId="Bullet1G">
    <w:name w:val="_Bullet 1_G"/>
    <w:basedOn w:val="Normal"/>
    <w:rsid w:val="009120A7"/>
    <w:pPr>
      <w:numPr>
        <w:numId w:val="25"/>
      </w:numPr>
      <w:suppressAutoHyphens/>
      <w:spacing w:after="120"/>
      <w:ind w:right="1134"/>
      <w:jc w:val="both"/>
    </w:pPr>
    <w:rPr>
      <w:spacing w:val="0"/>
      <w:w w:val="100"/>
      <w:kern w:val="0"/>
    </w:rPr>
  </w:style>
  <w:style w:type="paragraph" w:customStyle="1" w:styleId="Bullet2G">
    <w:name w:val="_Bullet 2_G"/>
    <w:basedOn w:val="Normal"/>
    <w:rsid w:val="009120A7"/>
    <w:pPr>
      <w:numPr>
        <w:numId w:val="26"/>
      </w:numPr>
      <w:suppressAutoHyphens/>
      <w:spacing w:after="120"/>
      <w:ind w:right="1134"/>
      <w:jc w:val="both"/>
    </w:pPr>
    <w:rPr>
      <w:spacing w:val="0"/>
      <w:w w:val="100"/>
      <w:kern w:val="0"/>
    </w:rPr>
  </w:style>
  <w:style w:type="character" w:customStyle="1" w:styleId="FootnoteTextChar">
    <w:name w:val="Footnote Text Char"/>
    <w:aliases w:val="5_GR Char,5_G Char,Footnote Text Char Знак Знак Char,Footnote Text Char Знак Char,Текст сноски Знак Знак Знак Знак Char,stile 1 Char"/>
    <w:link w:val="FootnoteText"/>
    <w:rsid w:val="009120A7"/>
    <w:rPr>
      <w:spacing w:val="5"/>
      <w:w w:val="104"/>
      <w:kern w:val="14"/>
      <w:sz w:val="18"/>
      <w:lang w:val="en-GB" w:eastAsia="ru-RU" w:bidi="ar-SA"/>
    </w:rPr>
  </w:style>
  <w:style w:type="paragraph" w:styleId="BalloonText">
    <w:name w:val="Balloon Text"/>
    <w:basedOn w:val="Normal"/>
    <w:link w:val="BalloonTextChar"/>
    <w:rsid w:val="009120A7"/>
    <w:pPr>
      <w:suppressAutoHyphens/>
      <w:spacing w:line="240" w:lineRule="auto"/>
    </w:pPr>
    <w:rPr>
      <w:rFonts w:ascii="Tahoma" w:hAnsi="Tahoma"/>
      <w:spacing w:val="0"/>
      <w:w w:val="100"/>
      <w:kern w:val="0"/>
      <w:sz w:val="16"/>
      <w:szCs w:val="16"/>
      <w:lang w:val="fr-CH"/>
    </w:rPr>
  </w:style>
  <w:style w:type="character" w:customStyle="1" w:styleId="BalloonTextChar">
    <w:name w:val="Balloon Text Char"/>
    <w:link w:val="BalloonText"/>
    <w:rsid w:val="009120A7"/>
    <w:rPr>
      <w:rFonts w:ascii="Tahoma" w:hAnsi="Tahoma"/>
      <w:sz w:val="16"/>
      <w:szCs w:val="16"/>
      <w:lang w:val="fr-CH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lux.public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4</TotalTime>
  <Pages>1</Pages>
  <Words>12187</Words>
  <Characters>69470</Characters>
  <Application>Microsoft Office Outlook</Application>
  <DocSecurity>4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1344209</vt:lpstr>
    </vt:vector>
  </TitlesOfParts>
  <Company>CSD</Company>
  <LinksUpToDate>false</LinksUpToDate>
  <CharactersWithSpaces>81495</CharactersWithSpaces>
  <SharedDoc>false</SharedDoc>
  <HLinks>
    <vt:vector size="6" baseType="variant">
      <vt:variant>
        <vt:i4>6291581</vt:i4>
      </vt:variant>
      <vt:variant>
        <vt:i4>10</vt:i4>
      </vt:variant>
      <vt:variant>
        <vt:i4>0</vt:i4>
      </vt:variant>
      <vt:variant>
        <vt:i4>5</vt:i4>
      </vt:variant>
      <vt:variant>
        <vt:lpwstr>http://www.legilux.public/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1344209</dc:title>
  <dc:subject/>
  <dc:creator>Благодатских Анна</dc:creator>
  <cp:keywords/>
  <dc:description/>
  <cp:lastModifiedBy>Anna Petelina</cp:lastModifiedBy>
  <cp:revision>3</cp:revision>
  <cp:lastPrinted>2013-09-11T12:29:00Z</cp:lastPrinted>
  <dcterms:created xsi:type="dcterms:W3CDTF">2013-09-11T12:29:00Z</dcterms:created>
  <dcterms:modified xsi:type="dcterms:W3CDTF">2013-09-11T12:33:00Z</dcterms:modified>
</cp:coreProperties>
</file>