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240BC" w:rsidP="008240BC">
            <w:pPr>
              <w:bidi w:val="0"/>
              <w:spacing w:after="20"/>
              <w:jc w:val="left"/>
              <w:rPr>
                <w:szCs w:val="20"/>
              </w:rPr>
            </w:pPr>
            <w:r w:rsidRPr="008240BC">
              <w:rPr>
                <w:sz w:val="40"/>
                <w:szCs w:val="20"/>
              </w:rPr>
              <w:t>CCPR</w:t>
            </w:r>
            <w:r>
              <w:rPr>
                <w:szCs w:val="20"/>
              </w:rPr>
              <w:t>/C/99/4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240BC" w:rsidRDefault="008240BC" w:rsidP="008240BC">
            <w:pPr>
              <w:bidi w:val="0"/>
              <w:spacing w:before="240" w:line="240" w:lineRule="exact"/>
              <w:jc w:val="left"/>
            </w:pPr>
            <w:r>
              <w:t>Distr.: General</w:t>
            </w:r>
          </w:p>
          <w:p w:rsidR="008240BC" w:rsidRDefault="008240BC" w:rsidP="008240BC">
            <w:pPr>
              <w:bidi w:val="0"/>
              <w:spacing w:line="240" w:lineRule="exact"/>
              <w:jc w:val="left"/>
            </w:pPr>
            <w:r>
              <w:t>29 September 2010</w:t>
            </w:r>
          </w:p>
          <w:p w:rsidR="008240BC" w:rsidRDefault="008240BC" w:rsidP="008240BC">
            <w:pPr>
              <w:bidi w:val="0"/>
              <w:spacing w:line="240" w:lineRule="exact"/>
              <w:jc w:val="left"/>
            </w:pPr>
            <w:r>
              <w:t>Arabic</w:t>
            </w:r>
          </w:p>
          <w:p w:rsidR="00257225" w:rsidRPr="008B4BC6" w:rsidRDefault="008240BC" w:rsidP="008240BC">
            <w:pPr>
              <w:bidi w:val="0"/>
              <w:spacing w:line="240" w:lineRule="exact"/>
              <w:jc w:val="left"/>
            </w:pPr>
            <w:r>
              <w:t>Original: English</w:t>
            </w:r>
          </w:p>
        </w:tc>
      </w:tr>
    </w:tbl>
    <w:p w:rsidR="008240BC" w:rsidRPr="008240BC" w:rsidRDefault="008240BC" w:rsidP="00F3799E">
      <w:pPr>
        <w:spacing w:before="120" w:line="380" w:lineRule="exact"/>
        <w:rPr>
          <w:rFonts w:ascii="Traditional Arabic" w:hAnsi="Traditional Arabic" w:hint="cs"/>
          <w:b/>
          <w:bCs/>
          <w:sz w:val="36"/>
          <w:szCs w:val="36"/>
          <w:rtl/>
        </w:rPr>
      </w:pPr>
      <w:r w:rsidRPr="008240BC">
        <w:rPr>
          <w:rFonts w:ascii="Traditional Arabic" w:hAnsi="Traditional Arabic" w:hint="cs"/>
          <w:b/>
          <w:bCs/>
          <w:sz w:val="36"/>
          <w:szCs w:val="36"/>
          <w:rtl/>
        </w:rPr>
        <w:t>اللجنة المعنية بحقوق الإنسان</w:t>
      </w:r>
    </w:p>
    <w:p w:rsidR="008240BC" w:rsidRPr="0081638E" w:rsidRDefault="008240BC" w:rsidP="008240BC">
      <w:pPr>
        <w:spacing w:line="380" w:lineRule="exact"/>
        <w:rPr>
          <w:rFonts w:ascii="Traditional Arabic" w:hAnsi="Traditional Arabic" w:hint="cs"/>
          <w:b/>
          <w:bCs/>
          <w:sz w:val="30"/>
          <w:rtl/>
        </w:rPr>
      </w:pPr>
      <w:r w:rsidRPr="0081638E">
        <w:rPr>
          <w:rFonts w:ascii="Traditional Arabic" w:hAnsi="Traditional Arabic" w:hint="cs"/>
          <w:b/>
          <w:bCs/>
          <w:sz w:val="30"/>
          <w:rtl/>
        </w:rPr>
        <w:t>الدورة التاسعة والتسعون</w:t>
      </w:r>
    </w:p>
    <w:p w:rsidR="008240BC" w:rsidRDefault="008240BC" w:rsidP="008240BC">
      <w:pPr>
        <w:spacing w:line="380" w:lineRule="exact"/>
        <w:rPr>
          <w:rFonts w:ascii="Traditional Arabic" w:hAnsi="Traditional Arabic" w:hint="cs"/>
          <w:sz w:val="30"/>
          <w:rtl/>
        </w:rPr>
      </w:pPr>
      <w:r>
        <w:rPr>
          <w:rFonts w:ascii="Traditional Arabic" w:hAnsi="Traditional Arabic" w:hint="cs"/>
          <w:sz w:val="30"/>
          <w:rtl/>
        </w:rPr>
        <w:t>جنيف، 12-30 تموز/يوليه 2010</w:t>
      </w:r>
    </w:p>
    <w:p w:rsidR="008240BC" w:rsidRPr="0081638E" w:rsidRDefault="008240BC" w:rsidP="008240BC">
      <w:pPr>
        <w:pStyle w:val="HChGA"/>
        <w:rPr>
          <w:rFonts w:hint="cs"/>
          <w:rtl/>
          <w:lang w:val="fr-CH"/>
        </w:rPr>
      </w:pPr>
      <w:r>
        <w:rPr>
          <w:rFonts w:hint="cs"/>
          <w:rtl/>
          <w:lang w:val="fr-CH"/>
        </w:rPr>
        <w:tab/>
      </w:r>
      <w:r>
        <w:rPr>
          <w:rFonts w:hint="cs"/>
          <w:rtl/>
          <w:lang w:val="fr-CH"/>
        </w:rPr>
        <w:tab/>
      </w:r>
      <w:r w:rsidRPr="0081638E">
        <w:rPr>
          <w:rFonts w:hint="cs"/>
          <w:rtl/>
          <w:lang w:val="fr-CH"/>
        </w:rPr>
        <w:t>التقارير المرك</w:t>
      </w:r>
      <w:r>
        <w:rPr>
          <w:rFonts w:hint="cs"/>
          <w:rtl/>
          <w:lang w:val="fr-CH"/>
        </w:rPr>
        <w:t>ّ</w:t>
      </w:r>
      <w:r w:rsidRPr="0081638E">
        <w:rPr>
          <w:rFonts w:hint="cs"/>
          <w:rtl/>
          <w:lang w:val="fr-CH"/>
        </w:rPr>
        <w:t xml:space="preserve">زة المستندة إلى الردود على </w:t>
      </w:r>
      <w:r>
        <w:rPr>
          <w:rFonts w:hint="cs"/>
          <w:rtl/>
          <w:lang w:val="fr-CH"/>
        </w:rPr>
        <w:t xml:space="preserve">قوائم </w:t>
      </w:r>
      <w:r w:rsidRPr="0081638E">
        <w:rPr>
          <w:rFonts w:hint="cs"/>
          <w:rtl/>
          <w:lang w:val="fr-CH"/>
        </w:rPr>
        <w:t xml:space="preserve">المسائل السابقة لتقديم التقارير: تنفيذ الإجراء الاختياري الجديد لتقديم التقارير (إجراء </w:t>
      </w:r>
      <w:r>
        <w:rPr>
          <w:rFonts w:hint="cs"/>
          <w:rtl/>
          <w:lang w:val="fr-CH"/>
        </w:rPr>
        <w:t xml:space="preserve">قوائم </w:t>
      </w:r>
      <w:r w:rsidRPr="0081638E">
        <w:rPr>
          <w:rFonts w:hint="cs"/>
          <w:rtl/>
          <w:lang w:val="fr-CH"/>
        </w:rPr>
        <w:t>المسائل السابقة لتقديم التقارير)</w:t>
      </w:r>
    </w:p>
    <w:p w:rsidR="008240BC" w:rsidRPr="0081638E" w:rsidRDefault="008240BC" w:rsidP="008240BC">
      <w:pPr>
        <w:pStyle w:val="HChGA"/>
        <w:rPr>
          <w:rFonts w:hint="cs"/>
          <w:rtl/>
          <w:lang w:val="fr-CH"/>
        </w:rPr>
      </w:pPr>
      <w:r>
        <w:rPr>
          <w:rFonts w:hint="cs"/>
          <w:rtl/>
          <w:lang w:val="fr-CH"/>
        </w:rPr>
        <w:tab/>
      </w:r>
      <w:r w:rsidRPr="0081638E">
        <w:rPr>
          <w:rFonts w:hint="cs"/>
          <w:rtl/>
          <w:lang w:val="fr-CH"/>
        </w:rPr>
        <w:t>أولا</w:t>
      </w:r>
      <w:r>
        <w:rPr>
          <w:rFonts w:hint="cs"/>
          <w:rtl/>
          <w:lang w:val="fr-CH"/>
        </w:rPr>
        <w:t>ً</w:t>
      </w:r>
      <w:r w:rsidRPr="0081638E">
        <w:rPr>
          <w:rFonts w:hint="cs"/>
          <w:rtl/>
          <w:lang w:val="fr-CH"/>
        </w:rPr>
        <w:t xml:space="preserve"> </w:t>
      </w:r>
      <w:r>
        <w:rPr>
          <w:rFonts w:hint="cs"/>
          <w:rtl/>
          <w:lang w:val="fr-CH"/>
        </w:rPr>
        <w:t>-</w:t>
      </w:r>
      <w:r>
        <w:rPr>
          <w:rFonts w:hint="cs"/>
          <w:rtl/>
          <w:lang w:val="fr-CH"/>
        </w:rPr>
        <w:tab/>
      </w:r>
      <w:r w:rsidRPr="0081638E">
        <w:rPr>
          <w:rFonts w:hint="cs"/>
          <w:rtl/>
          <w:lang w:val="fr-CH"/>
        </w:rPr>
        <w:t>ملاحظات تمهيدية</w:t>
      </w:r>
    </w:p>
    <w:p w:rsidR="008240BC" w:rsidRDefault="008240BC" w:rsidP="008240BC">
      <w:pPr>
        <w:pStyle w:val="SingleTxtGA"/>
        <w:rPr>
          <w:rFonts w:hint="cs"/>
          <w:rtl/>
          <w:lang w:val="fr-CH"/>
        </w:rPr>
      </w:pPr>
      <w:r>
        <w:rPr>
          <w:rFonts w:hint="cs"/>
          <w:rtl/>
          <w:lang w:val="fr-CH"/>
        </w:rPr>
        <w:t>1-</w:t>
      </w:r>
      <w:r>
        <w:rPr>
          <w:rFonts w:hint="cs"/>
          <w:rtl/>
          <w:lang w:val="fr-CH"/>
        </w:rPr>
        <w:tab/>
        <w:t xml:space="preserve">بدأت اللجنة في دورتها السابعة والتسعين، المعقودة في تشرين الأول/أكتوبر 2009، مناقشة مشروع مبادئها التوجيهية المنقحة لتقديم التقارير. وفي هذا السياق، قررت اللجنة </w:t>
      </w:r>
      <w:r w:rsidRPr="008240BC">
        <w:rPr>
          <w:rFonts w:hint="cs"/>
          <w:spacing w:val="-6"/>
          <w:rtl/>
          <w:lang w:val="fr-CH"/>
        </w:rPr>
        <w:t>اعتماد إجراء جديد لتقديم التقارير ترسل بموجبه إلى الدول الأطراف قائمة مسائل (أو ما يسمَّى</w:t>
      </w:r>
      <w:r>
        <w:rPr>
          <w:rFonts w:hint="cs"/>
          <w:rtl/>
          <w:lang w:val="fr-CH"/>
        </w:rPr>
        <w:t xml:space="preserve"> "قائمة المسائل السابقة لتقديم التقارير") وتنظر في ردودها المكتوبة بدلاً من النظر في تقرير دوري (أو ما يسمَّى "تقريراً مركزاً مستنداً إلى الردود على قائمة المسائل"). وبموجب </w:t>
      </w:r>
      <w:r w:rsidRPr="008240BC">
        <w:rPr>
          <w:rFonts w:hint="cs"/>
          <w:spacing w:val="-6"/>
          <w:rtl/>
          <w:lang w:val="fr-CH"/>
        </w:rPr>
        <w:t>الإجراء الجديد، يشكل رد الدولة الطرف التقرير المطلوب تقديمه لأغراض المادة 40 من العهد.</w:t>
      </w:r>
    </w:p>
    <w:p w:rsidR="008240BC" w:rsidRDefault="008240BC" w:rsidP="008240BC">
      <w:pPr>
        <w:pStyle w:val="H1GA"/>
        <w:rPr>
          <w:rFonts w:hint="cs"/>
          <w:rtl/>
          <w:lang w:val="fr-CH"/>
        </w:rPr>
      </w:pPr>
      <w:r>
        <w:rPr>
          <w:rFonts w:hint="cs"/>
          <w:rtl/>
          <w:lang w:val="fr-CH"/>
        </w:rPr>
        <w:tab/>
      </w:r>
      <w:r w:rsidRPr="00CE7709">
        <w:rPr>
          <w:rFonts w:hint="cs"/>
          <w:rtl/>
          <w:lang w:val="fr-CH"/>
        </w:rPr>
        <w:t xml:space="preserve">ألف </w:t>
      </w:r>
      <w:r>
        <w:rPr>
          <w:rFonts w:hint="cs"/>
          <w:rtl/>
          <w:lang w:val="fr-CH"/>
        </w:rPr>
        <w:t>-</w:t>
      </w:r>
      <w:r>
        <w:rPr>
          <w:rFonts w:hint="cs"/>
          <w:rtl/>
          <w:lang w:val="fr-CH"/>
        </w:rPr>
        <w:tab/>
      </w:r>
      <w:r w:rsidRPr="00CE7709">
        <w:rPr>
          <w:rFonts w:hint="cs"/>
          <w:rtl/>
          <w:lang w:val="fr-CH"/>
        </w:rPr>
        <w:t xml:space="preserve">القيمة المضافة المحتملة لإجراء </w:t>
      </w:r>
      <w:r>
        <w:rPr>
          <w:rFonts w:hint="cs"/>
          <w:rtl/>
          <w:lang w:val="fr-CH"/>
        </w:rPr>
        <w:t xml:space="preserve">قوائم </w:t>
      </w:r>
      <w:r w:rsidRPr="00CE7709">
        <w:rPr>
          <w:rFonts w:hint="cs"/>
          <w:rtl/>
          <w:lang w:val="fr-CH"/>
        </w:rPr>
        <w:t>المسائل السابقة لتقديم التقارير</w:t>
      </w:r>
    </w:p>
    <w:p w:rsidR="008240BC" w:rsidRPr="00CE7709" w:rsidRDefault="008240BC" w:rsidP="008240BC">
      <w:pPr>
        <w:pStyle w:val="H23GA"/>
        <w:rPr>
          <w:rFonts w:hint="cs"/>
          <w:rtl/>
          <w:lang w:val="fr-CH"/>
        </w:rPr>
      </w:pPr>
      <w:r>
        <w:rPr>
          <w:rFonts w:hint="cs"/>
          <w:rtl/>
          <w:lang w:val="fr-CH"/>
        </w:rPr>
        <w:tab/>
        <w:t>1-</w:t>
      </w:r>
      <w:r>
        <w:rPr>
          <w:rFonts w:hint="cs"/>
          <w:rtl/>
          <w:lang w:val="fr-CH"/>
        </w:rPr>
        <w:tab/>
      </w:r>
      <w:r w:rsidRPr="00CE7709">
        <w:rPr>
          <w:rFonts w:hint="cs"/>
          <w:rtl/>
          <w:lang w:val="fr-CH"/>
        </w:rPr>
        <w:t xml:space="preserve">بالنسبة </w:t>
      </w:r>
      <w:r>
        <w:rPr>
          <w:rFonts w:hint="cs"/>
          <w:rtl/>
          <w:lang w:val="fr-CH"/>
        </w:rPr>
        <w:t>إلى ا</w:t>
      </w:r>
      <w:r w:rsidRPr="00CE7709">
        <w:rPr>
          <w:rFonts w:hint="cs"/>
          <w:rtl/>
          <w:lang w:val="fr-CH"/>
        </w:rPr>
        <w:t>لدول الأطراف</w:t>
      </w:r>
    </w:p>
    <w:p w:rsidR="008240BC" w:rsidRDefault="008240BC" w:rsidP="008240BC">
      <w:pPr>
        <w:pStyle w:val="SingleTxtGA"/>
        <w:rPr>
          <w:rFonts w:hint="cs"/>
          <w:rtl/>
          <w:lang w:val="fr-CH"/>
        </w:rPr>
      </w:pPr>
      <w:r w:rsidRPr="001B23C8">
        <w:rPr>
          <w:rFonts w:hint="cs"/>
          <w:rtl/>
          <w:lang w:val="fr-CH"/>
        </w:rPr>
        <w:t>2-</w:t>
      </w:r>
      <w:r>
        <w:rPr>
          <w:rtl/>
          <w:lang w:val="fr-CH"/>
        </w:rPr>
        <w:tab/>
      </w:r>
      <w:r>
        <w:rPr>
          <w:rFonts w:hint="cs"/>
          <w:rtl/>
          <w:lang w:val="fr-CH"/>
        </w:rPr>
        <w:t>سييسر إجراء قوائم المسائل السابقة لتقديم التقارير على الدول عملية تقديم التقارير. وسيُخفَّف عبء تقديم التقارير بطريقتين:</w:t>
      </w:r>
    </w:p>
    <w:p w:rsidR="008240BC" w:rsidRDefault="008240BC" w:rsidP="008240BC">
      <w:pPr>
        <w:pStyle w:val="Bullet2GA"/>
        <w:bidi/>
        <w:rPr>
          <w:rFonts w:hint="cs"/>
          <w:lang w:val="fr-CH"/>
        </w:rPr>
      </w:pPr>
      <w:r>
        <w:rPr>
          <w:rFonts w:hint="cs"/>
          <w:rtl/>
          <w:lang w:val="fr-CH"/>
        </w:rPr>
        <w:t>ستقدم قوائم المسائل إرشادات مفصلة بشأن المحتوى المتوقع للتقرير، فتيسر بذلك عملية الصياغة</w:t>
      </w:r>
      <w:r w:rsidR="00CA1E6F">
        <w:rPr>
          <w:rFonts w:hint="cs"/>
          <w:rtl/>
          <w:lang w:val="fr-CH"/>
        </w:rPr>
        <w:t>؛</w:t>
      </w:r>
    </w:p>
    <w:p w:rsidR="008240BC" w:rsidRDefault="008240BC" w:rsidP="00CA1E6F">
      <w:pPr>
        <w:pStyle w:val="Bullet2GA"/>
        <w:bidi/>
        <w:rPr>
          <w:rFonts w:hint="cs"/>
          <w:lang w:val="fr-CH"/>
        </w:rPr>
      </w:pPr>
      <w:r>
        <w:rPr>
          <w:rFonts w:hint="cs"/>
          <w:rtl/>
          <w:lang w:val="fr-CH"/>
        </w:rPr>
        <w:t>لن يكون مطلوباً من الدول بعد الآن أن تقدم في آن واحد تقريراً وردوداً مكتوبة على قائمة المسائل</w:t>
      </w:r>
      <w:r w:rsidR="00CA1E6F">
        <w:rPr>
          <w:rFonts w:hint="cs"/>
          <w:rtl/>
          <w:lang w:val="fr-CH"/>
        </w:rPr>
        <w:t>.</w:t>
      </w:r>
    </w:p>
    <w:p w:rsidR="008240BC" w:rsidRDefault="008240BC" w:rsidP="008240BC">
      <w:pPr>
        <w:pStyle w:val="SingleTxtGA"/>
        <w:rPr>
          <w:rFonts w:hint="cs"/>
          <w:rtl/>
          <w:lang w:val="fr-CH"/>
        </w:rPr>
      </w:pPr>
      <w:r w:rsidRPr="00D64AC0">
        <w:rPr>
          <w:rFonts w:hint="cs"/>
          <w:rtl/>
          <w:lang w:val="fr-CH"/>
        </w:rPr>
        <w:t>3-</w:t>
      </w:r>
      <w:r>
        <w:rPr>
          <w:rtl/>
          <w:lang w:val="fr-CH"/>
        </w:rPr>
        <w:tab/>
      </w:r>
      <w:r>
        <w:rPr>
          <w:rFonts w:hint="cs"/>
          <w:rtl/>
          <w:lang w:val="fr-CH"/>
        </w:rPr>
        <w:t>وإضافة إلى ذلك، ستصبح عملية تقديم التقارير أسرع بالنسبة إلى الدول التي ينطبق عليها إجراء قوائم المسائل السابقة لتقديم التقارير، لأن التقارير الدورية المركزة التي تصاغ على أساس قائمة المسائل ستولى أولوية على التقارير الدورية الأخرى، بحيث يُنظر فيها في مهلة أقصاها سنة واحدة بعد تقديمها.</w:t>
      </w:r>
    </w:p>
    <w:p w:rsidR="008240BC" w:rsidRPr="00B95D01" w:rsidRDefault="008240BC" w:rsidP="008240BC">
      <w:pPr>
        <w:pStyle w:val="H23GA"/>
        <w:rPr>
          <w:rFonts w:hint="cs"/>
          <w:rtl/>
          <w:lang w:val="fr-CH"/>
        </w:rPr>
      </w:pPr>
      <w:r>
        <w:rPr>
          <w:rFonts w:hint="cs"/>
          <w:rtl/>
          <w:lang w:val="fr-CH"/>
        </w:rPr>
        <w:tab/>
      </w:r>
      <w:r w:rsidRPr="00B95D01">
        <w:rPr>
          <w:rFonts w:hint="cs"/>
          <w:rtl/>
          <w:lang w:val="fr-CH"/>
        </w:rPr>
        <w:t>2-</w:t>
      </w:r>
      <w:r>
        <w:rPr>
          <w:rFonts w:hint="cs"/>
          <w:rtl/>
          <w:lang w:val="fr-CH"/>
        </w:rPr>
        <w:tab/>
      </w:r>
      <w:r w:rsidRPr="00B95D01">
        <w:rPr>
          <w:rFonts w:hint="cs"/>
          <w:rtl/>
          <w:lang w:val="fr-CH"/>
        </w:rPr>
        <w:t xml:space="preserve">بالنسبة </w:t>
      </w:r>
      <w:r>
        <w:rPr>
          <w:rFonts w:hint="cs"/>
          <w:rtl/>
          <w:lang w:val="fr-CH"/>
        </w:rPr>
        <w:t>إلى ا</w:t>
      </w:r>
      <w:r w:rsidRPr="00B95D01">
        <w:rPr>
          <w:rFonts w:hint="cs"/>
          <w:rtl/>
          <w:lang w:val="fr-CH"/>
        </w:rPr>
        <w:t>للجنة</w:t>
      </w:r>
    </w:p>
    <w:p w:rsidR="008240BC" w:rsidRDefault="008240BC" w:rsidP="008240BC">
      <w:pPr>
        <w:pStyle w:val="SingleTxtGA"/>
        <w:rPr>
          <w:rFonts w:hint="cs"/>
          <w:rtl/>
          <w:lang w:val="fr-CH"/>
        </w:rPr>
      </w:pPr>
      <w:r>
        <w:rPr>
          <w:rFonts w:hint="cs"/>
          <w:rtl/>
          <w:lang w:val="fr-CH"/>
        </w:rPr>
        <w:t>4-</w:t>
      </w:r>
      <w:r>
        <w:rPr>
          <w:rFonts w:hint="cs"/>
          <w:rtl/>
          <w:lang w:val="fr-CH"/>
        </w:rPr>
        <w:tab/>
        <w:t>ستعزَّز فعالية اللجنة كما يلي:</w:t>
      </w:r>
    </w:p>
    <w:p w:rsidR="008240BC" w:rsidRDefault="008240BC" w:rsidP="008240BC">
      <w:pPr>
        <w:pStyle w:val="Bullet2GA"/>
        <w:bidi/>
        <w:rPr>
          <w:rFonts w:hint="cs"/>
          <w:lang w:val="fr-CH"/>
        </w:rPr>
      </w:pPr>
      <w:r>
        <w:rPr>
          <w:rFonts w:hint="cs"/>
          <w:rtl/>
          <w:lang w:val="fr-CH"/>
        </w:rPr>
        <w:t>سيسمح الإجراء للجنة بتلقي معلومات أكثر تركيزاً ومن ثم سيساعدها على تحسين تقييمها لامتثال الدول الأطراف لالتزاماتها بموجب العهد</w:t>
      </w:r>
      <w:r w:rsidR="00CA1E6F">
        <w:rPr>
          <w:rFonts w:hint="cs"/>
          <w:rtl/>
          <w:lang w:val="fr-CH"/>
        </w:rPr>
        <w:t>؛</w:t>
      </w:r>
    </w:p>
    <w:p w:rsidR="008240BC" w:rsidRDefault="008240BC" w:rsidP="008240BC">
      <w:pPr>
        <w:pStyle w:val="Bullet2GA"/>
        <w:bidi/>
        <w:rPr>
          <w:rFonts w:hint="cs"/>
          <w:lang w:val="fr-CH"/>
        </w:rPr>
      </w:pPr>
      <w:r>
        <w:rPr>
          <w:rFonts w:hint="cs"/>
          <w:rtl/>
          <w:lang w:val="fr-CH"/>
        </w:rPr>
        <w:t>ستتمكن اللجنة من استئناف الحوار مع دول تأخرت كثيراً في تقديم تقاريرها الدورية بسبب نقص الموارد المالية والبشرية</w:t>
      </w:r>
      <w:r w:rsidR="00CA1E6F">
        <w:rPr>
          <w:rFonts w:hint="cs"/>
          <w:rtl/>
          <w:lang w:val="fr-CH"/>
        </w:rPr>
        <w:t>.</w:t>
      </w:r>
    </w:p>
    <w:p w:rsidR="008240BC" w:rsidRPr="004235F5" w:rsidRDefault="008240BC" w:rsidP="008240BC">
      <w:pPr>
        <w:pStyle w:val="H1GA"/>
        <w:rPr>
          <w:rFonts w:hint="cs"/>
          <w:rtl/>
          <w:lang w:val="fr-CH"/>
        </w:rPr>
      </w:pPr>
      <w:r>
        <w:rPr>
          <w:rFonts w:hint="cs"/>
          <w:rtl/>
          <w:lang w:val="fr-CH"/>
        </w:rPr>
        <w:tab/>
      </w:r>
      <w:r w:rsidRPr="004235F5">
        <w:rPr>
          <w:rFonts w:hint="cs"/>
          <w:rtl/>
          <w:lang w:val="fr-CH"/>
        </w:rPr>
        <w:t xml:space="preserve">باء </w:t>
      </w:r>
      <w:r>
        <w:rPr>
          <w:rFonts w:hint="cs"/>
          <w:rtl/>
          <w:lang w:val="fr-CH"/>
        </w:rPr>
        <w:t>-</w:t>
      </w:r>
      <w:r>
        <w:rPr>
          <w:rFonts w:hint="cs"/>
          <w:rtl/>
          <w:lang w:val="fr-CH"/>
        </w:rPr>
        <w:tab/>
      </w:r>
      <w:r w:rsidRPr="004235F5">
        <w:rPr>
          <w:rFonts w:hint="cs"/>
          <w:rtl/>
          <w:lang w:val="fr-CH"/>
        </w:rPr>
        <w:t>التحديات التي يتعين أخذها في الاعتبار</w:t>
      </w:r>
    </w:p>
    <w:p w:rsidR="008240BC" w:rsidRDefault="008240BC" w:rsidP="008240BC">
      <w:pPr>
        <w:pStyle w:val="SingleTxtGA"/>
        <w:rPr>
          <w:rFonts w:hint="cs"/>
          <w:rtl/>
          <w:lang w:val="fr-CH"/>
        </w:rPr>
      </w:pPr>
      <w:r w:rsidRPr="00CE0426">
        <w:rPr>
          <w:rFonts w:hint="cs"/>
          <w:rtl/>
          <w:lang w:val="fr-CH"/>
        </w:rPr>
        <w:t>5-</w:t>
      </w:r>
      <w:r>
        <w:rPr>
          <w:rtl/>
          <w:lang w:val="fr-CH"/>
        </w:rPr>
        <w:tab/>
      </w:r>
      <w:r>
        <w:rPr>
          <w:rFonts w:hint="cs"/>
          <w:rtl/>
          <w:lang w:val="fr-CH"/>
        </w:rPr>
        <w:t>سيستتبع إعداد قوائم المسائل السابقة لتقديم التقارير زيادة لا يُستهان بها في عبء عمل اللجنة والأمانة. لذا سيتعين في مرحلة أولى أخذ هذه الصعوبة في الاعتبار وتقييم قدرات اللجنة والأمانة من أجل تحديد عدد قوائم المسائل التي ستُعتمد في كل دورة. بيد أنه لن يتعين في الأجل الطويل إعداد قوائم المسائل الاعتيادية واعتمادها إلا للتقارير الأولية ولعدد محدود من التقارير الدورية (تقارير الدول التي لم تقبل الإجراء الاختياري الجديد لتقديم التقارير أو الدول التي تواصل اللجنة طلب تقرير كامل منها)، وسيتراجع حجم العمل بصورة تدريجية.</w:t>
      </w:r>
    </w:p>
    <w:p w:rsidR="008240BC" w:rsidRDefault="008240BC" w:rsidP="008240BC">
      <w:pPr>
        <w:pStyle w:val="SingleTxtGA"/>
        <w:rPr>
          <w:rFonts w:hint="cs"/>
          <w:rtl/>
          <w:lang w:val="fr-CH"/>
        </w:rPr>
      </w:pPr>
      <w:r>
        <w:rPr>
          <w:rFonts w:hint="cs"/>
          <w:rtl/>
          <w:lang w:val="fr-CH"/>
        </w:rPr>
        <w:t>6-</w:t>
      </w:r>
      <w:r>
        <w:rPr>
          <w:rFonts w:hint="cs"/>
          <w:rtl/>
          <w:lang w:val="fr-CH"/>
        </w:rPr>
        <w:tab/>
        <w:t>وما دامت اللجنة تعتمد قوائم المسائل السابقة لتقديم التقارير وعدداً كبيراً من قوائم المسائل الاعتيادية في آن واحد، سيلزم تخصيص وقت إضافي لاجتماعات فرق العمل التابعة للجنة والمعنية بالتقارير القطرية التي ستعتمد كلا من قوائم المسائل الاعتيادية وقوائم المسائل السابقة لتقديم التقارير. وإضافة إلى ذلك، سيلزم أيضاً توفير موارد بشرية إضافية من الأمانة لصياغة قوائم المسائل السابقة لتقديم التقارير.</w:t>
      </w:r>
    </w:p>
    <w:p w:rsidR="008240BC" w:rsidRPr="00695590" w:rsidRDefault="008240BC" w:rsidP="008240BC">
      <w:pPr>
        <w:pStyle w:val="HChGA"/>
        <w:spacing w:before="120"/>
        <w:rPr>
          <w:rFonts w:hint="cs"/>
          <w:rtl/>
          <w:lang w:val="fr-CH"/>
        </w:rPr>
      </w:pPr>
      <w:r>
        <w:rPr>
          <w:rFonts w:hint="cs"/>
          <w:rtl/>
          <w:lang w:val="fr-CH"/>
        </w:rPr>
        <w:tab/>
      </w:r>
      <w:r w:rsidRPr="00695590">
        <w:rPr>
          <w:rFonts w:hint="cs"/>
          <w:rtl/>
          <w:lang w:val="fr-CH"/>
        </w:rPr>
        <w:t>ثانيا</w:t>
      </w:r>
      <w:r>
        <w:rPr>
          <w:rFonts w:hint="cs"/>
          <w:rtl/>
          <w:lang w:val="fr-CH"/>
        </w:rPr>
        <w:t>ً</w:t>
      </w:r>
      <w:r w:rsidRPr="00695590">
        <w:rPr>
          <w:rFonts w:hint="cs"/>
          <w:rtl/>
          <w:lang w:val="fr-CH"/>
        </w:rPr>
        <w:t xml:space="preserve"> </w:t>
      </w:r>
      <w:r>
        <w:rPr>
          <w:rFonts w:hint="cs"/>
          <w:rtl/>
          <w:lang w:val="fr-CH"/>
        </w:rPr>
        <w:t>-</w:t>
      </w:r>
      <w:r>
        <w:rPr>
          <w:rFonts w:hint="cs"/>
          <w:rtl/>
          <w:lang w:val="fr-CH"/>
        </w:rPr>
        <w:tab/>
        <w:t>المبادئ والمنهجية</w:t>
      </w:r>
      <w:r w:rsidRPr="00695590">
        <w:rPr>
          <w:rFonts w:hint="cs"/>
          <w:rtl/>
          <w:lang w:val="fr-CH"/>
        </w:rPr>
        <w:t xml:space="preserve"> التي يقوم عليها تنفيذ الإجراء الاختياري الجديد لتقديم التقارير</w:t>
      </w:r>
    </w:p>
    <w:p w:rsidR="008240BC" w:rsidRPr="00695590" w:rsidRDefault="008240BC" w:rsidP="008240BC">
      <w:pPr>
        <w:pStyle w:val="H1GA"/>
        <w:rPr>
          <w:rFonts w:hint="cs"/>
          <w:rtl/>
          <w:lang w:val="fr-CH"/>
        </w:rPr>
      </w:pPr>
      <w:r>
        <w:rPr>
          <w:rFonts w:hint="cs"/>
          <w:rtl/>
          <w:lang w:val="fr-CH"/>
        </w:rPr>
        <w:tab/>
      </w:r>
      <w:r w:rsidRPr="00695590">
        <w:rPr>
          <w:rFonts w:hint="cs"/>
          <w:rtl/>
          <w:lang w:val="fr-CH"/>
        </w:rPr>
        <w:t xml:space="preserve">ألف </w:t>
      </w:r>
      <w:r>
        <w:rPr>
          <w:rFonts w:hint="cs"/>
          <w:rtl/>
          <w:lang w:val="fr-CH"/>
        </w:rPr>
        <w:t>-</w:t>
      </w:r>
      <w:r>
        <w:rPr>
          <w:rFonts w:hint="cs"/>
          <w:rtl/>
          <w:lang w:val="fr-CH"/>
        </w:rPr>
        <w:tab/>
      </w:r>
      <w:r w:rsidRPr="00695590">
        <w:rPr>
          <w:rFonts w:hint="cs"/>
          <w:rtl/>
          <w:lang w:val="fr-CH"/>
        </w:rPr>
        <w:t>الفترة التجريبية</w:t>
      </w:r>
    </w:p>
    <w:p w:rsidR="008240BC" w:rsidRDefault="008240BC" w:rsidP="008240BC">
      <w:pPr>
        <w:pStyle w:val="SingleTxtGA"/>
        <w:rPr>
          <w:rFonts w:hint="cs"/>
          <w:rtl/>
          <w:lang w:val="fr-CH"/>
        </w:rPr>
      </w:pPr>
      <w:r w:rsidRPr="00FD0D7F">
        <w:rPr>
          <w:rFonts w:hint="cs"/>
          <w:rtl/>
          <w:lang w:val="fr-CH"/>
        </w:rPr>
        <w:t>7-</w:t>
      </w:r>
      <w:r>
        <w:rPr>
          <w:rtl/>
          <w:lang w:val="fr-CH"/>
        </w:rPr>
        <w:tab/>
      </w:r>
      <w:r>
        <w:rPr>
          <w:rFonts w:hint="cs"/>
          <w:rtl/>
          <w:lang w:val="fr-CH"/>
        </w:rPr>
        <w:t>بعد فترة تجريبية قدرها خمس سنوات (ابتداءً من تشرين الثاني/نوفمبر 2010)، ستعين اللجنة فريقاً عاملاً تكلفه بتقييم واستعراض الإجراء الجديد من حيث إمكانية تطبيقه وفعاليته وقدرته على تحسين دراسة حالة حقوق الإنسان في الدول الأطراف.</w:t>
      </w:r>
    </w:p>
    <w:p w:rsidR="008240BC" w:rsidRPr="00100DF5" w:rsidRDefault="008240BC" w:rsidP="008240BC">
      <w:pPr>
        <w:pStyle w:val="H1GA"/>
        <w:rPr>
          <w:rFonts w:hint="cs"/>
          <w:rtl/>
          <w:lang w:val="fr-CH"/>
        </w:rPr>
      </w:pPr>
      <w:r>
        <w:rPr>
          <w:rFonts w:hint="cs"/>
          <w:rtl/>
          <w:lang w:val="fr-CH"/>
        </w:rPr>
        <w:tab/>
      </w:r>
      <w:r w:rsidRPr="00100DF5">
        <w:rPr>
          <w:rFonts w:hint="cs"/>
          <w:rtl/>
          <w:lang w:val="fr-CH"/>
        </w:rPr>
        <w:t xml:space="preserve">باء </w:t>
      </w:r>
      <w:r>
        <w:rPr>
          <w:rFonts w:hint="cs"/>
          <w:rtl/>
          <w:lang w:val="fr-CH"/>
        </w:rPr>
        <w:t>-</w:t>
      </w:r>
      <w:r>
        <w:rPr>
          <w:rFonts w:hint="cs"/>
          <w:rtl/>
          <w:lang w:val="fr-CH"/>
        </w:rPr>
        <w:tab/>
      </w:r>
      <w:r w:rsidRPr="00100DF5">
        <w:rPr>
          <w:rFonts w:hint="cs"/>
          <w:rtl/>
          <w:lang w:val="fr-CH"/>
        </w:rPr>
        <w:t>الدول الأطراف التي سيطبق عليها الإجراء الجديد</w:t>
      </w:r>
    </w:p>
    <w:p w:rsidR="008240BC" w:rsidRDefault="008240BC" w:rsidP="008240BC">
      <w:pPr>
        <w:pStyle w:val="SingleTxtGA"/>
        <w:rPr>
          <w:rFonts w:hint="cs"/>
          <w:rtl/>
          <w:lang w:val="fr-CH"/>
        </w:rPr>
      </w:pPr>
      <w:r w:rsidRPr="00AE7CD3">
        <w:rPr>
          <w:rFonts w:hint="cs"/>
          <w:rtl/>
          <w:lang w:val="fr-CH"/>
        </w:rPr>
        <w:t>8-</w:t>
      </w:r>
      <w:r>
        <w:rPr>
          <w:rtl/>
          <w:lang w:val="fr-CH"/>
        </w:rPr>
        <w:tab/>
      </w:r>
      <w:r>
        <w:rPr>
          <w:rFonts w:hint="cs"/>
          <w:rtl/>
          <w:lang w:val="fr-CH"/>
        </w:rPr>
        <w:t>لا يطبَّق الإجراء الجديد على التقارير الأولية للدول الأطراف ولا على التقارير الدورية التي سبق تقديمها ولم تنظر فيها اللجنة بعد.</w:t>
      </w:r>
    </w:p>
    <w:p w:rsidR="008240BC" w:rsidRDefault="008240BC" w:rsidP="008240BC">
      <w:pPr>
        <w:pStyle w:val="SingleTxtGA"/>
        <w:rPr>
          <w:rFonts w:hint="cs"/>
          <w:rtl/>
          <w:lang w:val="fr-CH"/>
        </w:rPr>
      </w:pPr>
      <w:r>
        <w:rPr>
          <w:rFonts w:hint="cs"/>
          <w:rtl/>
          <w:lang w:val="fr-CH"/>
        </w:rPr>
        <w:t>9-</w:t>
      </w:r>
      <w:r>
        <w:rPr>
          <w:rFonts w:hint="cs"/>
          <w:rtl/>
          <w:lang w:val="fr-CH"/>
        </w:rPr>
        <w:tab/>
        <w:t>والإجراء الجديد اختياري، وللدول الأطراف أن تواصل تقديم تقاريرها بموجب الإجراء الاعتيادي.</w:t>
      </w:r>
    </w:p>
    <w:p w:rsidR="008240BC" w:rsidRDefault="008240BC" w:rsidP="008240BC">
      <w:pPr>
        <w:pStyle w:val="SingleTxtGA"/>
        <w:rPr>
          <w:rFonts w:hint="cs"/>
          <w:rtl/>
          <w:lang w:val="fr-CH"/>
        </w:rPr>
      </w:pPr>
      <w:r>
        <w:rPr>
          <w:rFonts w:hint="cs"/>
          <w:rtl/>
          <w:lang w:val="fr-CH"/>
        </w:rPr>
        <w:t>10-</w:t>
      </w:r>
      <w:r>
        <w:rPr>
          <w:rFonts w:hint="cs"/>
          <w:rtl/>
          <w:lang w:val="fr-CH"/>
        </w:rPr>
        <w:tab/>
        <w:t>وجميع التقارير الدورية، سواء تأخر تقديمها كثيراً أم لا، يمكن تقديمها بموجب الإجراء الجديد الذي ينبغي تطبيقه على أكبر عدد ممكن من الدول الأطراف. إلا أنه يجوز للجنة أن تقرر عدم تطبيق الإجراء الجديد على دولة طرف إذا رأت أن ظروفاً خاصة تستوجب تقديم تقرير كامل، كأن يحدث تغير أساسي في النهج السياسي والقانوني للدولة الطرف يؤثر في الحقوق المنصوص عليها في العهد؛ وفي مثل هذه الحالة قد يُطلب تقديم تقرير كامل يتناول المواد مادة مادة.</w:t>
      </w:r>
    </w:p>
    <w:p w:rsidR="008240BC" w:rsidRPr="00AB0615" w:rsidRDefault="008240BC" w:rsidP="008240BC">
      <w:pPr>
        <w:pStyle w:val="H1GA"/>
        <w:rPr>
          <w:rFonts w:hint="cs"/>
          <w:rtl/>
          <w:lang w:val="fr-CH"/>
        </w:rPr>
      </w:pPr>
      <w:r>
        <w:rPr>
          <w:rFonts w:hint="cs"/>
          <w:rtl/>
          <w:lang w:val="fr-CH"/>
        </w:rPr>
        <w:tab/>
      </w:r>
      <w:r w:rsidRPr="00AB0615">
        <w:rPr>
          <w:rFonts w:hint="cs"/>
          <w:rtl/>
          <w:lang w:val="fr-CH"/>
        </w:rPr>
        <w:t xml:space="preserve">جيم </w:t>
      </w:r>
      <w:r>
        <w:rPr>
          <w:rFonts w:hint="cs"/>
          <w:rtl/>
          <w:lang w:val="fr-CH"/>
        </w:rPr>
        <w:t>-</w:t>
      </w:r>
      <w:r>
        <w:rPr>
          <w:rFonts w:hint="cs"/>
          <w:rtl/>
          <w:lang w:val="fr-CH"/>
        </w:rPr>
        <w:tab/>
      </w:r>
      <w:r w:rsidRPr="00AB0615">
        <w:rPr>
          <w:rFonts w:hint="cs"/>
          <w:rtl/>
          <w:lang w:val="fr-CH"/>
        </w:rPr>
        <w:t>محتوى وشكل قائمة المسائل السابقة لتقديم التقارير</w:t>
      </w:r>
    </w:p>
    <w:p w:rsidR="008240BC" w:rsidRDefault="008240BC" w:rsidP="008240BC">
      <w:pPr>
        <w:pStyle w:val="SingleTxtGA"/>
        <w:rPr>
          <w:rFonts w:hint="cs"/>
          <w:rtl/>
          <w:lang w:val="fr-CH"/>
        </w:rPr>
      </w:pPr>
      <w:r w:rsidRPr="00AB0615">
        <w:rPr>
          <w:rFonts w:hint="cs"/>
          <w:rtl/>
          <w:lang w:val="fr-CH"/>
        </w:rPr>
        <w:t>11-</w:t>
      </w:r>
      <w:r>
        <w:rPr>
          <w:rtl/>
          <w:lang w:val="fr-CH"/>
        </w:rPr>
        <w:tab/>
      </w:r>
      <w:r>
        <w:rPr>
          <w:rFonts w:hint="cs"/>
          <w:rtl/>
          <w:lang w:val="fr-CH"/>
        </w:rPr>
        <w:t>ينبغي أن تتضمن قائمة المسائل السابقة لتقديم التقارير فرعين:</w:t>
      </w:r>
    </w:p>
    <w:p w:rsidR="008240BC" w:rsidRDefault="008240BC" w:rsidP="008240BC">
      <w:pPr>
        <w:pStyle w:val="SingleTxtGA"/>
        <w:rPr>
          <w:rFonts w:hint="cs"/>
          <w:rtl/>
          <w:lang w:val="fr-CH"/>
        </w:rPr>
      </w:pPr>
      <w:r>
        <w:rPr>
          <w:rFonts w:hint="cs"/>
          <w:rtl/>
          <w:lang w:val="fr-CH"/>
        </w:rPr>
        <w:tab/>
        <w:t>(أ)</w:t>
      </w:r>
      <w:r>
        <w:rPr>
          <w:rFonts w:hint="cs"/>
          <w:rtl/>
          <w:lang w:val="fr-CH"/>
        </w:rPr>
        <w:tab/>
        <w:t xml:space="preserve">فرع أول يتضمن فقرات اعتيادية تقدم "معلومات عامة عن الحالة الوطنية لحقوق الإنسان، بما في ذلك التدابير والتطورات الجديدة المتعلقة بتنفيذ العهد". وسيتيح هذا الفرع أيضاً للدولة الطرف فرصة لإبراز التطورات الإيجابية ذات الصلة. ويمكن للدول </w:t>
      </w:r>
      <w:r w:rsidRPr="008240BC">
        <w:rPr>
          <w:rFonts w:hint="cs"/>
          <w:spacing w:val="-6"/>
          <w:rtl/>
          <w:lang w:val="fr-CH"/>
        </w:rPr>
        <w:t>الأطراف أن تقدم في هذا الفرع معلومات مفصلة عن النقاط التالية، إن لم تكن هذه المعلومات</w:t>
      </w:r>
      <w:r>
        <w:rPr>
          <w:rFonts w:hint="cs"/>
          <w:rtl/>
          <w:lang w:val="fr-CH"/>
        </w:rPr>
        <w:t xml:space="preserve"> قد قُدمت من قبل في الوثيقة الأساسية الموحدة، أو إذا كانت المعلومات الواردة في الوثيقة الأساسية الموحدة غير محدَّثة ولم تُثَر في أسئلة محددة ترد في الفرع الثاني من قائمة المسائل:</w:t>
      </w:r>
    </w:p>
    <w:p w:rsidR="008240BC" w:rsidRDefault="008240BC" w:rsidP="008240BC">
      <w:pPr>
        <w:pStyle w:val="Bullet2GA"/>
        <w:bidi/>
        <w:rPr>
          <w:rFonts w:hint="cs"/>
          <w:lang w:val="fr-CH"/>
        </w:rPr>
      </w:pPr>
      <w:r>
        <w:rPr>
          <w:rFonts w:hint="cs"/>
          <w:rtl/>
          <w:lang w:val="fr-CH"/>
        </w:rPr>
        <w:t>ما استجد منذ التقرير الدوري السابق من تطورات ذات صلة بالإطار القانوني والمؤسسي لتعزيز حقوق الإنسان وحمايتها على المستوى الوطني، بما في ذلك أي قرارات قضائية وجيهة</w:t>
      </w:r>
      <w:r w:rsidR="00CA1E6F">
        <w:rPr>
          <w:rFonts w:hint="cs"/>
          <w:rtl/>
          <w:lang w:val="fr-CH"/>
        </w:rPr>
        <w:t>؛</w:t>
      </w:r>
    </w:p>
    <w:p w:rsidR="008240BC" w:rsidRDefault="008240BC" w:rsidP="008240BC">
      <w:pPr>
        <w:pStyle w:val="Bullet2GA"/>
        <w:bidi/>
        <w:rPr>
          <w:rFonts w:hint="cs"/>
          <w:lang w:val="fr-CH"/>
        </w:rPr>
      </w:pPr>
      <w:r>
        <w:rPr>
          <w:rFonts w:hint="cs"/>
          <w:rtl/>
          <w:lang w:val="fr-CH"/>
        </w:rPr>
        <w:t>ما اتُخذ منذ التقرير السابق من تدابير سياسية وإدارية وتدابير أخرى لتعزيز حقوق الإنسان وحمايتها على المستوى الوطني، بما في ذلك أي خطط أو برامج وطنية لحقوق الإنسان، والموارد المخصصة لها ووسائل تنفيذها وأهدافها ونتائجها</w:t>
      </w:r>
      <w:r w:rsidR="00CA1E6F">
        <w:rPr>
          <w:rFonts w:hint="cs"/>
          <w:rtl/>
          <w:lang w:val="fr-CH"/>
        </w:rPr>
        <w:t>؛</w:t>
      </w:r>
    </w:p>
    <w:p w:rsidR="008240BC" w:rsidRDefault="008240BC" w:rsidP="008240BC">
      <w:pPr>
        <w:pStyle w:val="Bullet2GA"/>
        <w:bidi/>
        <w:rPr>
          <w:rFonts w:hint="cs"/>
          <w:lang w:val="fr-CH"/>
        </w:rPr>
      </w:pPr>
      <w:r>
        <w:rPr>
          <w:rFonts w:hint="cs"/>
          <w:rtl/>
          <w:lang w:val="fr-CH"/>
        </w:rPr>
        <w:t>ما استجد منذ النظر في التقرير السابق من تدابير وتطورات لتنفيذ العهد وتوصيات اللجنة، بما في ذلك البيانات الإحصائية اللازمة، وكذلك أي أحداث طرأت في الدولة الطرف ذات أهمية بموجب العهد؛</w:t>
      </w:r>
    </w:p>
    <w:p w:rsidR="008240BC" w:rsidRDefault="008240BC" w:rsidP="008240BC">
      <w:pPr>
        <w:pStyle w:val="SingleTxtGA"/>
        <w:rPr>
          <w:rFonts w:hint="cs"/>
          <w:rtl/>
          <w:lang w:val="fr-CH"/>
        </w:rPr>
      </w:pPr>
      <w:r>
        <w:rPr>
          <w:rFonts w:hint="cs"/>
          <w:rtl/>
          <w:lang w:val="fr-CH"/>
        </w:rPr>
        <w:tab/>
        <w:t>(ب)</w:t>
      </w:r>
      <w:r>
        <w:rPr>
          <w:rFonts w:hint="cs"/>
          <w:rtl/>
          <w:lang w:val="fr-CH"/>
        </w:rPr>
        <w:tab/>
        <w:t>فرع ثان تنظَّم فيه الأسئلة بحسب مجموعات من الأحكام كما هو الأمر في قائمة المسائل الاعتيادية، ويسلط الضوء على مسائل محددة تبعاً لحالة الدولة الطرف المعنية والمعلومات المتاحة للجنة، وبخاصة التوصيات المدرجة في آخر ملاحظات ختامية وُجهت إلى الدولة الطرف وكذلك أي معلومات قدمتها الدولة على سبيل المتابعة.</w:t>
      </w:r>
    </w:p>
    <w:p w:rsidR="008240BC" w:rsidRPr="004A1BFD" w:rsidRDefault="008240BC" w:rsidP="008240BC">
      <w:pPr>
        <w:pStyle w:val="H1GA"/>
        <w:rPr>
          <w:rFonts w:hint="cs"/>
          <w:rtl/>
          <w:lang w:val="fr-CH"/>
        </w:rPr>
      </w:pPr>
      <w:r>
        <w:rPr>
          <w:rFonts w:hint="cs"/>
          <w:rtl/>
          <w:lang w:val="fr-CH"/>
        </w:rPr>
        <w:tab/>
      </w:r>
      <w:r w:rsidRPr="004A1BFD">
        <w:rPr>
          <w:rFonts w:hint="cs"/>
          <w:rtl/>
          <w:lang w:val="fr-CH"/>
        </w:rPr>
        <w:t xml:space="preserve">دال </w:t>
      </w:r>
      <w:r>
        <w:rPr>
          <w:rFonts w:hint="cs"/>
          <w:rtl/>
          <w:lang w:val="fr-CH"/>
        </w:rPr>
        <w:t>-</w:t>
      </w:r>
      <w:r>
        <w:rPr>
          <w:rFonts w:hint="cs"/>
          <w:rtl/>
          <w:lang w:val="fr-CH"/>
        </w:rPr>
        <w:tab/>
      </w:r>
      <w:r w:rsidRPr="004A1BFD">
        <w:rPr>
          <w:rFonts w:hint="cs"/>
          <w:rtl/>
          <w:lang w:val="fr-CH"/>
        </w:rPr>
        <w:t xml:space="preserve">المعلومات التي </w:t>
      </w:r>
      <w:r>
        <w:rPr>
          <w:rFonts w:hint="cs"/>
          <w:rtl/>
          <w:lang w:val="fr-CH"/>
        </w:rPr>
        <w:t>يُعتمد</w:t>
      </w:r>
      <w:r w:rsidRPr="004A1BFD">
        <w:rPr>
          <w:rFonts w:hint="cs"/>
          <w:rtl/>
          <w:lang w:val="fr-CH"/>
        </w:rPr>
        <w:t xml:space="preserve"> عليها في صياغة قوائم المسائل السابقة لتقديم التقارير</w:t>
      </w:r>
    </w:p>
    <w:p w:rsidR="008240BC" w:rsidRDefault="008240BC" w:rsidP="008240BC">
      <w:pPr>
        <w:pStyle w:val="SingleTxtGA"/>
        <w:rPr>
          <w:rFonts w:hint="cs"/>
          <w:rtl/>
          <w:lang w:val="fr-CH"/>
        </w:rPr>
      </w:pPr>
      <w:r w:rsidRPr="00074FD0">
        <w:rPr>
          <w:rFonts w:hint="cs"/>
          <w:rtl/>
          <w:lang w:val="fr-CH"/>
        </w:rPr>
        <w:t>12-</w:t>
      </w:r>
      <w:r>
        <w:rPr>
          <w:rtl/>
          <w:lang w:val="fr-CH"/>
        </w:rPr>
        <w:tab/>
      </w:r>
      <w:r>
        <w:rPr>
          <w:rFonts w:hint="cs"/>
          <w:rtl/>
          <w:lang w:val="fr-CH"/>
        </w:rPr>
        <w:t>يُقترح أن تقوم الأمانة، كما هو الأمر حالياً بالنسبة لصياغة واعتماد قوائم المسائل من جانب اللجنة، بإعداد ملف قطري وتوزيعه على أعضاء فرقة العمل المعنية بالتقرير القطري، التي تعتمد عند ذاك قوائم المسائل السابقة لتقديم التقارير. وينبغي أن يتضمن هذا الملف القطري، في جملة أمور، ما يلي:</w:t>
      </w:r>
    </w:p>
    <w:p w:rsidR="008240BC" w:rsidRDefault="008240BC" w:rsidP="008240BC">
      <w:pPr>
        <w:pStyle w:val="Bullet2GA"/>
        <w:bidi/>
        <w:rPr>
          <w:rFonts w:hint="cs"/>
          <w:lang w:val="fr-CH"/>
        </w:rPr>
      </w:pPr>
      <w:r>
        <w:rPr>
          <w:rFonts w:hint="cs"/>
          <w:rtl/>
          <w:lang w:val="fr-CH"/>
        </w:rPr>
        <w:t>التقرير السابق المقدم من الدولة الطرف إلى اللجنة</w:t>
      </w:r>
      <w:r w:rsidR="00CA1E6F">
        <w:rPr>
          <w:rFonts w:hint="cs"/>
          <w:rtl/>
          <w:lang w:val="fr-CH"/>
        </w:rPr>
        <w:t>؛</w:t>
      </w:r>
    </w:p>
    <w:p w:rsidR="008240BC" w:rsidRDefault="008240BC" w:rsidP="008240BC">
      <w:pPr>
        <w:pStyle w:val="Bullet2GA"/>
        <w:bidi/>
        <w:rPr>
          <w:rFonts w:hint="cs"/>
          <w:lang w:val="fr-CH"/>
        </w:rPr>
      </w:pPr>
      <w:r>
        <w:rPr>
          <w:rFonts w:hint="cs"/>
          <w:rtl/>
          <w:lang w:val="fr-CH"/>
        </w:rPr>
        <w:t>الوثيقة الأساسية، بما في ذلك الوثيقة الأساسية الموحدة إن وُجدت</w:t>
      </w:r>
      <w:r w:rsidR="00CA1E6F">
        <w:rPr>
          <w:rFonts w:hint="cs"/>
          <w:rtl/>
          <w:lang w:val="fr-CH"/>
        </w:rPr>
        <w:t>؛</w:t>
      </w:r>
    </w:p>
    <w:p w:rsidR="008240BC" w:rsidRDefault="008240BC" w:rsidP="008240BC">
      <w:pPr>
        <w:pStyle w:val="Bullet2GA"/>
        <w:bidi/>
        <w:rPr>
          <w:rFonts w:hint="cs"/>
          <w:lang w:val="fr-CH"/>
        </w:rPr>
      </w:pPr>
      <w:r>
        <w:rPr>
          <w:rFonts w:hint="cs"/>
          <w:rtl/>
          <w:lang w:val="fr-CH"/>
        </w:rPr>
        <w:t>دستور الدولة الطرف</w:t>
      </w:r>
      <w:r w:rsidR="00CA1E6F">
        <w:rPr>
          <w:rFonts w:hint="cs"/>
          <w:rtl/>
          <w:lang w:val="fr-CH"/>
        </w:rPr>
        <w:t>؛</w:t>
      </w:r>
    </w:p>
    <w:p w:rsidR="008240BC" w:rsidRDefault="008240BC" w:rsidP="008240BC">
      <w:pPr>
        <w:pStyle w:val="Bullet2GA"/>
        <w:bidi/>
        <w:rPr>
          <w:rFonts w:hint="cs"/>
          <w:lang w:val="fr-CH"/>
        </w:rPr>
      </w:pPr>
      <w:r>
        <w:rPr>
          <w:rFonts w:hint="cs"/>
          <w:rtl/>
          <w:lang w:val="fr-CH"/>
        </w:rPr>
        <w:t>الملاحظات الختامية السابقة للجنة</w:t>
      </w:r>
      <w:r w:rsidR="00CA1E6F">
        <w:rPr>
          <w:rFonts w:hint="cs"/>
          <w:rtl/>
          <w:lang w:val="fr-CH"/>
        </w:rPr>
        <w:t>؛</w:t>
      </w:r>
    </w:p>
    <w:p w:rsidR="008240BC" w:rsidRDefault="008240BC" w:rsidP="008240BC">
      <w:pPr>
        <w:pStyle w:val="Bullet2GA"/>
        <w:bidi/>
        <w:rPr>
          <w:rFonts w:hint="cs"/>
          <w:lang w:val="fr-CH"/>
        </w:rPr>
      </w:pPr>
      <w:r>
        <w:rPr>
          <w:rFonts w:hint="cs"/>
          <w:rtl/>
          <w:lang w:val="fr-CH"/>
        </w:rPr>
        <w:t>المحاضر الموجزة لجلسات النظر في التقرير الأخير</w:t>
      </w:r>
      <w:r w:rsidR="00CA1E6F">
        <w:rPr>
          <w:rFonts w:hint="cs"/>
          <w:rtl/>
          <w:lang w:val="fr-CH"/>
        </w:rPr>
        <w:t>؛</w:t>
      </w:r>
    </w:p>
    <w:p w:rsidR="008240BC" w:rsidRDefault="008240BC" w:rsidP="008240BC">
      <w:pPr>
        <w:pStyle w:val="Bullet2GA"/>
        <w:bidi/>
        <w:rPr>
          <w:rFonts w:hint="cs"/>
          <w:lang w:val="fr-CH"/>
        </w:rPr>
      </w:pPr>
      <w:r>
        <w:rPr>
          <w:rFonts w:hint="cs"/>
          <w:rtl/>
          <w:lang w:val="fr-CH"/>
        </w:rPr>
        <w:t>معلومات المتابعة، إن وُجدت، وتقييم اللجنة لهذه المعلومات</w:t>
      </w:r>
      <w:r w:rsidR="00CA1E6F">
        <w:rPr>
          <w:rFonts w:hint="cs"/>
          <w:rtl/>
          <w:lang w:val="fr-CH"/>
        </w:rPr>
        <w:t>؛</w:t>
      </w:r>
    </w:p>
    <w:p w:rsidR="008240BC" w:rsidRDefault="008240BC" w:rsidP="008240BC">
      <w:pPr>
        <w:pStyle w:val="Bullet2GA"/>
        <w:bidi/>
        <w:rPr>
          <w:rFonts w:hint="cs"/>
          <w:lang w:val="fr-CH"/>
        </w:rPr>
      </w:pPr>
      <w:r>
        <w:rPr>
          <w:rFonts w:hint="cs"/>
          <w:rtl/>
          <w:lang w:val="fr-CH"/>
        </w:rPr>
        <w:t>الآراء المعتمدة بموجب البروتوكول الاختياري، إن وُجدت، ومعلومات عن عملية المتابعة مقدمة من الدولة الطرف</w:t>
      </w:r>
      <w:r w:rsidR="00CA1E6F">
        <w:rPr>
          <w:rFonts w:hint="cs"/>
          <w:rtl/>
          <w:lang w:val="fr-CH"/>
        </w:rPr>
        <w:t>؛</w:t>
      </w:r>
    </w:p>
    <w:p w:rsidR="008240BC" w:rsidRDefault="008240BC" w:rsidP="008240BC">
      <w:pPr>
        <w:pStyle w:val="Bullet2GA"/>
        <w:bidi/>
        <w:rPr>
          <w:rFonts w:hint="cs"/>
          <w:lang w:val="fr-CH"/>
        </w:rPr>
      </w:pPr>
      <w:r>
        <w:rPr>
          <w:rFonts w:hint="cs"/>
          <w:rtl/>
          <w:lang w:val="fr-CH"/>
        </w:rPr>
        <w:t>الملاحظات الختامية لهيئات المعاهدات الأخرى</w:t>
      </w:r>
      <w:r w:rsidR="00CA1E6F">
        <w:rPr>
          <w:rFonts w:hint="cs"/>
          <w:rtl/>
          <w:lang w:val="fr-CH"/>
        </w:rPr>
        <w:t>؛</w:t>
      </w:r>
    </w:p>
    <w:p w:rsidR="008240BC" w:rsidRDefault="008240BC" w:rsidP="008240BC">
      <w:pPr>
        <w:pStyle w:val="Bullet2GA"/>
        <w:bidi/>
        <w:rPr>
          <w:rFonts w:hint="cs"/>
          <w:lang w:val="fr-CH"/>
        </w:rPr>
      </w:pPr>
      <w:r>
        <w:rPr>
          <w:rFonts w:hint="cs"/>
          <w:rtl/>
          <w:lang w:val="fr-CH"/>
        </w:rPr>
        <w:t>تقارير المكلفين بالإجراءات الخاصة</w:t>
      </w:r>
      <w:r w:rsidR="00CA1E6F">
        <w:rPr>
          <w:rFonts w:hint="cs"/>
          <w:rtl/>
          <w:lang w:val="fr-CH"/>
        </w:rPr>
        <w:t>؛</w:t>
      </w:r>
    </w:p>
    <w:p w:rsidR="008240BC" w:rsidRDefault="008240BC" w:rsidP="008240BC">
      <w:pPr>
        <w:pStyle w:val="Bullet2GA"/>
        <w:bidi/>
        <w:rPr>
          <w:rFonts w:hint="cs"/>
          <w:lang w:val="fr-CH"/>
        </w:rPr>
      </w:pPr>
      <w:r>
        <w:rPr>
          <w:rFonts w:hint="cs"/>
          <w:rtl/>
          <w:lang w:val="fr-CH"/>
        </w:rPr>
        <w:t>وثائق الاستعراض الدوري الشامل</w:t>
      </w:r>
      <w:r w:rsidR="00CA1E6F">
        <w:rPr>
          <w:rFonts w:hint="cs"/>
          <w:rtl/>
          <w:lang w:val="fr-CH"/>
        </w:rPr>
        <w:t>؛</w:t>
      </w:r>
    </w:p>
    <w:p w:rsidR="008240BC" w:rsidRDefault="008240BC" w:rsidP="008240BC">
      <w:pPr>
        <w:pStyle w:val="Bullet2GA"/>
        <w:bidi/>
        <w:rPr>
          <w:rFonts w:hint="cs"/>
          <w:lang w:val="fr-CH"/>
        </w:rPr>
      </w:pPr>
      <w:r>
        <w:rPr>
          <w:rFonts w:hint="cs"/>
          <w:rtl/>
          <w:lang w:val="fr-CH"/>
        </w:rPr>
        <w:t>وثائق مقدمة من منظمات إقليمية</w:t>
      </w:r>
      <w:r w:rsidR="00CA1E6F">
        <w:rPr>
          <w:rFonts w:hint="cs"/>
          <w:rtl/>
          <w:lang w:val="fr-CH"/>
        </w:rPr>
        <w:t>؛</w:t>
      </w:r>
    </w:p>
    <w:p w:rsidR="008240BC" w:rsidRDefault="008240BC" w:rsidP="008240BC">
      <w:pPr>
        <w:pStyle w:val="Bullet2GA"/>
        <w:bidi/>
        <w:rPr>
          <w:rFonts w:hint="cs"/>
          <w:lang w:val="fr-CH"/>
        </w:rPr>
      </w:pPr>
      <w:r>
        <w:rPr>
          <w:rFonts w:hint="cs"/>
          <w:rtl/>
          <w:lang w:val="fr-CH"/>
        </w:rPr>
        <w:t>معلومات مقدمة من مفوضية الأمم المتحدة السامية لحقوق الإنسان</w:t>
      </w:r>
      <w:r w:rsidR="00CA1E6F">
        <w:rPr>
          <w:rFonts w:hint="cs"/>
          <w:rtl/>
          <w:lang w:val="fr-CH"/>
        </w:rPr>
        <w:t>؛</w:t>
      </w:r>
    </w:p>
    <w:p w:rsidR="008240BC" w:rsidRDefault="008240BC" w:rsidP="008240BC">
      <w:pPr>
        <w:pStyle w:val="Bullet2GA"/>
        <w:bidi/>
        <w:rPr>
          <w:rFonts w:hint="cs"/>
          <w:lang w:val="fr-CH"/>
        </w:rPr>
      </w:pPr>
      <w:r>
        <w:rPr>
          <w:rFonts w:hint="cs"/>
          <w:rtl/>
          <w:lang w:val="fr-CH"/>
        </w:rPr>
        <w:t>تقارير مقدمة من مؤسسات وطنية لحقوق الإنسان ومن منظمات غير حكومية</w:t>
      </w:r>
      <w:r w:rsidR="00CA1E6F">
        <w:rPr>
          <w:rFonts w:hint="cs"/>
          <w:rtl/>
          <w:lang w:val="fr-CH"/>
        </w:rPr>
        <w:t>؛</w:t>
      </w:r>
    </w:p>
    <w:p w:rsidR="008240BC" w:rsidRDefault="008240BC" w:rsidP="008240BC">
      <w:pPr>
        <w:pStyle w:val="Bullet2GA"/>
        <w:bidi/>
        <w:rPr>
          <w:rFonts w:hint="cs"/>
          <w:lang w:val="fr-CH"/>
        </w:rPr>
      </w:pPr>
      <w:r>
        <w:rPr>
          <w:rFonts w:hint="cs"/>
          <w:rtl/>
          <w:lang w:val="fr-CH"/>
        </w:rPr>
        <w:t>أي وثائق أخرى ترى اللجنة أنها وجيهة</w:t>
      </w:r>
      <w:r w:rsidR="00F3799E">
        <w:rPr>
          <w:rFonts w:hint="cs"/>
          <w:rtl/>
          <w:lang w:val="fr-CH"/>
        </w:rPr>
        <w:t>.</w:t>
      </w:r>
    </w:p>
    <w:p w:rsidR="008240BC" w:rsidRDefault="008240BC" w:rsidP="008240BC">
      <w:pPr>
        <w:pStyle w:val="H1GA"/>
        <w:rPr>
          <w:rFonts w:hint="cs"/>
          <w:rtl/>
          <w:lang w:val="fr-CH"/>
        </w:rPr>
      </w:pPr>
      <w:r>
        <w:rPr>
          <w:rFonts w:hint="cs"/>
          <w:rtl/>
          <w:lang w:val="fr-CH"/>
        </w:rPr>
        <w:tab/>
      </w:r>
      <w:r w:rsidRPr="00117D8D">
        <w:rPr>
          <w:rFonts w:hint="cs"/>
          <w:rtl/>
          <w:lang w:val="fr-CH"/>
        </w:rPr>
        <w:t>هاء -</w:t>
      </w:r>
      <w:r>
        <w:rPr>
          <w:rFonts w:hint="cs"/>
          <w:rtl/>
          <w:lang w:val="fr-CH"/>
        </w:rPr>
        <w:tab/>
      </w:r>
      <w:r w:rsidRPr="00117D8D">
        <w:rPr>
          <w:rFonts w:hint="cs"/>
          <w:rtl/>
          <w:lang w:val="fr-CH"/>
        </w:rPr>
        <w:t>المبادئ والمنهجية التي يقوم عليها</w:t>
      </w:r>
      <w:r>
        <w:rPr>
          <w:rFonts w:hint="cs"/>
          <w:rtl/>
          <w:lang w:val="fr-CH"/>
        </w:rPr>
        <w:t xml:space="preserve"> وضع الجدول الزمني لاعتماد قوائم المسائل السابقة لتقديم التقارير والنظر في التقارير المركّزة المستندة إلى قوائم المسائل</w:t>
      </w:r>
    </w:p>
    <w:p w:rsidR="008240BC" w:rsidRDefault="008240BC" w:rsidP="008240BC">
      <w:pPr>
        <w:pStyle w:val="H23GA"/>
        <w:rPr>
          <w:rFonts w:hint="cs"/>
          <w:rtl/>
          <w:lang w:val="fr-CH"/>
        </w:rPr>
      </w:pPr>
      <w:r>
        <w:rPr>
          <w:rFonts w:hint="cs"/>
          <w:rtl/>
          <w:lang w:val="fr-CH"/>
        </w:rPr>
        <w:tab/>
        <w:t>1-</w:t>
      </w:r>
      <w:r>
        <w:rPr>
          <w:rFonts w:hint="cs"/>
          <w:rtl/>
          <w:lang w:val="fr-CH"/>
        </w:rPr>
        <w:tab/>
        <w:t>ينبغي إعطاء الدول الأطراف وقتاً كافياً لإعلام اللجنة بموافقتها أو عدم موافقتها على اتباع الإجراء الاختياري الجديد لتقديم التقارير.</w:t>
      </w:r>
    </w:p>
    <w:p w:rsidR="008240BC" w:rsidRDefault="008240BC" w:rsidP="008240BC">
      <w:pPr>
        <w:pStyle w:val="SingleTxtGA"/>
        <w:rPr>
          <w:rFonts w:hint="cs"/>
          <w:rtl/>
          <w:lang w:val="fr-CH"/>
        </w:rPr>
      </w:pPr>
      <w:r w:rsidRPr="00AC1A81">
        <w:rPr>
          <w:rFonts w:hint="cs"/>
          <w:rtl/>
          <w:lang w:val="fr-CH"/>
        </w:rPr>
        <w:t>13-</w:t>
      </w:r>
      <w:r w:rsidRPr="00AC1A81">
        <w:rPr>
          <w:rFonts w:hint="cs"/>
          <w:rtl/>
          <w:lang w:val="fr-CH"/>
        </w:rPr>
        <w:tab/>
      </w:r>
      <w:r>
        <w:rPr>
          <w:rFonts w:hint="cs"/>
          <w:rtl/>
          <w:lang w:val="fr-CH"/>
        </w:rPr>
        <w:t>ترسل الأمانة بناء على طلب اللجنة مذكرات شفوية تمهل الدول ثلاثة أشهر لإعلام اللجنة بموافقتها أو عدم موافقتها على اتباع إجراء قائمة المسائل السابقة لتقديم التقارير.</w:t>
      </w:r>
    </w:p>
    <w:p w:rsidR="008240BC" w:rsidRPr="00AC1A81" w:rsidRDefault="008240BC" w:rsidP="008240BC">
      <w:pPr>
        <w:pStyle w:val="H23GA"/>
        <w:rPr>
          <w:rFonts w:hint="cs"/>
          <w:rtl/>
          <w:lang w:val="fr-CH"/>
        </w:rPr>
      </w:pPr>
      <w:r>
        <w:rPr>
          <w:rFonts w:hint="cs"/>
          <w:rtl/>
          <w:lang w:val="fr-CH"/>
        </w:rPr>
        <w:tab/>
      </w:r>
      <w:r w:rsidRPr="00AC1A81">
        <w:rPr>
          <w:rFonts w:hint="cs"/>
          <w:rtl/>
          <w:lang w:val="fr-CH"/>
        </w:rPr>
        <w:t>2-</w:t>
      </w:r>
      <w:r w:rsidRPr="00AC1A81">
        <w:rPr>
          <w:rFonts w:hint="cs"/>
          <w:rtl/>
          <w:lang w:val="fr-CH"/>
        </w:rPr>
        <w:tab/>
        <w:t xml:space="preserve">ينبغي إعطاء جميع الجهات صاحبة المصلحة، وبخاصة المؤسسات الوطنية لحقوق الإنسان والمنظمات غير الحكومية، وقتاً كافياً لموافاة اللجنة بمعلومات </w:t>
      </w:r>
      <w:r>
        <w:rPr>
          <w:rFonts w:hint="cs"/>
          <w:rtl/>
          <w:lang w:val="fr-CH"/>
        </w:rPr>
        <w:t>وجيهة</w:t>
      </w:r>
      <w:r w:rsidRPr="00AC1A81">
        <w:rPr>
          <w:rFonts w:hint="cs"/>
          <w:rtl/>
          <w:lang w:val="fr-CH"/>
        </w:rPr>
        <w:t xml:space="preserve"> قبل صياغة قوائم المسائل السابقة لتقديم التقارير واعتمادها.</w:t>
      </w:r>
    </w:p>
    <w:p w:rsidR="008240BC" w:rsidRDefault="008240BC" w:rsidP="008240BC">
      <w:pPr>
        <w:pStyle w:val="SingleTxtGA"/>
        <w:rPr>
          <w:rFonts w:hint="cs"/>
          <w:rtl/>
          <w:lang w:val="fr-CH"/>
        </w:rPr>
      </w:pPr>
      <w:r>
        <w:rPr>
          <w:rFonts w:hint="cs"/>
          <w:rtl/>
          <w:lang w:val="fr-CH"/>
        </w:rPr>
        <w:t>14-</w:t>
      </w:r>
      <w:r>
        <w:rPr>
          <w:rFonts w:hint="cs"/>
          <w:rtl/>
          <w:lang w:val="fr-CH"/>
        </w:rPr>
        <w:tab/>
        <w:t>تُنشر قائمة البلدان التي ستُدرس أوضاعها وفقاً للإجراء الجديد على الموقع الشبكي للمفوضية السامية لحقوق الإنسان، وذلك قبل الدورة التي ستعتمد فيها اللجنة قوائم المسائل السابقة لتقديم التقارير بتسعة أشهر على الأقل</w:t>
      </w:r>
      <w:r>
        <w:rPr>
          <w:vertAlign w:val="superscript"/>
          <w:rtl/>
          <w:lang w:val="fr-CH"/>
        </w:rPr>
        <w:t>(</w:t>
      </w:r>
      <w:r>
        <w:rPr>
          <w:rStyle w:val="FootnoteReference"/>
          <w:rtl/>
          <w:lang w:val="fr-CH"/>
        </w:rPr>
        <w:footnoteReference w:id="1"/>
      </w:r>
      <w:r>
        <w:rPr>
          <w:vertAlign w:val="superscript"/>
          <w:rtl/>
          <w:lang w:val="fr-CH"/>
        </w:rPr>
        <w:t>)</w:t>
      </w:r>
      <w:r>
        <w:rPr>
          <w:rFonts w:hint="cs"/>
          <w:rtl/>
          <w:lang w:val="fr-CH"/>
        </w:rPr>
        <w:t>.</w:t>
      </w:r>
    </w:p>
    <w:p w:rsidR="008240BC" w:rsidRPr="00E541DC" w:rsidRDefault="008240BC" w:rsidP="008240BC">
      <w:pPr>
        <w:pStyle w:val="H23GA"/>
        <w:rPr>
          <w:rFonts w:hint="cs"/>
          <w:rtl/>
          <w:lang w:val="fr-CH"/>
        </w:rPr>
      </w:pPr>
      <w:r>
        <w:rPr>
          <w:rFonts w:hint="cs"/>
          <w:rtl/>
          <w:lang w:val="fr-CH"/>
        </w:rPr>
        <w:tab/>
        <w:t>3-</w:t>
      </w:r>
      <w:r>
        <w:rPr>
          <w:rFonts w:hint="cs"/>
          <w:rtl/>
          <w:lang w:val="fr-CH"/>
        </w:rPr>
        <w:tab/>
        <w:t>ي</w:t>
      </w:r>
      <w:r w:rsidRPr="00E541DC">
        <w:rPr>
          <w:rFonts w:hint="cs"/>
          <w:rtl/>
          <w:lang w:val="fr-CH"/>
        </w:rPr>
        <w:t>نبغي إعطاء الدول الأطراف وقتاً كافياً لإعداد تقاريرها المرك</w:t>
      </w:r>
      <w:r>
        <w:rPr>
          <w:rFonts w:hint="cs"/>
          <w:rtl/>
          <w:lang w:val="fr-CH"/>
        </w:rPr>
        <w:t>ّ</w:t>
      </w:r>
      <w:r w:rsidRPr="00E541DC">
        <w:rPr>
          <w:rFonts w:hint="cs"/>
          <w:rtl/>
          <w:lang w:val="fr-CH"/>
        </w:rPr>
        <w:t>زة المستندة إلى قوائم المسائل السابقة لتقديم التقارير</w:t>
      </w:r>
      <w:r>
        <w:rPr>
          <w:rFonts w:hint="cs"/>
          <w:rtl/>
          <w:lang w:val="fr-CH"/>
        </w:rPr>
        <w:t>.</w:t>
      </w:r>
    </w:p>
    <w:p w:rsidR="008240BC" w:rsidRDefault="008240BC" w:rsidP="008240BC">
      <w:pPr>
        <w:pStyle w:val="SingleTxtGA"/>
        <w:rPr>
          <w:rFonts w:hint="cs"/>
          <w:rtl/>
          <w:lang w:val="fr-CH"/>
        </w:rPr>
      </w:pPr>
      <w:r>
        <w:rPr>
          <w:rFonts w:hint="cs"/>
          <w:rtl/>
          <w:lang w:val="fr-CH"/>
        </w:rPr>
        <w:t>15-</w:t>
      </w:r>
      <w:r>
        <w:rPr>
          <w:rFonts w:hint="cs"/>
          <w:rtl/>
          <w:lang w:val="fr-CH"/>
        </w:rPr>
        <w:tab/>
        <w:t>تمهَل الدول المعنية سنة على الأقل للرد على قوائم المسائل السابقة لتقديم التقارير، أي لإعداد تقريرها المركّز بموجب إجراء قوائم المسائل.</w:t>
      </w:r>
    </w:p>
    <w:p w:rsidR="008240BC" w:rsidRPr="000256CD" w:rsidRDefault="008240BC" w:rsidP="008240BC">
      <w:pPr>
        <w:pStyle w:val="H23GA"/>
        <w:rPr>
          <w:rFonts w:hint="cs"/>
          <w:rtl/>
          <w:lang w:val="fr-CH"/>
        </w:rPr>
      </w:pPr>
      <w:r>
        <w:rPr>
          <w:rFonts w:hint="cs"/>
          <w:rtl/>
          <w:lang w:val="fr-CH"/>
        </w:rPr>
        <w:tab/>
        <w:t>4-</w:t>
      </w:r>
      <w:r>
        <w:rPr>
          <w:rFonts w:hint="cs"/>
          <w:rtl/>
          <w:lang w:val="fr-CH"/>
        </w:rPr>
        <w:tab/>
        <w:t>ي</w:t>
      </w:r>
      <w:r w:rsidRPr="000256CD">
        <w:rPr>
          <w:rFonts w:hint="cs"/>
          <w:rtl/>
          <w:lang w:val="fr-CH"/>
        </w:rPr>
        <w:t>نبغي دراسة التقارير المرك</w:t>
      </w:r>
      <w:r>
        <w:rPr>
          <w:rFonts w:hint="cs"/>
          <w:rtl/>
          <w:lang w:val="fr-CH"/>
        </w:rPr>
        <w:t>ّ</w:t>
      </w:r>
      <w:r w:rsidRPr="000256CD">
        <w:rPr>
          <w:rFonts w:hint="cs"/>
          <w:rtl/>
          <w:lang w:val="fr-CH"/>
        </w:rPr>
        <w:t>زة المستندة إلى قوائم المسائل السابقة لتقديم التقارير في موعد لا يتجاوز سنة واحدة بعد تقديمها</w:t>
      </w:r>
      <w:r>
        <w:rPr>
          <w:rFonts w:hint="cs"/>
          <w:rtl/>
          <w:lang w:val="fr-CH"/>
        </w:rPr>
        <w:t>.</w:t>
      </w:r>
    </w:p>
    <w:p w:rsidR="008240BC" w:rsidRPr="008240BC" w:rsidRDefault="008240BC" w:rsidP="008240BC">
      <w:pPr>
        <w:pStyle w:val="SingleTxtGA"/>
        <w:rPr>
          <w:rFonts w:hint="cs"/>
          <w:spacing w:val="-6"/>
          <w:rtl/>
          <w:lang w:val="fr-CH"/>
        </w:rPr>
      </w:pPr>
      <w:r>
        <w:rPr>
          <w:rFonts w:hint="cs"/>
          <w:rtl/>
          <w:lang w:val="fr-CH"/>
        </w:rPr>
        <w:t>16-</w:t>
      </w:r>
      <w:r>
        <w:rPr>
          <w:rFonts w:hint="cs"/>
          <w:rtl/>
          <w:lang w:val="fr-CH"/>
        </w:rPr>
        <w:tab/>
        <w:t xml:space="preserve">عندما تضع اللجنة الجدول الزمني للتقارير التي ستنظر فيها في دوراتها القادمة، تعطي الأولوية للتقارير المستندة إلى قوائم المسائل، باستثناء التقارير الأولية، حرصاً على أن تكون المدة الفاصلة بين تقديم التقرير المستند إلى قائمة المسائل والنظر فيه قصيرة قدر الإمكان، كيلا </w:t>
      </w:r>
      <w:r w:rsidRPr="008240BC">
        <w:rPr>
          <w:rFonts w:hint="cs"/>
          <w:spacing w:val="-6"/>
          <w:rtl/>
          <w:lang w:val="fr-CH"/>
        </w:rPr>
        <w:t>يفقد التقرير وجاهته، لأن ذلك قد يستدعي إعداد قائمة مسائل جديدة ومجموعة ردود أخرى.</w:t>
      </w:r>
    </w:p>
    <w:p w:rsidR="008240BC" w:rsidRPr="009E7FA5" w:rsidRDefault="008240BC" w:rsidP="008240BC">
      <w:pPr>
        <w:pStyle w:val="H23GA"/>
        <w:rPr>
          <w:rFonts w:hint="cs"/>
          <w:rtl/>
          <w:lang w:val="fr-CH"/>
        </w:rPr>
      </w:pPr>
      <w:r>
        <w:rPr>
          <w:rFonts w:hint="cs"/>
          <w:rtl/>
          <w:lang w:val="fr-CH"/>
        </w:rPr>
        <w:tab/>
        <w:t>5-</w:t>
      </w:r>
      <w:r>
        <w:rPr>
          <w:rFonts w:hint="cs"/>
          <w:rtl/>
          <w:lang w:val="fr-CH"/>
        </w:rPr>
        <w:tab/>
        <w:t>ي</w:t>
      </w:r>
      <w:r w:rsidRPr="009E7FA5">
        <w:rPr>
          <w:rFonts w:hint="cs"/>
          <w:rtl/>
          <w:lang w:val="fr-CH"/>
        </w:rPr>
        <w:t xml:space="preserve">نبغي تقدير قدرات اللجنة والأمانة </w:t>
      </w:r>
      <w:r>
        <w:rPr>
          <w:rFonts w:hint="cs"/>
          <w:rtl/>
          <w:lang w:val="fr-CH"/>
        </w:rPr>
        <w:t xml:space="preserve">من أجل تحديد </w:t>
      </w:r>
      <w:r w:rsidRPr="009E7FA5">
        <w:rPr>
          <w:rFonts w:hint="cs"/>
          <w:rtl/>
          <w:lang w:val="fr-CH"/>
        </w:rPr>
        <w:t xml:space="preserve">عدد قوائم المسائل السابقة لتقديم التقارير التي ستُعتمد في كل دورة خلال الفترة التجريبية. وإضافة إلى ذلك، يمكن أيضاً دعوة </w:t>
      </w:r>
      <w:r>
        <w:rPr>
          <w:rFonts w:hint="cs"/>
          <w:rtl/>
          <w:lang w:val="fr-CH"/>
        </w:rPr>
        <w:t xml:space="preserve">كل من </w:t>
      </w:r>
      <w:r w:rsidRPr="009E7FA5">
        <w:rPr>
          <w:rFonts w:hint="cs"/>
          <w:rtl/>
          <w:lang w:val="fr-CH"/>
        </w:rPr>
        <w:t>الدول التي تقدم تقارير</w:t>
      </w:r>
      <w:r>
        <w:rPr>
          <w:rFonts w:hint="cs"/>
          <w:rtl/>
          <w:lang w:val="fr-CH"/>
        </w:rPr>
        <w:t>ها بصفة</w:t>
      </w:r>
      <w:r w:rsidRPr="009E7FA5">
        <w:rPr>
          <w:rFonts w:hint="cs"/>
          <w:rtl/>
          <w:lang w:val="fr-CH"/>
        </w:rPr>
        <w:t xml:space="preserve"> منتظمة والدول التي تأخرت في تقديم تقاريرها </w:t>
      </w:r>
      <w:r>
        <w:rPr>
          <w:rFonts w:hint="cs"/>
          <w:rtl/>
          <w:lang w:val="fr-CH"/>
        </w:rPr>
        <w:t xml:space="preserve">إلى </w:t>
      </w:r>
      <w:r w:rsidRPr="009E7FA5">
        <w:rPr>
          <w:rFonts w:hint="cs"/>
          <w:rtl/>
          <w:lang w:val="fr-CH"/>
        </w:rPr>
        <w:t>اتباع الإجراء الاختياري الجديد لتقديم التقارير.</w:t>
      </w:r>
    </w:p>
    <w:p w:rsidR="008240BC" w:rsidRDefault="008240BC" w:rsidP="008240BC">
      <w:pPr>
        <w:pStyle w:val="SingleTxtGA"/>
        <w:rPr>
          <w:rFonts w:hint="cs"/>
          <w:rtl/>
          <w:lang w:val="fr-CH"/>
        </w:rPr>
      </w:pPr>
      <w:r>
        <w:rPr>
          <w:rFonts w:hint="cs"/>
          <w:rtl/>
          <w:lang w:val="fr-CH"/>
        </w:rPr>
        <w:t>17-</w:t>
      </w:r>
      <w:r>
        <w:rPr>
          <w:rFonts w:hint="cs"/>
          <w:rtl/>
          <w:lang w:val="fr-CH"/>
        </w:rPr>
        <w:tab/>
        <w:t>نظراً إلى ضرورة مواصلة اعتماد قوائم المسائل الاعتيادية وقوائم المسائل السابقة لتقديم التقارير في كل دورة، لن يكون باستطاعة اللجنة سوى اعتماد خمس قوائم مسائل سابقة لتقديم التقارير في كل دورة خلال الفترة التجريبية (لذا، ستعتمد فرق العمل المعنية بالتقارير القطرية عشر قوائم مسائل في كل دورة: خمس قوائم مسائل اعتيادية وخمس قوائم مسائل سابقة لتقديم التقارير، أي ما مجموعه 30 قائمة من قوائم المسائل الاعتيادية وقوائم المسائل السابقة لتقديم التقارير في السنة).</w:t>
      </w:r>
    </w:p>
    <w:p w:rsidR="008240BC" w:rsidRDefault="008240BC" w:rsidP="008240BC">
      <w:pPr>
        <w:pStyle w:val="SingleTxtGA"/>
        <w:rPr>
          <w:rFonts w:hint="cs"/>
          <w:rtl/>
          <w:lang w:val="fr-CH"/>
        </w:rPr>
      </w:pPr>
      <w:r>
        <w:rPr>
          <w:rFonts w:hint="cs"/>
          <w:rtl/>
          <w:lang w:val="fr-CH"/>
        </w:rPr>
        <w:t>18-</w:t>
      </w:r>
      <w:r>
        <w:rPr>
          <w:rFonts w:hint="cs"/>
          <w:rtl/>
          <w:lang w:val="fr-CH"/>
        </w:rPr>
        <w:tab/>
        <w:t>وسيجري اختيار الدول الخمس التي سترسَل إليها قوائم المسائل السابقة لتقديم التقارير في كل دورة حسب المعايير التالية:</w:t>
      </w:r>
    </w:p>
    <w:p w:rsidR="008240BC" w:rsidRPr="008240BC" w:rsidRDefault="008240BC" w:rsidP="008240BC">
      <w:pPr>
        <w:pStyle w:val="SingleTxtGA"/>
        <w:rPr>
          <w:rFonts w:hint="cs"/>
          <w:spacing w:val="-6"/>
          <w:rtl/>
          <w:lang w:val="fr-CH"/>
        </w:rPr>
      </w:pPr>
      <w:r>
        <w:rPr>
          <w:rFonts w:hint="cs"/>
          <w:rtl/>
          <w:lang w:val="fr-CH"/>
        </w:rPr>
        <w:tab/>
        <w:t>(أ)</w:t>
      </w:r>
      <w:r>
        <w:rPr>
          <w:rFonts w:hint="cs"/>
          <w:rtl/>
          <w:lang w:val="fr-CH"/>
        </w:rPr>
        <w:tab/>
        <w:t xml:space="preserve">يجري اختيار الدول المعنية، في المقام الأول، من قائمة الدول التي يحين موعد </w:t>
      </w:r>
      <w:r w:rsidRPr="008240BC">
        <w:rPr>
          <w:rFonts w:hint="cs"/>
          <w:spacing w:val="-6"/>
          <w:rtl/>
          <w:lang w:val="fr-CH"/>
        </w:rPr>
        <w:t>تقديم تقاريرها في عام 2013 وما بعده والتي أبلغت اللجنةَ موافقتها على اتباع الإجراء الجديد؛</w:t>
      </w:r>
    </w:p>
    <w:p w:rsidR="008240BC" w:rsidRPr="008240BC" w:rsidRDefault="008240BC" w:rsidP="008240BC">
      <w:pPr>
        <w:pStyle w:val="SingleTxtGA"/>
        <w:rPr>
          <w:rFonts w:hint="cs"/>
          <w:spacing w:val="-6"/>
          <w:rtl/>
          <w:lang w:val="fr-CH"/>
        </w:rPr>
      </w:pPr>
      <w:r>
        <w:rPr>
          <w:rFonts w:hint="cs"/>
          <w:rtl/>
          <w:lang w:val="fr-CH"/>
        </w:rPr>
        <w:tab/>
        <w:t>(ب)</w:t>
      </w:r>
      <w:r>
        <w:rPr>
          <w:rFonts w:hint="cs"/>
          <w:rtl/>
          <w:lang w:val="fr-CH"/>
        </w:rPr>
        <w:tab/>
        <w:t xml:space="preserve">يمكن صياغة قوائم المسائل السابقة لتقديم التقارير وإرسالها إلى الدول التي </w:t>
      </w:r>
      <w:r w:rsidRPr="008240BC">
        <w:rPr>
          <w:rFonts w:hint="cs"/>
          <w:spacing w:val="-6"/>
          <w:rtl/>
          <w:lang w:val="fr-CH"/>
        </w:rPr>
        <w:t>تأخرت في تقديم تقاريرها الدورية ما لا يقل عن عشر سنوات والتي وافقت على الإجراء الجديد؛</w:t>
      </w:r>
    </w:p>
    <w:p w:rsidR="008240BC" w:rsidRDefault="008240BC" w:rsidP="008240BC">
      <w:pPr>
        <w:pStyle w:val="SingleTxtGA"/>
        <w:rPr>
          <w:rFonts w:hint="cs"/>
          <w:rtl/>
          <w:lang w:val="fr-CH"/>
        </w:rPr>
      </w:pPr>
      <w:r>
        <w:rPr>
          <w:rFonts w:hint="cs"/>
          <w:rtl/>
          <w:lang w:val="fr-CH"/>
        </w:rPr>
        <w:tab/>
        <w:t>(ج)</w:t>
      </w:r>
      <w:r>
        <w:rPr>
          <w:rFonts w:hint="cs"/>
          <w:rtl/>
          <w:lang w:val="fr-CH"/>
        </w:rPr>
        <w:tab/>
        <w:t>سيجري اختيار الدول بالترتيب الزمني تبعاً لموعد تقديم تقريرها الدوري القادم، فإذا تزامن موعد تقديم عدة تقارير يجري اختيار الدول تبعاً لتاريخ إبلاغها اللجنة رغبتها في اتباع الإجراء الاختياري لتقديم التقارير.</w:t>
      </w:r>
    </w:p>
    <w:p w:rsidR="008240BC" w:rsidRPr="008240BC" w:rsidRDefault="008240BC" w:rsidP="008240BC">
      <w:pPr>
        <w:pStyle w:val="H1GA"/>
        <w:rPr>
          <w:rFonts w:hint="cs"/>
          <w:spacing w:val="-6"/>
          <w:rtl/>
          <w:lang w:val="fr-CH"/>
        </w:rPr>
      </w:pPr>
      <w:r>
        <w:rPr>
          <w:rFonts w:hint="cs"/>
          <w:rtl/>
          <w:lang w:val="fr-CH"/>
        </w:rPr>
        <w:tab/>
      </w:r>
      <w:r w:rsidRPr="00E832E0">
        <w:rPr>
          <w:rFonts w:hint="cs"/>
          <w:rtl/>
          <w:lang w:val="fr-CH"/>
        </w:rPr>
        <w:t xml:space="preserve">واو </w:t>
      </w:r>
      <w:r>
        <w:rPr>
          <w:rFonts w:hint="cs"/>
          <w:rtl/>
          <w:lang w:val="fr-CH"/>
        </w:rPr>
        <w:t>-</w:t>
      </w:r>
      <w:r>
        <w:rPr>
          <w:rFonts w:hint="cs"/>
          <w:rtl/>
          <w:lang w:val="fr-CH"/>
        </w:rPr>
        <w:tab/>
      </w:r>
      <w:r w:rsidRPr="008240BC">
        <w:rPr>
          <w:rFonts w:hint="cs"/>
          <w:spacing w:val="-6"/>
          <w:rtl/>
          <w:lang w:val="fr-CH"/>
        </w:rPr>
        <w:t>الجدول الزمني لتنفيذ المرحلة الأولى من الإجراء الاختياري الجديد لتقديم التقارير</w:t>
      </w:r>
    </w:p>
    <w:p w:rsidR="008240BC" w:rsidRDefault="008240BC" w:rsidP="008240BC">
      <w:pPr>
        <w:pStyle w:val="SingleTxtGA"/>
        <w:rPr>
          <w:rFonts w:hint="cs"/>
          <w:rtl/>
          <w:lang w:val="fr-CH"/>
        </w:rPr>
      </w:pPr>
      <w:r>
        <w:rPr>
          <w:rFonts w:hint="cs"/>
          <w:rtl/>
          <w:lang w:val="fr-CH"/>
        </w:rPr>
        <w:t>19-</w:t>
      </w:r>
      <w:r>
        <w:rPr>
          <w:rFonts w:hint="cs"/>
          <w:rtl/>
          <w:lang w:val="fr-CH"/>
        </w:rPr>
        <w:tab/>
        <w:t>في 1 تشرين الثاني/نوفمبر 2010، ستبلغ اللجنة الدول الأطراف التالية ببدء العمل بالإجراء الاختياري الجديد لتقديم التقارير وستطلب موافقتها على اتباع هذا الإجراء الجديد:</w:t>
      </w:r>
    </w:p>
    <w:p w:rsidR="008240BC" w:rsidRPr="008240BC" w:rsidRDefault="008240BC" w:rsidP="008240BC">
      <w:pPr>
        <w:pStyle w:val="SingleTxtGA"/>
        <w:rPr>
          <w:rFonts w:hint="cs"/>
          <w:spacing w:val="-6"/>
          <w:rtl/>
          <w:lang w:val="fr-CH"/>
        </w:rPr>
      </w:pPr>
      <w:r w:rsidRPr="008240BC">
        <w:rPr>
          <w:rFonts w:hint="cs"/>
          <w:spacing w:val="-6"/>
          <w:rtl/>
          <w:lang w:val="fr-CH"/>
        </w:rPr>
        <w:tab/>
        <w:t>(أ)</w:t>
      </w:r>
      <w:r w:rsidRPr="008240BC">
        <w:rPr>
          <w:rFonts w:hint="cs"/>
          <w:spacing w:val="-6"/>
          <w:rtl/>
          <w:lang w:val="fr-CH"/>
        </w:rPr>
        <w:tab/>
        <w:t>جميع الدول الأطراف التي يحين موعد تقديم تقاريرها في عام 2013 وما بعده؛</w:t>
      </w:r>
    </w:p>
    <w:p w:rsidR="008240BC" w:rsidRDefault="008240BC" w:rsidP="008240BC">
      <w:pPr>
        <w:pStyle w:val="SingleTxtGA"/>
        <w:rPr>
          <w:rFonts w:hint="cs"/>
          <w:rtl/>
          <w:lang w:val="fr-CH"/>
        </w:rPr>
      </w:pPr>
      <w:r w:rsidRPr="008240BC">
        <w:rPr>
          <w:rFonts w:hint="cs"/>
          <w:spacing w:val="6"/>
          <w:rtl/>
          <w:lang w:val="fr-CH"/>
        </w:rPr>
        <w:tab/>
        <w:t>(ب)</w:t>
      </w:r>
      <w:r w:rsidRPr="008240BC">
        <w:rPr>
          <w:rFonts w:hint="cs"/>
          <w:spacing w:val="6"/>
          <w:rtl/>
          <w:lang w:val="fr-CH"/>
        </w:rPr>
        <w:tab/>
        <w:t>جميع الدول الأطراف التي تأخرت في تقديم تقاريرها ما لا يقل عن عشر سنوات</w:t>
      </w:r>
      <w:r>
        <w:rPr>
          <w:rFonts w:hint="cs"/>
          <w:rtl/>
          <w:lang w:val="fr-CH"/>
        </w:rPr>
        <w:t>.</w:t>
      </w:r>
    </w:p>
    <w:p w:rsidR="008240BC" w:rsidRDefault="008240BC" w:rsidP="008240BC">
      <w:pPr>
        <w:pStyle w:val="SingleTxtGA"/>
        <w:rPr>
          <w:rFonts w:hint="cs"/>
          <w:rtl/>
          <w:lang w:val="fr-CH"/>
        </w:rPr>
      </w:pPr>
      <w:r>
        <w:rPr>
          <w:rFonts w:hint="cs"/>
          <w:rtl/>
          <w:lang w:val="fr-CH"/>
        </w:rPr>
        <w:t>20-</w:t>
      </w:r>
      <w:r>
        <w:rPr>
          <w:rFonts w:hint="cs"/>
          <w:rtl/>
          <w:lang w:val="fr-CH"/>
        </w:rPr>
        <w:tab/>
        <w:t>ويحدَّد الموعد النهائي لتقديم الدول ردودها في 1 شباط/فبراير 2011.</w:t>
      </w:r>
    </w:p>
    <w:p w:rsidR="008240BC" w:rsidRDefault="008240BC" w:rsidP="008240BC">
      <w:pPr>
        <w:pStyle w:val="SingleTxtGA"/>
        <w:rPr>
          <w:rFonts w:hint="cs"/>
          <w:rtl/>
          <w:lang w:val="fr-CH"/>
        </w:rPr>
      </w:pPr>
      <w:r>
        <w:rPr>
          <w:rFonts w:hint="cs"/>
          <w:rtl/>
          <w:lang w:val="fr-CH"/>
        </w:rPr>
        <w:t>21-</w:t>
      </w:r>
      <w:r>
        <w:rPr>
          <w:rFonts w:hint="cs"/>
          <w:rtl/>
          <w:lang w:val="fr-CH"/>
        </w:rPr>
        <w:tab/>
        <w:t>فإذا تخلفت دول أطراف عن الرد يُتصل بها لدعوتها إلى اجتماع تشاوري مع رئيس اللجنة في موعد تراه اللجنة مناسباً.</w:t>
      </w:r>
    </w:p>
    <w:p w:rsidR="008240BC" w:rsidRDefault="008240BC" w:rsidP="008240BC">
      <w:pPr>
        <w:pStyle w:val="SingleTxtGA"/>
        <w:rPr>
          <w:rFonts w:hint="cs"/>
          <w:rtl/>
          <w:lang w:val="fr-CH"/>
        </w:rPr>
      </w:pPr>
      <w:r>
        <w:rPr>
          <w:rFonts w:hint="cs"/>
          <w:rtl/>
          <w:lang w:val="fr-CH"/>
        </w:rPr>
        <w:t>22-</w:t>
      </w:r>
      <w:r>
        <w:rPr>
          <w:rFonts w:hint="cs"/>
          <w:rtl/>
          <w:lang w:val="fr-CH"/>
        </w:rPr>
        <w:tab/>
        <w:t>وفي آذار/مارس 2011 (الدورة 101)، ستعلن اللجنة قرارها اعتماد قائمة مسائل سابقة لتقديم التقارير بالنسبة للدول التي تكون قد وافقت على الإجراء الاختياري الجديد قبل الموعد النهائي الأول المحدد في 1 شباط/فبراير 2011. وستضع اللجنة جدولاً زمنياً لصياغة واعتماد قوائم المسائل للدورات المقبلة، تبعاً لعدد الدول المعنية ومع مراعاة قدرتها على اعتماد عدد محدد من قوائم المسائل السابقة لتقديم التقارير في كل دورة.</w:t>
      </w:r>
    </w:p>
    <w:p w:rsidR="008240BC" w:rsidRDefault="008240BC" w:rsidP="008240BC">
      <w:pPr>
        <w:pStyle w:val="SingleTxtGA"/>
        <w:rPr>
          <w:rFonts w:hint="cs"/>
          <w:rtl/>
          <w:lang w:val="fr-CH"/>
        </w:rPr>
      </w:pPr>
      <w:r>
        <w:rPr>
          <w:rFonts w:hint="cs"/>
          <w:rtl/>
          <w:lang w:val="fr-CH"/>
        </w:rPr>
        <w:t>23-</w:t>
      </w:r>
      <w:r>
        <w:rPr>
          <w:rFonts w:hint="cs"/>
          <w:rtl/>
          <w:lang w:val="fr-CH"/>
        </w:rPr>
        <w:tab/>
        <w:t>وبغية إتاحة الوقت الكافي للمؤسسات الوطنية لحقوق الإنسان والمنظمات غير الحكومية لموافاة اللجنة بمعلومات وجيهة، ستُعتمد قوائم المسائل الخمس الأولى السابقة لتقديم التقارير في الدورة المقرر عقدها في تشرين الأول/أكتوبر 2011</w:t>
      </w:r>
      <w:r>
        <w:rPr>
          <w:rFonts w:hint="cs"/>
          <w:vertAlign w:val="superscript"/>
          <w:rtl/>
          <w:lang w:val="fr-CH"/>
        </w:rPr>
        <w:t>(</w:t>
      </w:r>
      <w:r>
        <w:rPr>
          <w:rStyle w:val="FootnoteReference"/>
          <w:rFonts w:ascii="Traditional Arabic" w:hAnsi="Traditional Arabic"/>
          <w:sz w:val="30"/>
          <w:rtl/>
          <w:lang w:val="fr-CH"/>
        </w:rPr>
        <w:footnoteReference w:id="2"/>
      </w:r>
      <w:r>
        <w:rPr>
          <w:rFonts w:hint="cs"/>
          <w:vertAlign w:val="superscript"/>
          <w:rtl/>
          <w:lang w:val="fr-CH"/>
        </w:rPr>
        <w:t>)</w:t>
      </w:r>
      <w:r>
        <w:rPr>
          <w:rFonts w:hint="cs"/>
          <w:rtl/>
          <w:lang w:val="fr-CH"/>
        </w:rPr>
        <w:t>.</w:t>
      </w:r>
    </w:p>
    <w:p w:rsidR="008240BC" w:rsidRDefault="008240BC" w:rsidP="008240BC">
      <w:pPr>
        <w:pStyle w:val="SingleTxtGA"/>
        <w:rPr>
          <w:rFonts w:hint="cs"/>
          <w:rtl/>
          <w:lang w:val="fr-CH"/>
        </w:rPr>
      </w:pPr>
      <w:r>
        <w:rPr>
          <w:rFonts w:hint="cs"/>
          <w:rtl/>
          <w:lang w:val="fr-CH"/>
        </w:rPr>
        <w:t>24-</w:t>
      </w:r>
      <w:r>
        <w:rPr>
          <w:rFonts w:hint="cs"/>
          <w:rtl/>
          <w:lang w:val="fr-CH"/>
        </w:rPr>
        <w:tab/>
        <w:t>وسيُطلب إلى الدول الأطراف الخمس الأولى التي ستُعتمد لها قوائم مسائل سابقة لتقديم التقارير في تشرين الأول/أكتوبر 2011 أن تقدم تقاريرها المستندة إلى قوائم المسائل قبل 31 آذار/مارس 2013.</w:t>
      </w:r>
    </w:p>
    <w:p w:rsidR="008240BC" w:rsidRDefault="008240BC" w:rsidP="008240BC">
      <w:pPr>
        <w:pStyle w:val="SingleTxtGA"/>
        <w:rPr>
          <w:rFonts w:hint="cs"/>
          <w:rtl/>
          <w:lang w:val="fr-CH"/>
        </w:rPr>
      </w:pPr>
      <w:r>
        <w:rPr>
          <w:rFonts w:hint="cs"/>
          <w:rtl/>
          <w:lang w:val="fr-CH"/>
        </w:rPr>
        <w:t>25-</w:t>
      </w:r>
      <w:r>
        <w:rPr>
          <w:rFonts w:hint="cs"/>
          <w:rtl/>
          <w:lang w:val="fr-CH"/>
        </w:rPr>
        <w:tab/>
        <w:t>فإذا وردت التقارير المركّزة الأولى قبل الموعد النهائي (31 آذار/مارس 2013) يحدَّد موعد النظر فيها في عام 2014.</w:t>
      </w:r>
    </w:p>
    <w:p w:rsidR="008240BC" w:rsidRPr="0055559B" w:rsidRDefault="008240BC" w:rsidP="007D1A17">
      <w:pPr>
        <w:pStyle w:val="SingleTxtGA"/>
        <w:jc w:val="left"/>
        <w:rPr>
          <w:rFonts w:hint="cs"/>
          <w:rtl/>
          <w:lang w:val="fr-CH"/>
        </w:rPr>
      </w:pPr>
      <w:r w:rsidRPr="0055559B">
        <w:rPr>
          <w:rFonts w:hint="cs"/>
          <w:rtl/>
          <w:lang w:val="fr-CH"/>
        </w:rPr>
        <w:t xml:space="preserve">الجدول 1 </w:t>
      </w:r>
      <w:r w:rsidR="007D1A17">
        <w:rPr>
          <w:rtl/>
          <w:lang w:val="fr-CH"/>
        </w:rPr>
        <w:br/>
      </w:r>
      <w:r w:rsidRPr="007D1A17">
        <w:rPr>
          <w:rFonts w:hint="cs"/>
          <w:b/>
          <w:bCs/>
          <w:rtl/>
          <w:lang w:val="fr-CH"/>
        </w:rPr>
        <w:t>التقارير الدورية التي يحين موعد تقديمها في عام 2013 (في 30 تموز/يوليه 2010)</w:t>
      </w:r>
      <w:r w:rsidR="007D1A17" w:rsidRPr="007D1A17">
        <w:rPr>
          <w:rFonts w:hint="cs"/>
          <w:vertAlign w:val="superscript"/>
          <w:rtl/>
          <w:lang w:val="fr-CH"/>
        </w:rPr>
        <w:t>(</w:t>
      </w:r>
      <w:r w:rsidRPr="007D1A17">
        <w:rPr>
          <w:rStyle w:val="FootnoteReference"/>
          <w:rFonts w:ascii="Traditional Arabic" w:hAnsi="Traditional Arabic"/>
          <w:sz w:val="30"/>
          <w:rtl/>
          <w:lang w:val="fr-CH"/>
        </w:rPr>
        <w:footnoteReference w:id="3"/>
      </w:r>
      <w:r w:rsidR="007D1A17" w:rsidRPr="007D1A17">
        <w:rPr>
          <w:rFonts w:hint="cs"/>
          <w:vertAlign w:val="superscript"/>
          <w:rtl/>
          <w:lang w:val="fr-CH"/>
        </w:rPr>
        <w:t>)</w:t>
      </w:r>
    </w:p>
    <w:tbl>
      <w:tblPr>
        <w:tblStyle w:val="TableGrid"/>
        <w:bidiVisual/>
        <w:tblW w:w="0" w:type="auto"/>
        <w:tblInd w:w="1286" w:type="dxa"/>
        <w:tblLook w:val="01E0" w:firstRow="1" w:lastRow="1" w:firstColumn="1" w:lastColumn="1" w:noHBand="0" w:noVBand="0"/>
      </w:tblPr>
      <w:tblGrid>
        <w:gridCol w:w="2700"/>
        <w:gridCol w:w="1699"/>
        <w:gridCol w:w="2843"/>
      </w:tblGrid>
      <w:tr w:rsidR="008240BC" w:rsidRPr="007D1A17" w:rsidTr="00B81913">
        <w:trPr>
          <w:tblHeader/>
        </w:trPr>
        <w:tc>
          <w:tcPr>
            <w:tcW w:w="2700" w:type="dxa"/>
            <w:tcBorders>
              <w:left w:val="nil"/>
              <w:bottom w:val="single" w:sz="12" w:space="0" w:color="auto"/>
              <w:right w:val="nil"/>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الدولة الطرف</w:t>
            </w:r>
          </w:p>
        </w:tc>
        <w:tc>
          <w:tcPr>
            <w:tcW w:w="1699" w:type="dxa"/>
            <w:tcBorders>
              <w:left w:val="nil"/>
              <w:bottom w:val="single" w:sz="12" w:space="0" w:color="auto"/>
              <w:right w:val="nil"/>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نوع التقرير</w:t>
            </w:r>
          </w:p>
        </w:tc>
        <w:tc>
          <w:tcPr>
            <w:tcW w:w="2843" w:type="dxa"/>
            <w:tcBorders>
              <w:left w:val="nil"/>
              <w:bottom w:val="single" w:sz="12" w:space="0" w:color="auto"/>
              <w:right w:val="nil"/>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موعد تقديمه</w:t>
            </w:r>
          </w:p>
        </w:tc>
      </w:tr>
      <w:tr w:rsidR="008240BC" w:rsidTr="007D1A17">
        <w:tc>
          <w:tcPr>
            <w:tcW w:w="2700" w:type="dxa"/>
            <w:tcBorders>
              <w:top w:val="single" w:sz="12" w:space="0" w:color="auto"/>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أوزبكستان</w:t>
            </w:r>
          </w:p>
        </w:tc>
        <w:tc>
          <w:tcPr>
            <w:tcW w:w="1699" w:type="dxa"/>
            <w:tcBorders>
              <w:top w:val="single" w:sz="12" w:space="0" w:color="auto"/>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top w:val="single" w:sz="12" w:space="0" w:color="auto"/>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آذار/مارس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رواندا</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نيسان/أبريل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أستراليا</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السادس</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نيسان/أبريل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أذربيجان</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آب/أغسطس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سان مارينو</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تموز/يوليه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الكاميرون</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تموز/يوليه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إسرائيل</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تموز/يوليه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جمهورية تنزانيا المتحدة</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آب/أغسطس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الدانمرك</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السادس</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تشرين الأول/أكتوبر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موناكو</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28 تشرين الأول/أكتوبر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كرواتيا</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تشرين الأول/أكتوبر 2013</w:t>
            </w:r>
          </w:p>
        </w:tc>
      </w:tr>
      <w:tr w:rsidR="008240BC" w:rsidTr="007D1A17">
        <w:tc>
          <w:tcPr>
            <w:tcW w:w="2700"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إكوادور</w:t>
            </w:r>
          </w:p>
        </w:tc>
        <w:tc>
          <w:tcPr>
            <w:tcW w:w="1699"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السادس</w:t>
            </w:r>
          </w:p>
        </w:tc>
        <w:tc>
          <w:tcPr>
            <w:tcW w:w="2843" w:type="dxa"/>
            <w:tcBorders>
              <w:top w:val="nil"/>
              <w:left w:val="nil"/>
              <w:bottom w:val="nil"/>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تشرين الأول/أكتوبر 2013</w:t>
            </w:r>
          </w:p>
        </w:tc>
      </w:tr>
      <w:tr w:rsidR="008240BC" w:rsidRPr="00B81913" w:rsidTr="007D1A17">
        <w:tc>
          <w:tcPr>
            <w:tcW w:w="2700" w:type="dxa"/>
            <w:tcBorders>
              <w:top w:val="nil"/>
              <w:left w:val="nil"/>
              <w:bottom w:val="single" w:sz="12" w:space="0" w:color="auto"/>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جمهورية مولدوفا</w:t>
            </w:r>
          </w:p>
        </w:tc>
        <w:tc>
          <w:tcPr>
            <w:tcW w:w="1699" w:type="dxa"/>
            <w:tcBorders>
              <w:top w:val="nil"/>
              <w:left w:val="nil"/>
              <w:bottom w:val="single" w:sz="12" w:space="0" w:color="auto"/>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43" w:type="dxa"/>
            <w:tcBorders>
              <w:top w:val="nil"/>
              <w:left w:val="nil"/>
              <w:bottom w:val="single" w:sz="12" w:space="0" w:color="auto"/>
              <w:right w:val="nil"/>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تشرين الأول/أكتوبر 2013</w:t>
            </w:r>
          </w:p>
        </w:tc>
      </w:tr>
    </w:tbl>
    <w:p w:rsidR="008240BC" w:rsidRPr="007D1A17" w:rsidRDefault="008240BC" w:rsidP="007D1A17">
      <w:pPr>
        <w:pStyle w:val="SingleTxtGA"/>
        <w:spacing w:before="120"/>
        <w:jc w:val="left"/>
        <w:rPr>
          <w:rFonts w:hint="cs"/>
          <w:b/>
          <w:bCs/>
          <w:rtl/>
          <w:lang w:val="fr-CH"/>
        </w:rPr>
      </w:pPr>
      <w:r w:rsidRPr="00A54179">
        <w:rPr>
          <w:rFonts w:hint="cs"/>
          <w:rtl/>
          <w:lang w:val="fr-CH"/>
        </w:rPr>
        <w:t>الجدول 2</w:t>
      </w:r>
      <w:r w:rsidR="007D1A17">
        <w:rPr>
          <w:rtl/>
          <w:lang w:val="fr-CH"/>
        </w:rPr>
        <w:br/>
      </w:r>
      <w:r w:rsidRPr="007D1A17">
        <w:rPr>
          <w:rFonts w:hint="cs"/>
          <w:b/>
          <w:bCs/>
          <w:rtl/>
          <w:lang w:val="fr-CH"/>
        </w:rPr>
        <w:t>التقارير الدورية التي يحين موعد تقديمها في عام 2014 (في 30 تموز/يوليه 2010)</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1879"/>
        <w:gridCol w:w="2843"/>
      </w:tblGrid>
      <w:tr w:rsidR="008240BC" w:rsidTr="007D1A17">
        <w:tc>
          <w:tcPr>
            <w:tcW w:w="2520" w:type="dxa"/>
            <w:tcBorders>
              <w:top w:val="single" w:sz="4" w:space="0" w:color="auto"/>
              <w:bottom w:val="single" w:sz="12" w:space="0" w:color="auto"/>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الدولة الطرف</w:t>
            </w:r>
          </w:p>
        </w:tc>
        <w:tc>
          <w:tcPr>
            <w:tcW w:w="1879" w:type="dxa"/>
            <w:tcBorders>
              <w:top w:val="single" w:sz="4" w:space="0" w:color="auto"/>
              <w:bottom w:val="single" w:sz="12" w:space="0" w:color="auto"/>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نوع التقرير</w:t>
            </w:r>
          </w:p>
        </w:tc>
        <w:tc>
          <w:tcPr>
            <w:tcW w:w="2843" w:type="dxa"/>
            <w:tcBorders>
              <w:top w:val="single" w:sz="4" w:space="0" w:color="auto"/>
              <w:bottom w:val="single" w:sz="12" w:space="0" w:color="auto"/>
            </w:tcBorders>
          </w:tcPr>
          <w:p w:rsidR="008240BC" w:rsidRPr="007D1A17" w:rsidRDefault="008240BC" w:rsidP="005339FC">
            <w:pPr>
              <w:rPr>
                <w:rFonts w:ascii="Traditional Arabic" w:hAnsi="Traditional Arabic" w:hint="cs"/>
                <w:i/>
                <w:iCs/>
                <w:sz w:val="26"/>
                <w:szCs w:val="26"/>
                <w:rtl/>
                <w:lang w:val="fr-CH"/>
              </w:rPr>
            </w:pPr>
            <w:r w:rsidRPr="007D1A17">
              <w:rPr>
                <w:rFonts w:ascii="Traditional Arabic" w:hAnsi="Traditional Arabic" w:hint="cs"/>
                <w:i/>
                <w:iCs/>
                <w:sz w:val="26"/>
                <w:szCs w:val="26"/>
                <w:rtl/>
                <w:lang w:val="fr-CH"/>
              </w:rPr>
              <w:t>موعد تقديمه</w:t>
            </w:r>
          </w:p>
        </w:tc>
      </w:tr>
      <w:tr w:rsidR="008240BC" w:rsidTr="007D1A17">
        <w:tc>
          <w:tcPr>
            <w:tcW w:w="252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الأرجنتين</w:t>
            </w:r>
          </w:p>
        </w:tc>
        <w:tc>
          <w:tcPr>
            <w:tcW w:w="1879"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43"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آذار/مارس 2014</w:t>
            </w:r>
          </w:p>
        </w:tc>
      </w:tr>
      <w:tr w:rsidR="008240BC" w:rsidTr="007D1A17">
        <w:tc>
          <w:tcPr>
            <w:tcW w:w="252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المكسيك</w:t>
            </w:r>
          </w:p>
        </w:tc>
        <w:tc>
          <w:tcPr>
            <w:tcW w:w="1879"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السادس</w:t>
            </w:r>
          </w:p>
        </w:tc>
        <w:tc>
          <w:tcPr>
            <w:tcW w:w="284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آذار/مارس 2014</w:t>
            </w:r>
          </w:p>
        </w:tc>
      </w:tr>
      <w:tr w:rsidR="008240BC" w:rsidTr="007D1A17">
        <w:tc>
          <w:tcPr>
            <w:tcW w:w="252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كولومبيا</w:t>
            </w:r>
          </w:p>
        </w:tc>
        <w:tc>
          <w:tcPr>
            <w:tcW w:w="1879"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السابع</w:t>
            </w:r>
          </w:p>
        </w:tc>
        <w:tc>
          <w:tcPr>
            <w:tcW w:w="284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نيسان/أبريل 2014</w:t>
            </w:r>
          </w:p>
        </w:tc>
      </w:tr>
      <w:tr w:rsidR="008240BC" w:rsidTr="007D1A17">
        <w:tc>
          <w:tcPr>
            <w:tcW w:w="252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سويسرا</w:t>
            </w:r>
          </w:p>
        </w:tc>
        <w:tc>
          <w:tcPr>
            <w:tcW w:w="1879"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20 تشرين الأول/أكتوبر 2014</w:t>
            </w:r>
          </w:p>
        </w:tc>
      </w:tr>
    </w:tbl>
    <w:p w:rsidR="007D1A17" w:rsidRDefault="008240BC" w:rsidP="007D1A17">
      <w:pPr>
        <w:pStyle w:val="SingleTxtGA"/>
        <w:spacing w:before="120" w:after="0"/>
        <w:rPr>
          <w:rFonts w:hint="cs"/>
          <w:b/>
          <w:bCs/>
          <w:rtl/>
          <w:lang w:val="fr-CH"/>
        </w:rPr>
      </w:pPr>
      <w:r w:rsidRPr="004D6635">
        <w:rPr>
          <w:rFonts w:hint="cs"/>
          <w:rtl/>
          <w:lang w:val="fr-CH"/>
        </w:rPr>
        <w:t>الجدول 3</w:t>
      </w:r>
    </w:p>
    <w:p w:rsidR="008240BC" w:rsidRPr="007D1A17" w:rsidRDefault="008240BC" w:rsidP="007D1A17">
      <w:pPr>
        <w:pStyle w:val="SingleTxtGA"/>
        <w:rPr>
          <w:rFonts w:hint="cs"/>
          <w:b/>
          <w:bCs/>
          <w:spacing w:val="-6"/>
          <w:rtl/>
          <w:lang w:val="fr-CH"/>
        </w:rPr>
      </w:pPr>
      <w:r w:rsidRPr="007D1A17">
        <w:rPr>
          <w:rFonts w:hint="cs"/>
          <w:b/>
          <w:bCs/>
          <w:spacing w:val="-6"/>
          <w:rtl/>
          <w:lang w:val="fr-CH"/>
        </w:rPr>
        <w:t>تقارير الدول الأطراف التي يحين موعد تقديمها في عام 2015 (في 30 تموز/يوليه 2010)</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6"/>
        <w:gridCol w:w="2843"/>
        <w:gridCol w:w="2843"/>
      </w:tblGrid>
      <w:tr w:rsidR="008240BC" w:rsidTr="007D1A17">
        <w:tc>
          <w:tcPr>
            <w:tcW w:w="1556"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الدولة الطرف</w:t>
            </w:r>
          </w:p>
        </w:tc>
        <w:tc>
          <w:tcPr>
            <w:tcW w:w="2843"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نوع التقرير</w:t>
            </w:r>
          </w:p>
        </w:tc>
        <w:tc>
          <w:tcPr>
            <w:tcW w:w="2843"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موعد تقديمه</w:t>
            </w:r>
          </w:p>
        </w:tc>
      </w:tr>
      <w:tr w:rsidR="008240BC" w:rsidTr="007D1A17">
        <w:tc>
          <w:tcPr>
            <w:tcW w:w="1556"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نيوزيلندا</w:t>
            </w:r>
          </w:p>
        </w:tc>
        <w:tc>
          <w:tcPr>
            <w:tcW w:w="2843"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السادس</w:t>
            </w:r>
          </w:p>
        </w:tc>
        <w:tc>
          <w:tcPr>
            <w:tcW w:w="2843"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آذار/مارس 2015</w:t>
            </w:r>
          </w:p>
        </w:tc>
      </w:tr>
      <w:tr w:rsidR="008240BC" w:rsidTr="007D1A17">
        <w:tc>
          <w:tcPr>
            <w:tcW w:w="1556"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إستونيا</w:t>
            </w:r>
          </w:p>
        </w:tc>
        <w:tc>
          <w:tcPr>
            <w:tcW w:w="2843"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2843"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تموز/يوليه 2015</w:t>
            </w:r>
          </w:p>
        </w:tc>
      </w:tr>
    </w:tbl>
    <w:p w:rsidR="007D1A17" w:rsidRDefault="008240BC" w:rsidP="007D1A17">
      <w:pPr>
        <w:pStyle w:val="SingleTxtGA"/>
        <w:spacing w:before="120" w:after="0"/>
        <w:jc w:val="left"/>
        <w:rPr>
          <w:rFonts w:hint="cs"/>
          <w:rtl/>
          <w:lang w:val="fr-CH"/>
        </w:rPr>
      </w:pPr>
      <w:r w:rsidRPr="00F63CCC">
        <w:rPr>
          <w:rFonts w:hint="cs"/>
          <w:rtl/>
          <w:lang w:val="fr-CH"/>
        </w:rPr>
        <w:t>الجدول 4</w:t>
      </w:r>
    </w:p>
    <w:p w:rsidR="008240BC" w:rsidRPr="007D1A17" w:rsidRDefault="008240BC" w:rsidP="007D1A17">
      <w:pPr>
        <w:pStyle w:val="SingleTxtGA"/>
        <w:rPr>
          <w:rFonts w:hint="cs"/>
          <w:b/>
          <w:bCs/>
          <w:rtl/>
          <w:lang w:val="fr-CH"/>
        </w:rPr>
      </w:pPr>
      <w:r w:rsidRPr="007D1A17">
        <w:rPr>
          <w:rFonts w:hint="cs"/>
          <w:b/>
          <w:bCs/>
          <w:rtl/>
          <w:lang w:val="fr-CH"/>
        </w:rPr>
        <w:t>التقارير الدورية التي تأخر موعد تقديمها ما لا يقل ع</w:t>
      </w:r>
      <w:r w:rsidR="007D1A17">
        <w:rPr>
          <w:rFonts w:hint="cs"/>
          <w:b/>
          <w:bCs/>
          <w:rtl/>
          <w:lang w:val="fr-CH"/>
        </w:rPr>
        <w:t>ـ</w:t>
      </w:r>
      <w:r w:rsidRPr="007D1A17">
        <w:rPr>
          <w:rFonts w:hint="cs"/>
          <w:b/>
          <w:bCs/>
          <w:rtl/>
          <w:lang w:val="fr-CH"/>
        </w:rPr>
        <w:t>ن عشر سن</w:t>
      </w:r>
      <w:r w:rsidR="007D1A17">
        <w:rPr>
          <w:rFonts w:hint="cs"/>
          <w:b/>
          <w:bCs/>
          <w:rtl/>
          <w:lang w:val="fr-CH"/>
        </w:rPr>
        <w:t>ـ</w:t>
      </w:r>
      <w:r w:rsidRPr="007D1A17">
        <w:rPr>
          <w:rFonts w:hint="cs"/>
          <w:b/>
          <w:bCs/>
          <w:rtl/>
          <w:lang w:val="fr-CH"/>
        </w:rPr>
        <w:t>وات (في 30 تموز/</w:t>
      </w:r>
      <w:r w:rsidR="007D1A17">
        <w:rPr>
          <w:rFonts w:hint="cs"/>
          <w:b/>
          <w:bCs/>
          <w:rtl/>
          <w:lang w:val="fr-CH"/>
        </w:rPr>
        <w:t xml:space="preserve"> </w:t>
      </w:r>
      <w:r w:rsidRPr="007D1A17">
        <w:rPr>
          <w:rFonts w:hint="cs"/>
          <w:b/>
          <w:bCs/>
          <w:rtl/>
          <w:lang w:val="fr-CH"/>
        </w:rPr>
        <w:t>يوليه 2010)</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1260"/>
        <w:gridCol w:w="2880"/>
        <w:gridCol w:w="1263"/>
      </w:tblGrid>
      <w:tr w:rsidR="008240BC" w:rsidTr="00B81913">
        <w:trPr>
          <w:tblHeader/>
        </w:trPr>
        <w:tc>
          <w:tcPr>
            <w:tcW w:w="288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الدولة الطرف</w:t>
            </w:r>
          </w:p>
        </w:tc>
        <w:tc>
          <w:tcPr>
            <w:tcW w:w="126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نوع التقرير</w:t>
            </w:r>
          </w:p>
        </w:tc>
        <w:tc>
          <w:tcPr>
            <w:tcW w:w="288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موعد تقديمه</w:t>
            </w:r>
          </w:p>
        </w:tc>
        <w:tc>
          <w:tcPr>
            <w:tcW w:w="1263"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سنوات التأخير</w:t>
            </w:r>
          </w:p>
        </w:tc>
      </w:tr>
      <w:tr w:rsidR="008240BC" w:rsidTr="007D1A17">
        <w:tc>
          <w:tcPr>
            <w:tcW w:w="288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غامبيا</w:t>
            </w:r>
          </w:p>
        </w:tc>
        <w:tc>
          <w:tcPr>
            <w:tcW w:w="126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21 حزيران/يونيه 1985</w:t>
            </w:r>
          </w:p>
        </w:tc>
        <w:tc>
          <w:tcPr>
            <w:tcW w:w="1263"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25</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سانت فنسنت وجزر غرينادين</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تشرين الأول/أكتوبر 1991</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18</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النيجر</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آذار/مارس 1994</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16</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أفغانستان</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23 نيسان/أبريل 1994</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16</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غينيا</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أيلول/سبتمبر 1994</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15</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بوروندي</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 آب/أغسطس 1996</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13</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مالطة</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12 كانون الأول/ديسمبر 1996</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13</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نيبال</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13 آب/أغسطس 1997</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12</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رومانيا</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28 نيسان/أبريل 1999</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11</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نيجيريا</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28 تشرين الأول/أكتوبر 1999</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10</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 xml:space="preserve">بوليفيا (دولة </w:t>
            </w:r>
            <w:r w:rsidR="007D1A17" w:rsidRPr="00B81913">
              <w:rPr>
                <w:rFonts w:ascii="Traditional Arabic" w:hAnsi="Traditional Arabic" w:hint="cs"/>
                <w:sz w:val="26"/>
                <w:szCs w:val="26"/>
                <w:rtl/>
                <w:lang w:val="fr-CH"/>
              </w:rPr>
              <w:t>-</w:t>
            </w:r>
            <w:r w:rsidRPr="00B81913">
              <w:rPr>
                <w:rFonts w:ascii="Traditional Arabic" w:hAnsi="Traditional Arabic" w:hint="cs"/>
                <w:sz w:val="26"/>
                <w:szCs w:val="26"/>
                <w:rtl/>
                <w:lang w:val="fr-CH"/>
              </w:rPr>
              <w:t xml:space="preserve"> المتعددة القوميات)</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كانون الأول/ديسمبر 1999</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10</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لبنان</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كانون الأول/ديسمبر 1999</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10</w:t>
            </w:r>
          </w:p>
        </w:tc>
      </w:tr>
      <w:tr w:rsidR="008240BC" w:rsidTr="007D1A17">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العراق</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8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4 نيسان/أبريل 2000</w:t>
            </w:r>
          </w:p>
        </w:tc>
        <w:tc>
          <w:tcPr>
            <w:tcW w:w="1263"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10</w:t>
            </w:r>
          </w:p>
        </w:tc>
      </w:tr>
      <w:tr w:rsidR="008240BC" w:rsidTr="007D1A17">
        <w:tc>
          <w:tcPr>
            <w:tcW w:w="288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السنغال</w:t>
            </w:r>
          </w:p>
        </w:tc>
        <w:tc>
          <w:tcPr>
            <w:tcW w:w="126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288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4 نيسان/أبريل 2000</w:t>
            </w:r>
          </w:p>
        </w:tc>
        <w:tc>
          <w:tcPr>
            <w:tcW w:w="1263"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10</w:t>
            </w:r>
          </w:p>
        </w:tc>
      </w:tr>
    </w:tbl>
    <w:p w:rsidR="007D1A17" w:rsidRDefault="008240BC" w:rsidP="007D1A17">
      <w:pPr>
        <w:pStyle w:val="SingleTxtGA"/>
        <w:spacing w:after="0"/>
        <w:rPr>
          <w:rFonts w:hint="cs"/>
          <w:rtl/>
          <w:lang w:val="fr-CH"/>
        </w:rPr>
      </w:pPr>
      <w:r w:rsidRPr="00F63CCC">
        <w:rPr>
          <w:rFonts w:hint="cs"/>
          <w:rtl/>
          <w:lang w:val="fr-CH"/>
        </w:rPr>
        <w:t>الجدول 5</w:t>
      </w:r>
    </w:p>
    <w:p w:rsidR="008240BC" w:rsidRPr="007D1A17" w:rsidRDefault="008240BC" w:rsidP="00B81913">
      <w:pPr>
        <w:pStyle w:val="SingleTxtGA"/>
        <w:rPr>
          <w:rFonts w:hint="cs"/>
          <w:b/>
          <w:bCs/>
          <w:rtl/>
          <w:lang w:val="fr-CH"/>
        </w:rPr>
      </w:pPr>
      <w:r w:rsidRPr="007D1A17">
        <w:rPr>
          <w:rFonts w:hint="cs"/>
          <w:b/>
          <w:bCs/>
          <w:rtl/>
          <w:lang w:val="fr-CH"/>
        </w:rPr>
        <w:t>التقارير الدورية التي تأخر موعد تقديمه</w:t>
      </w:r>
      <w:r w:rsidR="00B81913">
        <w:rPr>
          <w:rFonts w:hint="cs"/>
          <w:b/>
          <w:bCs/>
          <w:rtl/>
          <w:lang w:val="fr-CH"/>
        </w:rPr>
        <w:t>ـ</w:t>
      </w:r>
      <w:r w:rsidRPr="007D1A17">
        <w:rPr>
          <w:rFonts w:hint="cs"/>
          <w:b/>
          <w:bCs/>
          <w:rtl/>
          <w:lang w:val="fr-CH"/>
        </w:rPr>
        <w:t>ا ما لا يق</w:t>
      </w:r>
      <w:r w:rsidR="007D1A17">
        <w:rPr>
          <w:rFonts w:hint="cs"/>
          <w:b/>
          <w:bCs/>
          <w:rtl/>
          <w:lang w:val="fr-CH"/>
        </w:rPr>
        <w:t>ـ</w:t>
      </w:r>
      <w:r w:rsidR="00B81913">
        <w:rPr>
          <w:rFonts w:hint="cs"/>
          <w:b/>
          <w:bCs/>
          <w:rtl/>
          <w:lang w:val="fr-CH"/>
        </w:rPr>
        <w:t>ل</w:t>
      </w:r>
      <w:r w:rsidRPr="007D1A17">
        <w:rPr>
          <w:rFonts w:hint="cs"/>
          <w:b/>
          <w:bCs/>
          <w:rtl/>
          <w:lang w:val="fr-CH"/>
        </w:rPr>
        <w:t xml:space="preserve"> عن خمس سن</w:t>
      </w:r>
      <w:r w:rsidR="007D1A17">
        <w:rPr>
          <w:rFonts w:hint="cs"/>
          <w:b/>
          <w:bCs/>
          <w:rtl/>
          <w:lang w:val="fr-CH"/>
        </w:rPr>
        <w:t>ـ</w:t>
      </w:r>
      <w:r w:rsidRPr="007D1A17">
        <w:rPr>
          <w:rFonts w:hint="cs"/>
          <w:b/>
          <w:bCs/>
          <w:rtl/>
          <w:lang w:val="fr-CH"/>
        </w:rPr>
        <w:t>وات (في 30 تموز/يوليه 2010)</w:t>
      </w: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1260"/>
        <w:gridCol w:w="3060"/>
        <w:gridCol w:w="1260"/>
      </w:tblGrid>
      <w:tr w:rsidR="008240BC" w:rsidRPr="00B81913" w:rsidTr="00B81913">
        <w:tc>
          <w:tcPr>
            <w:tcW w:w="270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الدولة الطرف</w:t>
            </w:r>
          </w:p>
        </w:tc>
        <w:tc>
          <w:tcPr>
            <w:tcW w:w="126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نوع التقرير</w:t>
            </w:r>
          </w:p>
        </w:tc>
        <w:tc>
          <w:tcPr>
            <w:tcW w:w="306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موعد تقديمه</w:t>
            </w:r>
          </w:p>
        </w:tc>
        <w:tc>
          <w:tcPr>
            <w:tcW w:w="1260" w:type="dxa"/>
            <w:tcBorders>
              <w:top w:val="single" w:sz="4" w:space="0" w:color="auto"/>
              <w:bottom w:val="single" w:sz="12" w:space="0" w:color="auto"/>
            </w:tcBorders>
          </w:tcPr>
          <w:p w:rsidR="008240BC" w:rsidRPr="00B81913" w:rsidRDefault="008240BC" w:rsidP="005339FC">
            <w:pPr>
              <w:rPr>
                <w:rFonts w:ascii="Traditional Arabic" w:hAnsi="Traditional Arabic" w:hint="cs"/>
                <w:i/>
                <w:iCs/>
                <w:sz w:val="26"/>
                <w:szCs w:val="26"/>
                <w:rtl/>
                <w:lang w:val="fr-CH"/>
              </w:rPr>
            </w:pPr>
            <w:r w:rsidRPr="00B81913">
              <w:rPr>
                <w:rFonts w:ascii="Traditional Arabic" w:hAnsi="Traditional Arabic" w:hint="cs"/>
                <w:i/>
                <w:iCs/>
                <w:sz w:val="26"/>
                <w:szCs w:val="26"/>
                <w:rtl/>
                <w:lang w:val="fr-CH"/>
              </w:rPr>
              <w:t>سنوات التأخير</w:t>
            </w:r>
          </w:p>
        </w:tc>
      </w:tr>
      <w:tr w:rsidR="008240BC" w:rsidRPr="00B81913" w:rsidTr="00B81913">
        <w:tc>
          <w:tcPr>
            <w:tcW w:w="270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بيلاروس</w:t>
            </w:r>
          </w:p>
        </w:tc>
        <w:tc>
          <w:tcPr>
            <w:tcW w:w="126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306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7 تشرين الثاني/نوفمبر 2001</w:t>
            </w:r>
          </w:p>
        </w:tc>
        <w:tc>
          <w:tcPr>
            <w:tcW w:w="1260" w:type="dxa"/>
            <w:tcBorders>
              <w:top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الهند</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كانون الأول/ديسمبر 2001</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ليسوتو</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30 نيسان/أبريل 2002</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قبرص</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حزيران/يونيه 2002</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زمبابوي</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1حزيران/يونيه 2002</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كمبوديا</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تموز/يوليه 2002</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8</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أوروغواي</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21 آذار/مارس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7</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غيانا</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آذار/مارس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7</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الكونغو</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21 آذار/مارس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7</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غابون</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تشرين الأول/أكتوبر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6</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ترينيداد وتوباغو</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تشرين الأول/أكتوبر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6</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بيرو</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الخامس</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تشرين الأول/أكتوبر 2003</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6</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جمهورية كوريا الشعبية الديمقراطية</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كانون الثاني/يناير 2004</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6</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قيرغيزستان</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الثاني</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31 تموز/يوليه 2004</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6</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فييت نام</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آب/أغسطس 2004</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5</w:t>
            </w:r>
          </w:p>
        </w:tc>
      </w:tr>
      <w:tr w:rsidR="008240BC" w:rsidRPr="00B81913" w:rsidTr="00B81913">
        <w:tc>
          <w:tcPr>
            <w:tcW w:w="270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مصر</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تشرين الثاني/نوفمبر 2005</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5</w:t>
            </w:r>
          </w:p>
        </w:tc>
      </w:tr>
      <w:tr w:rsidR="008240BC" w:rsidRPr="00B81913" w:rsidTr="00CA1E6F">
        <w:tc>
          <w:tcPr>
            <w:tcW w:w="2700" w:type="dxa"/>
          </w:tcPr>
          <w:p w:rsidR="008240BC" w:rsidRPr="002D4833" w:rsidRDefault="008240BC" w:rsidP="005339FC">
            <w:pPr>
              <w:rPr>
                <w:sz w:val="26"/>
                <w:szCs w:val="26"/>
              </w:rPr>
            </w:pPr>
            <w:r w:rsidRPr="00B81913">
              <w:rPr>
                <w:rFonts w:ascii="Traditional Arabic" w:hAnsi="Traditional Arabic" w:hint="cs"/>
                <w:sz w:val="26"/>
                <w:szCs w:val="26"/>
                <w:rtl/>
                <w:lang w:val="fr-CH"/>
              </w:rPr>
              <w:t xml:space="preserve">فنزويلا (جمهورية </w:t>
            </w:r>
            <w:r w:rsidR="00CC37A4">
              <w:rPr>
                <w:rFonts w:ascii="Traditional Arabic" w:hAnsi="Traditional Arabic"/>
                <w:sz w:val="26"/>
                <w:szCs w:val="26"/>
                <w:rtl/>
                <w:lang w:val="fr-CH"/>
              </w:rPr>
              <w:t>–</w:t>
            </w:r>
            <w:r w:rsidRPr="00B81913">
              <w:rPr>
                <w:rFonts w:ascii="Traditional Arabic" w:hAnsi="Traditional Arabic" w:hint="cs"/>
                <w:sz w:val="26"/>
                <w:szCs w:val="26"/>
                <w:rtl/>
                <w:lang w:val="fr-CH"/>
              </w:rPr>
              <w:t xml:space="preserve"> البوليفارية</w:t>
            </w:r>
            <w:r w:rsidR="00CC37A4">
              <w:rPr>
                <w:rFonts w:ascii="Traditional Arabic" w:hAnsi="Traditional Arabic" w:hint="cs"/>
                <w:sz w:val="26"/>
                <w:szCs w:val="26"/>
                <w:rtl/>
                <w:lang w:val="fr-CH"/>
              </w:rPr>
              <w:t>)</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الرابع</w:t>
            </w:r>
          </w:p>
        </w:tc>
        <w:tc>
          <w:tcPr>
            <w:tcW w:w="30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نيسان/أبريل 2005</w:t>
            </w:r>
          </w:p>
        </w:tc>
        <w:tc>
          <w:tcPr>
            <w:tcW w:w="1260" w:type="dxa"/>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5</w:t>
            </w:r>
          </w:p>
        </w:tc>
      </w:tr>
      <w:tr w:rsidR="008240BC" w:rsidRPr="00B81913" w:rsidTr="00CA1E6F">
        <w:tc>
          <w:tcPr>
            <w:tcW w:w="270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مالي</w:t>
            </w:r>
          </w:p>
        </w:tc>
        <w:tc>
          <w:tcPr>
            <w:tcW w:w="126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الثالث</w:t>
            </w:r>
          </w:p>
        </w:tc>
        <w:tc>
          <w:tcPr>
            <w:tcW w:w="306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1 نيسان/أبريل 2005</w:t>
            </w:r>
          </w:p>
        </w:tc>
        <w:tc>
          <w:tcPr>
            <w:tcW w:w="1260" w:type="dxa"/>
            <w:tcBorders>
              <w:bottom w:val="single" w:sz="12" w:space="0" w:color="auto"/>
            </w:tcBorders>
          </w:tcPr>
          <w:p w:rsidR="008240BC" w:rsidRPr="00B81913" w:rsidRDefault="008240BC" w:rsidP="005339FC">
            <w:pPr>
              <w:rPr>
                <w:rFonts w:ascii="Traditional Arabic" w:hAnsi="Traditional Arabic" w:hint="cs"/>
                <w:sz w:val="26"/>
                <w:szCs w:val="26"/>
                <w:rtl/>
                <w:lang w:val="fr-CH"/>
              </w:rPr>
            </w:pPr>
            <w:r w:rsidRPr="00B81913">
              <w:rPr>
                <w:rFonts w:ascii="Traditional Arabic" w:hAnsi="Traditional Arabic" w:hint="cs"/>
                <w:sz w:val="26"/>
                <w:szCs w:val="26"/>
                <w:rtl/>
                <w:lang w:val="fr-CH"/>
              </w:rPr>
              <w:t>5</w:t>
            </w:r>
          </w:p>
        </w:tc>
      </w:tr>
    </w:tbl>
    <w:p w:rsidR="008B4BC6" w:rsidRPr="00B81913" w:rsidRDefault="00B81913" w:rsidP="00B81913">
      <w:pPr>
        <w:spacing w:before="120"/>
        <w:jc w:val="center"/>
        <w:rPr>
          <w:rFonts w:hint="cs"/>
          <w:u w:val="single"/>
          <w:rtl/>
        </w:rPr>
      </w:pPr>
      <w:r>
        <w:rPr>
          <w:u w:val="single"/>
          <w:rtl/>
        </w:rPr>
        <w:tab/>
      </w:r>
      <w:r>
        <w:rPr>
          <w:u w:val="single"/>
          <w:rtl/>
        </w:rPr>
        <w:tab/>
      </w:r>
      <w:r>
        <w:rPr>
          <w:u w:val="single"/>
          <w:rtl/>
        </w:rPr>
        <w:tab/>
      </w:r>
    </w:p>
    <w:sectPr w:rsidR="008B4BC6" w:rsidRPr="00B8191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96" w:rsidRPr="00FE6865" w:rsidRDefault="00572C96" w:rsidP="00FE6865">
      <w:pPr>
        <w:pStyle w:val="Footer"/>
      </w:pPr>
    </w:p>
  </w:endnote>
  <w:endnote w:type="continuationSeparator" w:id="0">
    <w:p w:rsidR="00572C96" w:rsidRDefault="0057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BC" w:rsidRPr="008240BC" w:rsidRDefault="008240BC" w:rsidP="008240BC">
    <w:pPr>
      <w:pStyle w:val="Footer"/>
      <w:tabs>
        <w:tab w:val="right" w:pos="9598"/>
      </w:tabs>
    </w:pPr>
    <w:r>
      <w:t>GE</w:t>
    </w:r>
    <w:r>
      <w:rPr>
        <w:rtl/>
      </w:rPr>
      <w:t>.</w:t>
    </w:r>
    <w:r>
      <w:t>10</w:t>
    </w:r>
    <w:r>
      <w:rPr>
        <w:rtl/>
      </w:rPr>
      <w:t>-</w:t>
    </w:r>
    <w:r>
      <w:t>46419</w:t>
    </w:r>
    <w:r>
      <w:rPr>
        <w:rtl/>
      </w:rPr>
      <w:tab/>
    </w:r>
    <w:r w:rsidRPr="008240BC">
      <w:rPr>
        <w:b/>
        <w:sz w:val="18"/>
      </w:rPr>
      <w:fldChar w:fldCharType="begin"/>
    </w:r>
    <w:r w:rsidRPr="008240BC">
      <w:rPr>
        <w:b/>
        <w:sz w:val="18"/>
        <w:rtl/>
      </w:rPr>
      <w:instrText xml:space="preserve"> </w:instrText>
    </w:r>
    <w:r w:rsidRPr="008240BC">
      <w:rPr>
        <w:b/>
        <w:sz w:val="18"/>
      </w:rPr>
      <w:instrText>PAGE</w:instrText>
    </w:r>
    <w:r w:rsidRPr="008240BC">
      <w:rPr>
        <w:b/>
        <w:sz w:val="18"/>
        <w:rtl/>
      </w:rPr>
      <w:instrText xml:space="preserve">  \* </w:instrText>
    </w:r>
    <w:r w:rsidRPr="008240BC">
      <w:rPr>
        <w:b/>
        <w:sz w:val="18"/>
      </w:rPr>
      <w:instrText>MERGEFORMAT</w:instrText>
    </w:r>
    <w:r w:rsidRPr="008240BC">
      <w:rPr>
        <w:b/>
        <w:sz w:val="18"/>
        <w:rtl/>
      </w:rPr>
      <w:instrText xml:space="preserve"> </w:instrText>
    </w:r>
    <w:r w:rsidRPr="008240BC">
      <w:rPr>
        <w:b/>
        <w:sz w:val="18"/>
      </w:rPr>
      <w:fldChar w:fldCharType="separate"/>
    </w:r>
    <w:r w:rsidR="00CC37A4">
      <w:rPr>
        <w:b/>
        <w:noProof/>
        <w:sz w:val="18"/>
      </w:rPr>
      <w:t>8</w:t>
    </w:r>
    <w:r w:rsidRPr="008240B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BC" w:rsidRPr="008240BC" w:rsidRDefault="008240BC" w:rsidP="008240BC">
    <w:pPr>
      <w:pStyle w:val="Footer"/>
      <w:tabs>
        <w:tab w:val="right" w:pos="9598"/>
      </w:tabs>
      <w:rPr>
        <w:b/>
        <w:sz w:val="18"/>
      </w:rPr>
    </w:pPr>
    <w:r w:rsidRPr="008240BC">
      <w:rPr>
        <w:b/>
        <w:sz w:val="18"/>
        <w:rtl/>
      </w:rPr>
      <w:fldChar w:fldCharType="begin"/>
    </w:r>
    <w:r w:rsidRPr="008240BC">
      <w:rPr>
        <w:b/>
        <w:sz w:val="18"/>
        <w:rtl/>
      </w:rPr>
      <w:instrText xml:space="preserve"> </w:instrText>
    </w:r>
    <w:r w:rsidRPr="008240BC">
      <w:rPr>
        <w:b/>
        <w:sz w:val="18"/>
      </w:rPr>
      <w:instrText>PAGE</w:instrText>
    </w:r>
    <w:r w:rsidRPr="008240BC">
      <w:rPr>
        <w:b/>
        <w:sz w:val="18"/>
        <w:rtl/>
      </w:rPr>
      <w:instrText xml:space="preserve">  \* </w:instrText>
    </w:r>
    <w:r w:rsidRPr="008240BC">
      <w:rPr>
        <w:b/>
        <w:sz w:val="18"/>
      </w:rPr>
      <w:instrText>MERGEFORMAT</w:instrText>
    </w:r>
    <w:r w:rsidRPr="008240BC">
      <w:rPr>
        <w:b/>
        <w:sz w:val="18"/>
        <w:rtl/>
      </w:rPr>
      <w:instrText xml:space="preserve"> </w:instrText>
    </w:r>
    <w:r w:rsidRPr="008240BC">
      <w:rPr>
        <w:b/>
        <w:sz w:val="18"/>
        <w:rtl/>
      </w:rPr>
      <w:fldChar w:fldCharType="separate"/>
    </w:r>
    <w:r w:rsidR="00CC37A4">
      <w:rPr>
        <w:b/>
        <w:noProof/>
        <w:sz w:val="18"/>
      </w:rPr>
      <w:t>9</w:t>
    </w:r>
    <w:r w:rsidRPr="008240BC">
      <w:rPr>
        <w:b/>
        <w:sz w:val="18"/>
        <w:rtl/>
      </w:rPr>
      <w:fldChar w:fldCharType="end"/>
    </w:r>
    <w:r>
      <w:rPr>
        <w:b/>
        <w:sz w:val="18"/>
        <w:rtl/>
      </w:rPr>
      <w:tab/>
    </w:r>
    <w:r>
      <w:t>GE</w:t>
    </w:r>
    <w:r>
      <w:rPr>
        <w:rtl/>
      </w:rPr>
      <w:t>.</w:t>
    </w:r>
    <w:r>
      <w:t>10</w:t>
    </w:r>
    <w:r>
      <w:rPr>
        <w:rtl/>
      </w:rPr>
      <w:t>-</w:t>
    </w:r>
    <w:r>
      <w:t>46419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78" w:rsidRDefault="002B50C6" w:rsidP="008240BC">
    <w:pPr>
      <w:pStyle w:val="Footer"/>
      <w:jc w:val="right"/>
    </w:pPr>
    <w:r>
      <w:rPr>
        <w:sz w:val="20"/>
        <w:szCs w:val="20"/>
      </w:rPr>
      <w:t>(</w:t>
    </w:r>
    <w:r w:rsidR="008240BC">
      <w:rPr>
        <w:sz w:val="20"/>
      </w:rPr>
      <w:t>A)   GE</w:t>
    </w:r>
    <w:r w:rsidR="008240BC">
      <w:rPr>
        <w:sz w:val="20"/>
        <w:rtl/>
      </w:rPr>
      <w:t>.</w:t>
    </w:r>
    <w:r w:rsidR="008240BC">
      <w:rPr>
        <w:sz w:val="20"/>
      </w:rPr>
      <w:t>10</w:t>
    </w:r>
    <w:r w:rsidR="008240BC">
      <w:rPr>
        <w:sz w:val="20"/>
        <w:rtl/>
      </w:rPr>
      <w:t>-</w:t>
    </w:r>
    <w:r w:rsidR="008240BC">
      <w:rPr>
        <w:sz w:val="20"/>
      </w:rPr>
      <w:t>46419</w:t>
    </w:r>
    <w:r w:rsidR="007B5B7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221210    231210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96" w:rsidRDefault="00572C96" w:rsidP="007E4686">
      <w:pPr>
        <w:pStyle w:val="Footer"/>
        <w:bidi/>
        <w:spacing w:after="80" w:line="200" w:lineRule="exact"/>
        <w:ind w:left="680"/>
      </w:pPr>
      <w:r>
        <w:rPr>
          <w:rFonts w:hint="cs"/>
          <w:rtl/>
        </w:rPr>
        <w:t>__________</w:t>
      </w:r>
    </w:p>
  </w:footnote>
  <w:footnote w:type="continuationSeparator" w:id="0">
    <w:p w:rsidR="00572C96" w:rsidRDefault="00572C96" w:rsidP="007E4686">
      <w:pPr>
        <w:pStyle w:val="Footer"/>
        <w:bidi/>
        <w:spacing w:after="80" w:line="200" w:lineRule="exact"/>
        <w:ind w:left="680"/>
      </w:pPr>
      <w:r>
        <w:rPr>
          <w:rFonts w:hint="cs"/>
          <w:rtl/>
        </w:rPr>
        <w:t>__________</w:t>
      </w:r>
    </w:p>
  </w:footnote>
  <w:footnote w:id="1">
    <w:p w:rsidR="008240BC" w:rsidRDefault="008240BC" w:rsidP="008240BC">
      <w:pPr>
        <w:pStyle w:val="FootnoteText"/>
        <w:numPr>
          <w:ilvl w:val="0"/>
          <w:numId w:val="45"/>
        </w:numPr>
        <w:tabs>
          <w:tab w:val="clear" w:pos="1292"/>
        </w:tabs>
        <w:spacing w:after="60" w:line="300" w:lineRule="exact"/>
        <w:ind w:left="1247" w:right="1247"/>
        <w:rPr>
          <w:rFonts w:hint="cs"/>
        </w:rPr>
      </w:pPr>
      <w:r w:rsidRPr="008240BC">
        <w:rPr>
          <w:rFonts w:hint="cs"/>
          <w:sz w:val="26"/>
          <w:szCs w:val="26"/>
          <w:rtl/>
        </w:rPr>
        <w:t>تتاح للمؤسسات الوطنية لحقوق الإنسان وللمنظمات غير الحكومية إمكانية تقديم معلومات محدثة إلى اللجنة عند النظر في التقرير المركّز.</w:t>
      </w:r>
    </w:p>
  </w:footnote>
  <w:footnote w:id="2">
    <w:p w:rsidR="008240BC" w:rsidRPr="008240BC" w:rsidRDefault="008240BC" w:rsidP="00B81913">
      <w:pPr>
        <w:pStyle w:val="FootnoteText"/>
        <w:numPr>
          <w:ilvl w:val="0"/>
          <w:numId w:val="45"/>
        </w:numPr>
        <w:tabs>
          <w:tab w:val="clear" w:pos="1292"/>
          <w:tab w:val="left" w:pos="1178"/>
        </w:tabs>
        <w:spacing w:after="60" w:line="300" w:lineRule="exact"/>
        <w:ind w:left="1134" w:right="1247"/>
        <w:rPr>
          <w:rFonts w:hint="cs"/>
          <w:sz w:val="26"/>
          <w:szCs w:val="26"/>
          <w:rtl/>
        </w:rPr>
      </w:pPr>
      <w:r w:rsidRPr="008240BC">
        <w:rPr>
          <w:rFonts w:hint="cs"/>
          <w:sz w:val="26"/>
          <w:szCs w:val="26"/>
          <w:rtl/>
        </w:rPr>
        <w:t>دون المساس بأي فرصة أخرى متاحة للمنظمات غير الحكومية والمؤسسات الوطنية لحقوق الإنسان لموافاة اللجنة بمعلومات إضافية والتفاعل معها.</w:t>
      </w:r>
    </w:p>
  </w:footnote>
  <w:footnote w:id="3">
    <w:p w:rsidR="008240BC" w:rsidRPr="008240BC" w:rsidRDefault="008240BC" w:rsidP="00B81913">
      <w:pPr>
        <w:pStyle w:val="FootnoteText"/>
        <w:numPr>
          <w:ilvl w:val="0"/>
          <w:numId w:val="45"/>
        </w:numPr>
        <w:tabs>
          <w:tab w:val="clear" w:pos="1292"/>
          <w:tab w:val="left" w:pos="1178"/>
        </w:tabs>
        <w:spacing w:after="60" w:line="300" w:lineRule="exact"/>
        <w:ind w:left="1134" w:right="1247"/>
        <w:rPr>
          <w:rFonts w:hint="cs"/>
          <w:sz w:val="26"/>
          <w:szCs w:val="26"/>
        </w:rPr>
      </w:pPr>
      <w:r w:rsidRPr="008240BC">
        <w:rPr>
          <w:rFonts w:hint="cs"/>
          <w:sz w:val="26"/>
          <w:szCs w:val="26"/>
          <w:rtl/>
        </w:rPr>
        <w:t>يمكن استكمال هذه القائمة بعد النظر في التقارير في دورة تشرين الأول/أكتوبر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BC" w:rsidRPr="008240BC" w:rsidRDefault="008240BC" w:rsidP="008240BC">
    <w:pPr>
      <w:pStyle w:val="Header"/>
      <w:jc w:val="right"/>
    </w:pPr>
    <w:r w:rsidRPr="008240BC">
      <w:t>CCPR/C/99/4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78" w:rsidRPr="008240BC" w:rsidRDefault="008240BC" w:rsidP="008240BC">
    <w:pPr>
      <w:pStyle w:val="Header"/>
      <w:jc w:val="left"/>
    </w:pPr>
    <w:r w:rsidRPr="008240BC">
      <w:t>CCPR/C/99/4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78" w:rsidRDefault="007B5B7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7B5B78" w:rsidRPr="008F6743" w:rsidRDefault="007B5B7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E36FAA"/>
    <w:multiLevelType w:val="hybridMultilevel"/>
    <w:tmpl w:val="51DA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2955671"/>
    <w:multiLevelType w:val="hybridMultilevel"/>
    <w:tmpl w:val="F62EE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67B750B"/>
    <w:multiLevelType w:val="hybridMultilevel"/>
    <w:tmpl w:val="D0C81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02B0FE9"/>
    <w:multiLevelType w:val="hybridMultilevel"/>
    <w:tmpl w:val="7ABE55B2"/>
    <w:lvl w:ilvl="0" w:tplc="071ABF96">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2E52C8"/>
    <w:multiLevelType w:val="hybridMultilevel"/>
    <w:tmpl w:val="3F368070"/>
    <w:lvl w:ilvl="0" w:tplc="17BE260E">
      <w:start w:val="2"/>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5E7A85"/>
    <w:multiLevelType w:val="hybridMultilevel"/>
    <w:tmpl w:val="1714C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17"/>
  </w:num>
  <w:num w:numId="4">
    <w:abstractNumId w:val="15"/>
  </w:num>
  <w:num w:numId="5">
    <w:abstractNumId w:val="10"/>
  </w:num>
  <w:num w:numId="6">
    <w:abstractNumId w:val="25"/>
  </w:num>
  <w:num w:numId="7">
    <w:abstractNumId w:val="13"/>
  </w:num>
  <w:num w:numId="8">
    <w:abstractNumId w:val="12"/>
  </w:num>
  <w:num w:numId="9">
    <w:abstractNumId w:val="16"/>
  </w:num>
  <w:num w:numId="10">
    <w:abstractNumId w:val="24"/>
  </w:num>
  <w:num w:numId="11">
    <w:abstractNumId w:val="1"/>
  </w:num>
  <w:num w:numId="12">
    <w:abstractNumId w:val="17"/>
  </w:num>
  <w:num w:numId="13">
    <w:abstractNumId w:val="15"/>
  </w:num>
  <w:num w:numId="14">
    <w:abstractNumId w:val="10"/>
  </w:num>
  <w:num w:numId="15">
    <w:abstractNumId w:val="25"/>
  </w:num>
  <w:num w:numId="16">
    <w:abstractNumId w:val="1"/>
  </w:num>
  <w:num w:numId="17">
    <w:abstractNumId w:val="17"/>
  </w:num>
  <w:num w:numId="18">
    <w:abstractNumId w:val="15"/>
  </w:num>
  <w:num w:numId="19">
    <w:abstractNumId w:val="10"/>
  </w:num>
  <w:num w:numId="20">
    <w:abstractNumId w:val="25"/>
  </w:num>
  <w:num w:numId="21">
    <w:abstractNumId w:val="1"/>
  </w:num>
  <w:num w:numId="22">
    <w:abstractNumId w:val="17"/>
  </w:num>
  <w:num w:numId="23">
    <w:abstractNumId w:val="10"/>
  </w:num>
  <w:num w:numId="24">
    <w:abstractNumId w:val="25"/>
  </w:num>
  <w:num w:numId="25">
    <w:abstractNumId w:val="17"/>
  </w:num>
  <w:num w:numId="26">
    <w:abstractNumId w:val="1"/>
  </w:num>
  <w:num w:numId="27">
    <w:abstractNumId w:val="3"/>
  </w:num>
  <w:num w:numId="28">
    <w:abstractNumId w:val="2"/>
  </w:num>
  <w:num w:numId="29">
    <w:abstractNumId w:val="20"/>
  </w:num>
  <w:num w:numId="30">
    <w:abstractNumId w:val="5"/>
  </w:num>
  <w:num w:numId="31">
    <w:abstractNumId w:val="9"/>
  </w:num>
  <w:num w:numId="32">
    <w:abstractNumId w:val="18"/>
  </w:num>
  <w:num w:numId="33">
    <w:abstractNumId w:val="22"/>
  </w:num>
  <w:num w:numId="34">
    <w:abstractNumId w:val="27"/>
  </w:num>
  <w:num w:numId="35">
    <w:abstractNumId w:val="6"/>
  </w:num>
  <w:num w:numId="36">
    <w:abstractNumId w:val="21"/>
  </w:num>
  <w:num w:numId="37">
    <w:abstractNumId w:val="23"/>
  </w:num>
  <w:num w:numId="38">
    <w:abstractNumId w:val="0"/>
  </w:num>
  <w:num w:numId="39">
    <w:abstractNumId w:val="7"/>
  </w:num>
  <w:num w:numId="40">
    <w:abstractNumId w:val="11"/>
  </w:num>
  <w:num w:numId="41">
    <w:abstractNumId w:val="8"/>
  </w:num>
  <w:num w:numId="42">
    <w:abstractNumId w:val="26"/>
  </w:num>
  <w:num w:numId="43">
    <w:abstractNumId w:val="19"/>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B7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3FFE"/>
    <w:rsid w:val="001C6D53"/>
    <w:rsid w:val="00232277"/>
    <w:rsid w:val="0023736D"/>
    <w:rsid w:val="00257225"/>
    <w:rsid w:val="002B50C6"/>
    <w:rsid w:val="002D4833"/>
    <w:rsid w:val="00310160"/>
    <w:rsid w:val="00341A8C"/>
    <w:rsid w:val="003519E6"/>
    <w:rsid w:val="00355F81"/>
    <w:rsid w:val="003B4356"/>
    <w:rsid w:val="003F08A8"/>
    <w:rsid w:val="004250E3"/>
    <w:rsid w:val="00472A81"/>
    <w:rsid w:val="004A20A6"/>
    <w:rsid w:val="004B2C92"/>
    <w:rsid w:val="004D6A3A"/>
    <w:rsid w:val="004D7E5A"/>
    <w:rsid w:val="004F4AD7"/>
    <w:rsid w:val="005339FC"/>
    <w:rsid w:val="00557CD3"/>
    <w:rsid w:val="00571432"/>
    <w:rsid w:val="00572C96"/>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B5B78"/>
    <w:rsid w:val="007D1A17"/>
    <w:rsid w:val="007E197F"/>
    <w:rsid w:val="007E2786"/>
    <w:rsid w:val="007E4686"/>
    <w:rsid w:val="007F68C4"/>
    <w:rsid w:val="008153DE"/>
    <w:rsid w:val="008240BC"/>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72804"/>
    <w:rsid w:val="00AD0014"/>
    <w:rsid w:val="00AD4CF2"/>
    <w:rsid w:val="00AF0BBA"/>
    <w:rsid w:val="00B25159"/>
    <w:rsid w:val="00B30468"/>
    <w:rsid w:val="00B44E31"/>
    <w:rsid w:val="00B81913"/>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1E6F"/>
    <w:rsid w:val="00CA5F7C"/>
    <w:rsid w:val="00CC37A4"/>
    <w:rsid w:val="00CF25BD"/>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3799E"/>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2059</Words>
  <Characters>11741</Characters>
  <Application>Microsoft Office Word</Application>
  <DocSecurity>4</DocSecurity>
  <Lines>97</Lines>
  <Paragraphs>27</Paragraphs>
  <ScaleCrop>false</ScaleCrop>
  <HeadingPairs>
    <vt:vector size="2" baseType="variant">
      <vt:variant>
        <vt:lpstr>العنوان</vt:lpstr>
      </vt:variant>
      <vt:variant>
        <vt:i4>1</vt:i4>
      </vt:variant>
    </vt:vector>
  </HeadingPairs>
  <TitlesOfParts>
    <vt:vector size="1" baseType="lpstr">
      <vt:lpstr>CCPR/C/99/4</vt:lpstr>
    </vt:vector>
  </TitlesOfParts>
  <Company>CSD</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CCPR/C/99/4</dc:title>
  <dc:subject/>
  <dc:creator>Assi</dc:creator>
  <cp:keywords/>
  <dc:description>غادة</dc:description>
  <cp:lastModifiedBy>Assi</cp:lastModifiedBy>
  <cp:revision>2</cp:revision>
  <cp:lastPrinted>2010-12-23T14:13:00Z</cp:lastPrinted>
  <dcterms:created xsi:type="dcterms:W3CDTF">2010-12-23T14:13:00Z</dcterms:created>
  <dcterms:modified xsi:type="dcterms:W3CDTF">2010-12-23T14:13:00Z</dcterms:modified>
</cp:coreProperties>
</file>