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886D97">
              <w:rPr>
                <w:sz w:val="20"/>
                <w:lang w:val="en-US"/>
              </w:rPr>
              <w:t>C/LIE/CO/3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886D97">
              <w:rPr>
                <w:sz w:val="20"/>
                <w:lang w:val="en-US"/>
              </w:rPr>
              <w:fldChar w:fldCharType="separate"/>
            </w:r>
            <w:r w:rsidR="00886D97">
              <w:rPr>
                <w:sz w:val="20"/>
                <w:lang w:val="en-US"/>
              </w:rPr>
              <w:t>25 May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886D97" w:rsidRDefault="00886D97" w:rsidP="00493599">
      <w:pPr>
        <w:pStyle w:val="SingleTxtGR"/>
        <w:spacing w:before="120" w:after="0"/>
        <w:ind w:left="11"/>
        <w:jc w:val="left"/>
      </w:pPr>
      <w:r w:rsidRPr="00493599">
        <w:rPr>
          <w:b/>
          <w:sz w:val="24"/>
          <w:szCs w:val="24"/>
        </w:rPr>
        <w:t>Ко</w:t>
      </w:r>
      <w:r w:rsidR="00493599" w:rsidRPr="00493599">
        <w:rPr>
          <w:b/>
          <w:sz w:val="24"/>
          <w:szCs w:val="24"/>
        </w:rPr>
        <w:t xml:space="preserve">митет </w:t>
      </w:r>
      <w:r w:rsidRPr="00493599">
        <w:rPr>
          <w:b/>
          <w:sz w:val="24"/>
          <w:szCs w:val="24"/>
        </w:rPr>
        <w:t>против пыток</w:t>
      </w:r>
      <w:r>
        <w:rPr>
          <w:b/>
        </w:rPr>
        <w:br/>
        <w:t>Сорок четвертая сессия</w:t>
      </w:r>
      <w:r>
        <w:rPr>
          <w:b/>
        </w:rPr>
        <w:br/>
      </w:r>
      <w:r>
        <w:t>26 апреля − 14 мая 2010 года</w:t>
      </w:r>
    </w:p>
    <w:p w:rsidR="00886D97" w:rsidRDefault="00A224DF" w:rsidP="00A224DF">
      <w:pPr>
        <w:pStyle w:val="HChGR"/>
      </w:pPr>
      <w:r>
        <w:tab/>
      </w:r>
      <w:r>
        <w:tab/>
      </w:r>
      <w:r w:rsidR="00886D97">
        <w:t>Рассмотрение доклад</w:t>
      </w:r>
      <w:r w:rsidR="00586586">
        <w:t>ов</w:t>
      </w:r>
      <w:r w:rsidR="00886D97">
        <w:t>, представляемых государствами-участниками в соответствии со статьей 19 Конвенции</w:t>
      </w:r>
    </w:p>
    <w:p w:rsidR="00886D97" w:rsidRDefault="00A224DF" w:rsidP="00A224DF">
      <w:pPr>
        <w:pStyle w:val="H1GR"/>
      </w:pPr>
      <w:r>
        <w:tab/>
      </w:r>
      <w:r>
        <w:tab/>
      </w:r>
      <w:r w:rsidR="00886D97">
        <w:t xml:space="preserve">Заключительные замечания Комитета против пыток </w:t>
      </w:r>
    </w:p>
    <w:p w:rsidR="00886D97" w:rsidRDefault="00A224DF" w:rsidP="00A224DF">
      <w:pPr>
        <w:pStyle w:val="HChGR"/>
      </w:pPr>
      <w:r>
        <w:tab/>
      </w:r>
      <w:r>
        <w:tab/>
      </w:r>
      <w:r w:rsidR="00886D97">
        <w:t>Лихтенштейн</w:t>
      </w:r>
    </w:p>
    <w:p w:rsidR="00886D97" w:rsidRDefault="00886D97" w:rsidP="00493599">
      <w:pPr>
        <w:pStyle w:val="SingleTxtGR"/>
      </w:pPr>
      <w:r>
        <w:t>1.</w:t>
      </w:r>
      <w:r>
        <w:tab/>
        <w:t>Комитет против пыток рассмотрел третий периодический доклад Ли</w:t>
      </w:r>
      <w:r>
        <w:t>х</w:t>
      </w:r>
      <w:r>
        <w:t>тенштейна (</w:t>
      </w:r>
      <w:r>
        <w:rPr>
          <w:lang w:val="en-US"/>
        </w:rPr>
        <w:t>CAT</w:t>
      </w:r>
      <w:r w:rsidRPr="00AF7D2E">
        <w:t>/</w:t>
      </w:r>
      <w:r>
        <w:rPr>
          <w:lang w:val="en-US"/>
        </w:rPr>
        <w:t>C</w:t>
      </w:r>
      <w:r w:rsidRPr="00AF7D2E">
        <w:t>/</w:t>
      </w:r>
      <w:r>
        <w:rPr>
          <w:lang w:val="en-US"/>
        </w:rPr>
        <w:t>LIE</w:t>
      </w:r>
      <w:r w:rsidRPr="00B13EE2">
        <w:t xml:space="preserve">/3) на своих </w:t>
      </w:r>
      <w:r w:rsidRPr="00AF7D2E">
        <w:t>938</w:t>
      </w:r>
      <w:r>
        <w:t>-м</w:t>
      </w:r>
      <w:r w:rsidRPr="00AF7D2E">
        <w:t xml:space="preserve"> </w:t>
      </w:r>
      <w:r>
        <w:t xml:space="preserve">и </w:t>
      </w:r>
      <w:r w:rsidRPr="00AF7D2E">
        <w:t>941</w:t>
      </w:r>
      <w:r>
        <w:t>-м заседаниях (</w:t>
      </w:r>
      <w:r>
        <w:rPr>
          <w:lang w:val="en-US"/>
        </w:rPr>
        <w:t>CAT</w:t>
      </w:r>
      <w:r w:rsidRPr="00AF7D2E">
        <w:t>/</w:t>
      </w:r>
      <w:r>
        <w:rPr>
          <w:lang w:val="en-US"/>
        </w:rPr>
        <w:t>C</w:t>
      </w:r>
      <w:r w:rsidRPr="00AF7D2E">
        <w:t>/</w:t>
      </w:r>
      <w:r>
        <w:rPr>
          <w:lang w:val="en-US"/>
        </w:rPr>
        <w:t>SR</w:t>
      </w:r>
      <w:r w:rsidRPr="00B13EE2">
        <w:t>.938 и 941)</w:t>
      </w:r>
      <w:r>
        <w:t>, состоявшихся 4 и 5 мая 2010 года, и на своем 948-м заседании (</w:t>
      </w:r>
      <w:r>
        <w:rPr>
          <w:lang w:val="en-US"/>
        </w:rPr>
        <w:t>CAT</w:t>
      </w:r>
      <w:r w:rsidRPr="00AF7D2E">
        <w:t>/</w:t>
      </w:r>
      <w:r>
        <w:rPr>
          <w:lang w:val="en-US"/>
        </w:rPr>
        <w:t>C</w:t>
      </w:r>
      <w:r w:rsidRPr="00AF7D2E">
        <w:t>/</w:t>
      </w:r>
      <w:r>
        <w:rPr>
          <w:lang w:val="en-US"/>
        </w:rPr>
        <w:t>SR</w:t>
      </w:r>
      <w:r w:rsidRPr="00B13EE2">
        <w:t>.9</w:t>
      </w:r>
      <w:r>
        <w:t>4</w:t>
      </w:r>
      <w:r w:rsidRPr="00B13EE2">
        <w:t>8)</w:t>
      </w:r>
      <w:r>
        <w:t xml:space="preserve"> принял следующ</w:t>
      </w:r>
      <w:r w:rsidR="00A224DF">
        <w:t>и</w:t>
      </w:r>
      <w:r>
        <w:t>е</w:t>
      </w:r>
      <w:r w:rsidR="00A224DF">
        <w:t xml:space="preserve"> заключительные </w:t>
      </w:r>
      <w:r>
        <w:t xml:space="preserve">замечания. </w:t>
      </w:r>
    </w:p>
    <w:p w:rsidR="00886D97" w:rsidRDefault="00A224DF" w:rsidP="00A224DF">
      <w:pPr>
        <w:pStyle w:val="H1GR"/>
      </w:pPr>
      <w:r>
        <w:tab/>
      </w:r>
      <w:r w:rsidR="00886D97">
        <w:t>А.</w:t>
      </w:r>
      <w:r w:rsidR="00886D97">
        <w:tab/>
        <w:t xml:space="preserve">Введение </w:t>
      </w:r>
    </w:p>
    <w:p w:rsidR="00886D97" w:rsidRDefault="00886D97" w:rsidP="00493599">
      <w:pPr>
        <w:pStyle w:val="SingleTxtGR"/>
      </w:pPr>
      <w:r>
        <w:t>2.</w:t>
      </w:r>
      <w:r>
        <w:tab/>
        <w:t xml:space="preserve">Комитет приветствует третий периодический доклад Лихтенштейна, представленный с определенной задержкой </w:t>
      </w:r>
      <w:r w:rsidR="00586586">
        <w:t xml:space="preserve">и </w:t>
      </w:r>
      <w:r w:rsidR="00A224DF">
        <w:t xml:space="preserve">в целом </w:t>
      </w:r>
      <w:r>
        <w:t>подготовленный в соо</w:t>
      </w:r>
      <w:r>
        <w:t>т</w:t>
      </w:r>
      <w:r>
        <w:t>ветствии с руководящими принципами Комитета в отношении формы и соде</w:t>
      </w:r>
      <w:r>
        <w:t>р</w:t>
      </w:r>
      <w:r>
        <w:t xml:space="preserve">жания периодических докладов. Комитет выражает </w:t>
      </w:r>
      <w:r w:rsidR="00586586">
        <w:t>признательность за подро</w:t>
      </w:r>
      <w:r w:rsidR="00586586">
        <w:t>б</w:t>
      </w:r>
      <w:r w:rsidR="00586586">
        <w:t xml:space="preserve">ные </w:t>
      </w:r>
      <w:r>
        <w:t>письменны</w:t>
      </w:r>
      <w:r w:rsidR="00586586">
        <w:t>е</w:t>
      </w:r>
      <w:r>
        <w:t xml:space="preserve"> ответ</w:t>
      </w:r>
      <w:r w:rsidR="00586586">
        <w:t>ы</w:t>
      </w:r>
      <w:r>
        <w:t xml:space="preserve"> на перечень вопросов, содержащи</w:t>
      </w:r>
      <w:r w:rsidR="00BD2697">
        <w:t>е</w:t>
      </w:r>
      <w:r>
        <w:t xml:space="preserve"> важную дополн</w:t>
      </w:r>
      <w:r>
        <w:t>и</w:t>
      </w:r>
      <w:r>
        <w:t>тельную информацию</w:t>
      </w:r>
      <w:r w:rsidR="00BD2697">
        <w:t>,</w:t>
      </w:r>
      <w:r>
        <w:t xml:space="preserve"> и за пред</w:t>
      </w:r>
      <w:r w:rsidR="00BD2697">
        <w:t>о</w:t>
      </w:r>
      <w:r>
        <w:t xml:space="preserve">ставление перевода годового доклада за 2009 год национального </w:t>
      </w:r>
      <w:r w:rsidR="00BD2697">
        <w:t xml:space="preserve">превентивного </w:t>
      </w:r>
      <w:r>
        <w:t>механизма в надлежащее время для рассмо</w:t>
      </w:r>
      <w:r>
        <w:t>т</w:t>
      </w:r>
      <w:r>
        <w:t>рения доклада.</w:t>
      </w:r>
    </w:p>
    <w:p w:rsidR="00886D97" w:rsidRPr="00BA7029" w:rsidRDefault="00886D97" w:rsidP="00493599">
      <w:pPr>
        <w:pStyle w:val="SingleTxtGR"/>
        <w:rPr>
          <w:b/>
        </w:rPr>
      </w:pPr>
      <w:r>
        <w:t>3.</w:t>
      </w:r>
      <w:r>
        <w:tab/>
        <w:t>Комитет выражает признательность за открытый, конструктивный и пл</w:t>
      </w:r>
      <w:r>
        <w:t>о</w:t>
      </w:r>
      <w:r>
        <w:t>дотворный диалог с делегацией государства-участника</w:t>
      </w:r>
      <w:r w:rsidR="00BD2697">
        <w:t xml:space="preserve"> и </w:t>
      </w:r>
      <w:r>
        <w:t>за полученн</w:t>
      </w:r>
      <w:r w:rsidR="00BD2697">
        <w:t>ы</w:t>
      </w:r>
      <w:r>
        <w:t xml:space="preserve">е </w:t>
      </w:r>
      <w:r w:rsidR="00BD2697">
        <w:t xml:space="preserve">от нее устные и письменные </w:t>
      </w:r>
      <w:r>
        <w:t xml:space="preserve">исчерпывающие и точные ответы </w:t>
      </w:r>
      <w:r w:rsidR="00BD2697">
        <w:t>в связи с вопросами Комитета и затронутыми проблемами.</w:t>
      </w:r>
    </w:p>
    <w:p w:rsidR="00886D97" w:rsidRDefault="00BD2697" w:rsidP="00BD2697">
      <w:pPr>
        <w:pStyle w:val="H1GR"/>
      </w:pPr>
      <w:r>
        <w:tab/>
      </w:r>
      <w:r w:rsidR="00886D97">
        <w:t>В.</w:t>
      </w:r>
      <w:r w:rsidR="00886D97">
        <w:tab/>
        <w:t>Позитивные аспекты</w:t>
      </w:r>
    </w:p>
    <w:p w:rsidR="00886D97" w:rsidRDefault="00886D97" w:rsidP="00493599">
      <w:pPr>
        <w:pStyle w:val="SingleTxtGR"/>
      </w:pPr>
      <w:r>
        <w:t>4.</w:t>
      </w:r>
      <w:r>
        <w:tab/>
        <w:t xml:space="preserve">Комитет с удовлетворением отмечает ратификацию государством-участником </w:t>
      </w:r>
      <w:r w:rsidR="00BD2697">
        <w:t xml:space="preserve">за отчетный период </w:t>
      </w:r>
      <w:r>
        <w:t>следующих международно-правовых докуме</w:t>
      </w:r>
      <w:r>
        <w:t>н</w:t>
      </w:r>
      <w:r>
        <w:t xml:space="preserve">тов </w:t>
      </w:r>
      <w:r w:rsidR="00BD2697">
        <w:t xml:space="preserve">в области </w:t>
      </w:r>
      <w:r>
        <w:t>прав челове</w:t>
      </w:r>
      <w:r w:rsidR="00F947E7">
        <w:t>ка</w:t>
      </w:r>
      <w:r>
        <w:t xml:space="preserve">: </w:t>
      </w:r>
    </w:p>
    <w:p w:rsidR="00886D97" w:rsidRDefault="00886D97" w:rsidP="00493599">
      <w:pPr>
        <w:pStyle w:val="SingleTxtGR"/>
      </w:pPr>
      <w:r>
        <w:tab/>
        <w:t>а)</w:t>
      </w:r>
      <w:r>
        <w:tab/>
        <w:t xml:space="preserve">Факультативного протокола к Конвенции против пыток </w:t>
      </w:r>
      <w:r w:rsidR="007A2A59">
        <w:t xml:space="preserve">− </w:t>
      </w:r>
      <w:r>
        <w:t>в 2006 г</w:t>
      </w:r>
      <w:r>
        <w:t>о</w:t>
      </w:r>
      <w:r>
        <w:t>ду;</w:t>
      </w:r>
    </w:p>
    <w:p w:rsidR="00886D97" w:rsidRDefault="00886D97" w:rsidP="00493599">
      <w:pPr>
        <w:pStyle w:val="SingleTxtGR"/>
      </w:pPr>
      <w:r>
        <w:tab/>
      </w:r>
      <w:r>
        <w:rPr>
          <w:lang w:val="en-US"/>
        </w:rPr>
        <w:t>b</w:t>
      </w:r>
      <w:r w:rsidRPr="005B0F62">
        <w:t>)</w:t>
      </w:r>
      <w:r>
        <w:tab/>
        <w:t>Международной конвенции о ликвидации всех форм расовой ди</w:t>
      </w:r>
      <w:r>
        <w:t>с</w:t>
      </w:r>
      <w:r>
        <w:t xml:space="preserve">криминации </w:t>
      </w:r>
      <w:r w:rsidR="007A2A59">
        <w:t xml:space="preserve">− </w:t>
      </w:r>
      <w:r>
        <w:t>в 200</w:t>
      </w:r>
      <w:r w:rsidR="007A2A59">
        <w:t>0</w:t>
      </w:r>
      <w:r>
        <w:t xml:space="preserve"> году;</w:t>
      </w:r>
    </w:p>
    <w:p w:rsidR="00886D97" w:rsidRDefault="00886D97" w:rsidP="00493599">
      <w:pPr>
        <w:pStyle w:val="SingleTxtGR"/>
      </w:pPr>
      <w:r>
        <w:tab/>
        <w:t>с)</w:t>
      </w:r>
      <w:r>
        <w:tab/>
        <w:t>Факультативного протокола к Конвенции о ликвидации всех форм дискрим</w:t>
      </w:r>
      <w:r>
        <w:t>и</w:t>
      </w:r>
      <w:r>
        <w:t xml:space="preserve">нации в отношении женщин </w:t>
      </w:r>
      <w:r w:rsidR="007A2A59">
        <w:t xml:space="preserve">− </w:t>
      </w:r>
      <w:r>
        <w:t>в 2001 году;</w:t>
      </w:r>
    </w:p>
    <w:p w:rsidR="00886D97" w:rsidRDefault="00886D97" w:rsidP="00493599">
      <w:pPr>
        <w:pStyle w:val="SingleTxtGR"/>
      </w:pPr>
      <w:r>
        <w:tab/>
      </w:r>
      <w:r>
        <w:rPr>
          <w:lang w:val="en-US"/>
        </w:rPr>
        <w:t>d</w:t>
      </w:r>
      <w:r w:rsidRPr="005B0F62">
        <w:t>)</w:t>
      </w:r>
      <w:r>
        <w:tab/>
        <w:t xml:space="preserve">Конвенции 1954 года о статусе апатридов </w:t>
      </w:r>
      <w:r w:rsidR="007A2A59">
        <w:t xml:space="preserve">− </w:t>
      </w:r>
      <w:r>
        <w:t>в 2009 году;</w:t>
      </w:r>
    </w:p>
    <w:p w:rsidR="00886D97" w:rsidRDefault="00886D97" w:rsidP="00493599">
      <w:pPr>
        <w:pStyle w:val="SingleTxtGR"/>
      </w:pPr>
      <w:r>
        <w:tab/>
        <w:t>е)</w:t>
      </w:r>
      <w:r>
        <w:tab/>
        <w:t xml:space="preserve">Конвенции 1961 года о сокращении </w:t>
      </w:r>
      <w:proofErr w:type="spellStart"/>
      <w:r>
        <w:t>безгражданства</w:t>
      </w:r>
      <w:proofErr w:type="spellEnd"/>
      <w:r>
        <w:t xml:space="preserve"> </w:t>
      </w:r>
      <w:r w:rsidR="007A2A59">
        <w:t xml:space="preserve">− </w:t>
      </w:r>
      <w:r>
        <w:t>в 2009 году.</w:t>
      </w:r>
    </w:p>
    <w:p w:rsidR="00886D97" w:rsidRDefault="00886D97" w:rsidP="00493599">
      <w:pPr>
        <w:pStyle w:val="SingleTxtGR"/>
      </w:pPr>
      <w:r>
        <w:t>5.</w:t>
      </w:r>
      <w:r>
        <w:tab/>
        <w:t>Комитет с удовлетворением принимает к сведению:</w:t>
      </w:r>
    </w:p>
    <w:p w:rsidR="00886D97" w:rsidRDefault="00886D97" w:rsidP="00493599">
      <w:pPr>
        <w:pStyle w:val="SingleTxtGR"/>
      </w:pPr>
      <w:r>
        <w:tab/>
        <w:t>а)</w:t>
      </w:r>
      <w:r>
        <w:tab/>
        <w:t>полностью новую редакцию Закона об исполнении наказаний от 20</w:t>
      </w:r>
      <w:r w:rsidR="0020139D">
        <w:t> </w:t>
      </w:r>
      <w:r>
        <w:t xml:space="preserve">сентября 2007 года, который, в частности, усиливает </w:t>
      </w:r>
      <w:r w:rsidR="007A2A59">
        <w:t xml:space="preserve">юридические </w:t>
      </w:r>
      <w:r>
        <w:t xml:space="preserve">гарантии права заключенных на </w:t>
      </w:r>
      <w:r w:rsidR="007A2A59">
        <w:t xml:space="preserve">доступ </w:t>
      </w:r>
      <w:r>
        <w:t>к врачу;</w:t>
      </w:r>
    </w:p>
    <w:p w:rsidR="00886D97" w:rsidRDefault="00886D97" w:rsidP="0049359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>
        <w:rPr>
          <w:lang w:val="en-US"/>
        </w:rPr>
        <w:t>c</w:t>
      </w:r>
      <w:r>
        <w:t xml:space="preserve">оздание </w:t>
      </w:r>
      <w:r w:rsidR="004B6F1F">
        <w:t xml:space="preserve">в декабре 2007 года в соответствии с </w:t>
      </w:r>
      <w:r>
        <w:t>пересмотренным З</w:t>
      </w:r>
      <w:r>
        <w:t>а</w:t>
      </w:r>
      <w:r>
        <w:t>коном об исполнении наказаний (2007 года) Комисси</w:t>
      </w:r>
      <w:r w:rsidR="004B6F1F">
        <w:t>и</w:t>
      </w:r>
      <w:r>
        <w:t xml:space="preserve"> по исполнению наказ</w:t>
      </w:r>
      <w:r>
        <w:t>а</w:t>
      </w:r>
      <w:r>
        <w:t>ний, на которую также возложены функции национального превентивного м</w:t>
      </w:r>
      <w:r>
        <w:t>е</w:t>
      </w:r>
      <w:r>
        <w:t>ханизма государств</w:t>
      </w:r>
      <w:r w:rsidR="004B6F1F">
        <w:t>а</w:t>
      </w:r>
      <w:r>
        <w:t>-участник</w:t>
      </w:r>
      <w:r w:rsidR="004B6F1F">
        <w:t>а</w:t>
      </w:r>
      <w:r>
        <w:t xml:space="preserve"> </w:t>
      </w:r>
      <w:r w:rsidR="004B6F1F">
        <w:t xml:space="preserve">в силу </w:t>
      </w:r>
      <w:r>
        <w:t>ратификаци</w:t>
      </w:r>
      <w:r w:rsidR="004B6F1F">
        <w:t>и</w:t>
      </w:r>
      <w:r>
        <w:t xml:space="preserve"> последним Факультативн</w:t>
      </w:r>
      <w:r>
        <w:t>о</w:t>
      </w:r>
      <w:r>
        <w:t>го протокола, а также активную роль государства-участника в разработке эт</w:t>
      </w:r>
      <w:r>
        <w:t>о</w:t>
      </w:r>
      <w:r>
        <w:t>го Протокола;</w:t>
      </w:r>
    </w:p>
    <w:p w:rsidR="00886D97" w:rsidRDefault="00886D97" w:rsidP="00493599">
      <w:pPr>
        <w:pStyle w:val="SingleTxtGR"/>
      </w:pPr>
      <w:r>
        <w:tab/>
        <w:t>с)</w:t>
      </w:r>
      <w:r>
        <w:tab/>
        <w:t>вступление в силу 1</w:t>
      </w:r>
      <w:r w:rsidR="001C1637">
        <w:t> </w:t>
      </w:r>
      <w:r>
        <w:t>января 2008 года измененного Уголовно-процессуального кодекса, гарантирующего, среди прочего, права всех заде</w:t>
      </w:r>
      <w:r>
        <w:t>р</w:t>
      </w:r>
      <w:r>
        <w:t xml:space="preserve">жанных на уведомление </w:t>
      </w:r>
      <w:r w:rsidR="004B6F1F">
        <w:t xml:space="preserve">о своем аресте </w:t>
      </w:r>
      <w:r>
        <w:t xml:space="preserve">родственника или </w:t>
      </w:r>
      <w:r w:rsidR="004B6F1F">
        <w:t xml:space="preserve">иного </w:t>
      </w:r>
      <w:r>
        <w:t>доверенного лица и адвоката, а также их права не отвечать на в</w:t>
      </w:r>
      <w:r w:rsidR="0020139D">
        <w:t>опросы.</w:t>
      </w:r>
    </w:p>
    <w:p w:rsidR="00886D97" w:rsidRDefault="00886D97" w:rsidP="00493599">
      <w:pPr>
        <w:pStyle w:val="SingleTxtGR"/>
      </w:pPr>
      <w:r>
        <w:t>6.</w:t>
      </w:r>
      <w:r>
        <w:tab/>
        <w:t>Комитет также с удовлетворением отмечает:</w:t>
      </w:r>
    </w:p>
    <w:p w:rsidR="00886D97" w:rsidRDefault="00886D97" w:rsidP="00493599">
      <w:pPr>
        <w:pStyle w:val="SingleTxtGR"/>
      </w:pPr>
      <w:r>
        <w:tab/>
        <w:t>а)</w:t>
      </w:r>
      <w:r>
        <w:tab/>
        <w:t>создание Комиссии по обеспечению равных возможностей с опер</w:t>
      </w:r>
      <w:r>
        <w:t>а</w:t>
      </w:r>
      <w:r>
        <w:t>тивным Бюро по обеспечению равных возможностей, Бюро омбудсменов по д</w:t>
      </w:r>
      <w:r>
        <w:t>е</w:t>
      </w:r>
      <w:r>
        <w:t>лам детей и м</w:t>
      </w:r>
      <w:r>
        <w:t>о</w:t>
      </w:r>
      <w:r>
        <w:t>ло</w:t>
      </w:r>
      <w:r w:rsidR="0020139D">
        <w:t>дежи и Бюро помощи пострадавшим;</w:t>
      </w:r>
    </w:p>
    <w:p w:rsidR="00886D97" w:rsidRDefault="00886D97" w:rsidP="00493599">
      <w:pPr>
        <w:pStyle w:val="SingleTxtGR"/>
      </w:pPr>
      <w:r>
        <w:tab/>
      </w:r>
      <w:r>
        <w:rPr>
          <w:lang w:val="en-US"/>
        </w:rPr>
        <w:t>b</w:t>
      </w:r>
      <w:r w:rsidRPr="009D5459">
        <w:t>)</w:t>
      </w:r>
      <w:r>
        <w:tab/>
        <w:t xml:space="preserve">поддержку </w:t>
      </w:r>
      <w:r w:rsidR="004C75DF">
        <w:t xml:space="preserve">государством-участником </w:t>
      </w:r>
      <w:r>
        <w:t>механизм</w:t>
      </w:r>
      <w:r w:rsidR="004C75DF">
        <w:t>ов</w:t>
      </w:r>
      <w:r>
        <w:t xml:space="preserve"> Организации Объединенных Наций, которые были созданы в целях предупреждения и иск</w:t>
      </w:r>
      <w:r>
        <w:t>о</w:t>
      </w:r>
      <w:r>
        <w:t xml:space="preserve">ренения пыток и других </w:t>
      </w:r>
      <w:r w:rsidR="004C75DF">
        <w:t xml:space="preserve">видов жестокого </w:t>
      </w:r>
      <w:r>
        <w:t>обращения, включая увеличение взносов в Добровольный фонд Организации Объединенных Наций для жертв пыток, а также поддержк</w:t>
      </w:r>
      <w:r w:rsidR="004C75DF">
        <w:t>у</w:t>
      </w:r>
      <w:r>
        <w:t xml:space="preserve"> Специально</w:t>
      </w:r>
      <w:r w:rsidR="004C75DF">
        <w:t>го</w:t>
      </w:r>
      <w:r>
        <w:t xml:space="preserve"> докладчик</w:t>
      </w:r>
      <w:r w:rsidR="004C75DF">
        <w:t>а</w:t>
      </w:r>
      <w:r>
        <w:t xml:space="preserve"> по вопросу </w:t>
      </w:r>
      <w:r w:rsidR="00814638">
        <w:t xml:space="preserve">о </w:t>
      </w:r>
      <w:r>
        <w:t>пытк</w:t>
      </w:r>
      <w:r w:rsidR="00814638">
        <w:t>ах</w:t>
      </w:r>
      <w:r>
        <w:t xml:space="preserve"> и друг</w:t>
      </w:r>
      <w:r w:rsidR="00814638">
        <w:t>их</w:t>
      </w:r>
      <w:r>
        <w:t xml:space="preserve"> жесток</w:t>
      </w:r>
      <w:r w:rsidR="00814638">
        <w:t>их</w:t>
      </w:r>
      <w:r>
        <w:t>, бесчеловечн</w:t>
      </w:r>
      <w:r w:rsidR="00814638">
        <w:t>ых</w:t>
      </w:r>
      <w:r>
        <w:t xml:space="preserve"> или унижающ</w:t>
      </w:r>
      <w:r w:rsidR="00814638">
        <w:t>их</w:t>
      </w:r>
      <w:r>
        <w:t xml:space="preserve"> достоинство </w:t>
      </w:r>
      <w:r w:rsidR="00814638">
        <w:t xml:space="preserve">видах </w:t>
      </w:r>
      <w:r>
        <w:t>обращ</w:t>
      </w:r>
      <w:r>
        <w:t>е</w:t>
      </w:r>
      <w:r>
        <w:t>ния или наказания.</w:t>
      </w:r>
    </w:p>
    <w:p w:rsidR="00886D97" w:rsidRDefault="00814638" w:rsidP="00814638">
      <w:pPr>
        <w:pStyle w:val="H1GR"/>
      </w:pPr>
      <w:r>
        <w:tab/>
      </w:r>
      <w:r w:rsidR="00886D97">
        <w:t>С.</w:t>
      </w:r>
      <w:r w:rsidR="00886D97">
        <w:tab/>
        <w:t>Основные вызывающие о</w:t>
      </w:r>
      <w:r>
        <w:t xml:space="preserve">беспокоенность вопросы </w:t>
      </w:r>
      <w:r w:rsidR="00886D97">
        <w:t>и рекомендации</w:t>
      </w:r>
    </w:p>
    <w:p w:rsidR="00886D97" w:rsidRDefault="00814638" w:rsidP="00814638">
      <w:pPr>
        <w:pStyle w:val="H23GR"/>
      </w:pPr>
      <w:r>
        <w:tab/>
      </w:r>
      <w:r>
        <w:tab/>
      </w:r>
      <w:r w:rsidR="00886D97">
        <w:t>Определение пытки как преступление</w:t>
      </w:r>
    </w:p>
    <w:p w:rsidR="00886D97" w:rsidRDefault="00886D97" w:rsidP="00493599">
      <w:pPr>
        <w:pStyle w:val="SingleTxtGR"/>
      </w:pPr>
      <w:r>
        <w:t>7.</w:t>
      </w:r>
      <w:r>
        <w:tab/>
        <w:t xml:space="preserve">Комитет с удовлетворением отмечает </w:t>
      </w:r>
      <w:r w:rsidR="00814638">
        <w:t xml:space="preserve">внесенные в 2003 году </w:t>
      </w:r>
      <w:r>
        <w:t>поправки</w:t>
      </w:r>
      <w:r w:rsidR="007138B9">
        <w:t xml:space="preserve"> к Конституции,</w:t>
      </w:r>
      <w:r>
        <w:t xml:space="preserve"> </w:t>
      </w:r>
      <w:r w:rsidR="007138B9">
        <w:t xml:space="preserve">в </w:t>
      </w:r>
      <w:r>
        <w:t>соответствии с которыми запрет пыток и бесчеловечно</w:t>
      </w:r>
      <w:r w:rsidR="007138B9">
        <w:t>го</w:t>
      </w:r>
      <w:r>
        <w:t xml:space="preserve"> обр</w:t>
      </w:r>
      <w:r>
        <w:t>а</w:t>
      </w:r>
      <w:r>
        <w:t>щени</w:t>
      </w:r>
      <w:r w:rsidR="007138B9">
        <w:t xml:space="preserve">я носит абсолютный характер и </w:t>
      </w:r>
      <w:r>
        <w:t>не может быть ослаблен каким-либо зак</w:t>
      </w:r>
      <w:r>
        <w:t>о</w:t>
      </w:r>
      <w:r>
        <w:t>ном или чрезвычайным постановлением (пункт 2 статьи 10 Констит</w:t>
      </w:r>
      <w:r>
        <w:t>у</w:t>
      </w:r>
      <w:r>
        <w:t>ции), а также конституционны</w:t>
      </w:r>
      <w:r w:rsidR="007138B9">
        <w:t>е</w:t>
      </w:r>
      <w:r>
        <w:t xml:space="preserve"> поправк</w:t>
      </w:r>
      <w:r w:rsidR="007138B9">
        <w:t>и</w:t>
      </w:r>
      <w:r>
        <w:t xml:space="preserve"> 2005 года, запрещающи</w:t>
      </w:r>
      <w:r w:rsidR="007138B9">
        <w:t>е</w:t>
      </w:r>
      <w:r>
        <w:t xml:space="preserve"> "бесчеловечное или унижающее достоинство обращение или наказание" (статья 27-бис Констит</w:t>
      </w:r>
      <w:r>
        <w:t>у</w:t>
      </w:r>
      <w:r>
        <w:t>ции). Комитет также признает, что в соответствии с монистической правовой системой государства-уча</w:t>
      </w:r>
      <w:r w:rsidR="0020139D">
        <w:t>стника положения Конвенции являю</w:t>
      </w:r>
      <w:r>
        <w:t>тся частью вну</w:t>
      </w:r>
      <w:r>
        <w:t>т</w:t>
      </w:r>
      <w:r>
        <w:t xml:space="preserve">ригосударственного права со дня ее ратификации. </w:t>
      </w:r>
      <w:r w:rsidR="007138B9">
        <w:t>Даже без учета этих полож</w:t>
      </w:r>
      <w:r w:rsidR="007138B9">
        <w:t>е</w:t>
      </w:r>
      <w:r w:rsidR="007138B9">
        <w:t xml:space="preserve">ний </w:t>
      </w:r>
      <w:r>
        <w:t xml:space="preserve">Комитет твердо </w:t>
      </w:r>
      <w:r w:rsidR="007138B9">
        <w:t xml:space="preserve">убежден </w:t>
      </w:r>
      <w:r>
        <w:t xml:space="preserve">в том, что включение во внутреннее </w:t>
      </w:r>
      <w:r w:rsidR="007138B9">
        <w:t>законодател</w:t>
      </w:r>
      <w:r w:rsidR="007138B9">
        <w:t>ь</w:t>
      </w:r>
      <w:r w:rsidR="007138B9">
        <w:t xml:space="preserve">ство </w:t>
      </w:r>
      <w:r>
        <w:t>государства-участника отдельного преступления "пытки" на основе опр</w:t>
      </w:r>
      <w:r>
        <w:t>е</w:t>
      </w:r>
      <w:r>
        <w:t xml:space="preserve">деления, содержащегося в статье 1 Конвенции, будет напрямую способствовать достижению главной цели Конвенции </w:t>
      </w:r>
      <w:r w:rsidR="00BA7915">
        <w:t xml:space="preserve">− </w:t>
      </w:r>
      <w:r>
        <w:t>предупреждени</w:t>
      </w:r>
      <w:r w:rsidR="0020139D">
        <w:t>ю</w:t>
      </w:r>
      <w:r>
        <w:t xml:space="preserve"> пыток или </w:t>
      </w:r>
      <w:r w:rsidR="00BA7915">
        <w:t xml:space="preserve">жестокого </w:t>
      </w:r>
      <w:r>
        <w:t>о</w:t>
      </w:r>
      <w:r>
        <w:t>б</w:t>
      </w:r>
      <w:r>
        <w:t>ращения (статья 1 и 4).</w:t>
      </w:r>
    </w:p>
    <w:p w:rsidR="00886D97" w:rsidRPr="00631A7F" w:rsidRDefault="00886D97" w:rsidP="00493599">
      <w:pPr>
        <w:pStyle w:val="SingleTxtGR"/>
        <w:rPr>
          <w:b/>
        </w:rPr>
      </w:pPr>
      <w:r>
        <w:rPr>
          <w:b/>
        </w:rPr>
        <w:t xml:space="preserve">Комитет рекомендует государству-участнику включить в свое внутреннее уголовное </w:t>
      </w:r>
      <w:r w:rsidR="00BA7915">
        <w:rPr>
          <w:b/>
        </w:rPr>
        <w:t xml:space="preserve">законодательство особое </w:t>
      </w:r>
      <w:r>
        <w:rPr>
          <w:b/>
        </w:rPr>
        <w:t>преступление "пытки" в строгом соо</w:t>
      </w:r>
      <w:r>
        <w:rPr>
          <w:b/>
        </w:rPr>
        <w:t>т</w:t>
      </w:r>
      <w:r>
        <w:rPr>
          <w:b/>
        </w:rPr>
        <w:t xml:space="preserve">ветствии со статьей 1 Конвенции. </w:t>
      </w:r>
      <w:r w:rsidR="00232FC4">
        <w:rPr>
          <w:b/>
        </w:rPr>
        <w:t>Комитет считает, что путем квалифик</w:t>
      </w:r>
      <w:r w:rsidR="00232FC4">
        <w:rPr>
          <w:b/>
        </w:rPr>
        <w:t>а</w:t>
      </w:r>
      <w:r w:rsidR="00232FC4">
        <w:rPr>
          <w:b/>
        </w:rPr>
        <w:t>ции и определения пыток как преступления в соо</w:t>
      </w:r>
      <w:r w:rsidR="00232FC4">
        <w:rPr>
          <w:b/>
        </w:rPr>
        <w:t>т</w:t>
      </w:r>
      <w:r w:rsidR="00232FC4">
        <w:rPr>
          <w:b/>
        </w:rPr>
        <w:t>ветствии со статьями 1 и 4 Конвенции, которое отличается от других преступлений, г</w:t>
      </w:r>
      <w:r w:rsidR="00232FC4">
        <w:rPr>
          <w:b/>
        </w:rPr>
        <w:t>о</w:t>
      </w:r>
      <w:r w:rsidR="00232FC4">
        <w:rPr>
          <w:b/>
        </w:rPr>
        <w:t>сударства-участники будут напрямую способствовать достижению важнейшей цели Конвенции, т.е. предупреждению пыток, в частности, посредством широк</w:t>
      </w:r>
      <w:r w:rsidR="00232FC4">
        <w:rPr>
          <w:b/>
        </w:rPr>
        <w:t>о</w:t>
      </w:r>
      <w:r w:rsidR="00232FC4">
        <w:rPr>
          <w:b/>
        </w:rPr>
        <w:t>го информирования, в том числе правонарушителей, пострадавших и о</w:t>
      </w:r>
      <w:r w:rsidR="00232FC4">
        <w:rPr>
          <w:b/>
        </w:rPr>
        <w:t>б</w:t>
      </w:r>
      <w:r w:rsidR="00232FC4">
        <w:rPr>
          <w:b/>
        </w:rPr>
        <w:t xml:space="preserve">щественности от особой тяжести пыток как преступления, а также за счет усиления сдерживающего </w:t>
      </w:r>
      <w:r>
        <w:rPr>
          <w:b/>
        </w:rPr>
        <w:t>воздействия запрета п</w:t>
      </w:r>
      <w:r>
        <w:rPr>
          <w:b/>
        </w:rPr>
        <w:t>ы</w:t>
      </w:r>
      <w:r>
        <w:rPr>
          <w:b/>
        </w:rPr>
        <w:t xml:space="preserve">ток. </w:t>
      </w:r>
    </w:p>
    <w:p w:rsidR="0022340A" w:rsidRDefault="0022340A" w:rsidP="00CB30D2">
      <w:pPr>
        <w:pStyle w:val="H23GR"/>
      </w:pPr>
      <w:r>
        <w:tab/>
      </w:r>
      <w:r>
        <w:tab/>
        <w:t>Надлежащее наказание</w:t>
      </w:r>
    </w:p>
    <w:p w:rsidR="0022340A" w:rsidRDefault="0022340A" w:rsidP="00CB30D2">
      <w:pPr>
        <w:pStyle w:val="SingleTxtGR"/>
      </w:pPr>
      <w:r>
        <w:t>8.</w:t>
      </w:r>
      <w:r>
        <w:tab/>
        <w:t>Напоминая, что наказания, которые соразмерны тяжести преступления пытки, необходимы для успешного сдерживания, Комитет считает, что дейс</w:t>
      </w:r>
      <w:r>
        <w:t>т</w:t>
      </w:r>
      <w:r>
        <w:t>вующие в государстве-участнике нормы уголовного законодательства, в соо</w:t>
      </w:r>
      <w:r>
        <w:t>т</w:t>
      </w:r>
      <w:r>
        <w:t>ветствии с которыми акты пытки подлежат наказанию (тюремное заключение на два года в случае истязания и лишения заключенного надлежащего ухода (статья 312 Уголовного кодекса) и до пяти лет в случае причинения телесных повреждений (статьи 83−85 Уголовного кодекса)), предусматривают весьма мягкое наказание. Комитет напоминает государству-участнику о том, что в с</w:t>
      </w:r>
      <w:r>
        <w:t>о</w:t>
      </w:r>
      <w:r>
        <w:t>ответствии с Конвенцией каждое государство-участник должно обеспечивать, чтобы такие преступления были соответствующим образом наказуемы с уч</w:t>
      </w:r>
      <w:r>
        <w:t>е</w:t>
      </w:r>
      <w:r>
        <w:t>том их тяжести (статья 4).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В соответствии со статьей 4 Конвенции государство-участник должно уст</w:t>
      </w:r>
      <w:r>
        <w:rPr>
          <w:b/>
        </w:rPr>
        <w:t>а</w:t>
      </w:r>
      <w:r>
        <w:rPr>
          <w:b/>
        </w:rPr>
        <w:t>навливать соответствующие наказания за акты пытки с учетом их тяжкого хара</w:t>
      </w:r>
      <w:r>
        <w:rPr>
          <w:b/>
        </w:rPr>
        <w:t>к</w:t>
      </w:r>
      <w:r>
        <w:rPr>
          <w:b/>
        </w:rPr>
        <w:t>тера.</w:t>
      </w:r>
    </w:p>
    <w:p w:rsidR="0022340A" w:rsidRDefault="0022340A" w:rsidP="00CB30D2">
      <w:pPr>
        <w:pStyle w:val="H23GR"/>
      </w:pPr>
      <w:r>
        <w:tab/>
      </w:r>
      <w:r>
        <w:tab/>
        <w:t>Срок давности</w:t>
      </w:r>
    </w:p>
    <w:p w:rsidR="0022340A" w:rsidRDefault="0022340A" w:rsidP="00CB30D2">
      <w:pPr>
        <w:pStyle w:val="SingleTxtGR"/>
      </w:pPr>
      <w:r>
        <w:t>9.</w:t>
      </w:r>
      <w:r>
        <w:tab/>
        <w:t>Комитет также обеспокоен тем, что в результате криминализации актов пытки, согласно статьям 83-85 и 312 Уголовного кодекса срок давности за пр</w:t>
      </w:r>
      <w:r>
        <w:t>а</w:t>
      </w:r>
      <w:r>
        <w:t>вонарушения, представляющие собой акт пытки, ограничен пятью годами. В этой связи Комитет в</w:t>
      </w:r>
      <w:r>
        <w:t>ы</w:t>
      </w:r>
      <w:r>
        <w:t>ражает обеспокоенность по поводу того, что государство-участник не намерено изм</w:t>
      </w:r>
      <w:r>
        <w:t>е</w:t>
      </w:r>
      <w:r>
        <w:t>нять Уголовный кодекс с целью "упразднения срока давности применительно к случаям пытки". Абсолютно неприемлемыми (ст</w:t>
      </w:r>
      <w:r>
        <w:t>а</w:t>
      </w:r>
      <w:r>
        <w:t>тьи 2, 4 и 12) являются любые попытки обосновать установление срока давн</w:t>
      </w:r>
      <w:r>
        <w:t>о</w:t>
      </w:r>
      <w:r>
        <w:t>сти в отношении обязанности государства-участника расследовать преступл</w:t>
      </w:r>
      <w:r>
        <w:t>е</w:t>
      </w:r>
      <w:r>
        <w:t>ния пытки и наказывать за них, включая ссылки на отсутствие судебных реш</w:t>
      </w:r>
      <w:r>
        <w:t>е</w:t>
      </w:r>
      <w:r>
        <w:t>ний, содержащиеся в письменном ответе государс</w:t>
      </w:r>
      <w:r>
        <w:t>т</w:t>
      </w:r>
      <w:r>
        <w:t>ва-участника.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Государство-участник должно обеспечить неприменение срока давности в отнош</w:t>
      </w:r>
      <w:r>
        <w:rPr>
          <w:b/>
        </w:rPr>
        <w:t>е</w:t>
      </w:r>
      <w:r>
        <w:rPr>
          <w:b/>
        </w:rPr>
        <w:t>нии пыток.</w:t>
      </w:r>
    </w:p>
    <w:p w:rsidR="0022340A" w:rsidRDefault="0022340A" w:rsidP="00CB30D2">
      <w:pPr>
        <w:pStyle w:val="H23GR"/>
      </w:pPr>
      <w:r>
        <w:tab/>
      </w:r>
      <w:r>
        <w:tab/>
        <w:t>Основные гарантии</w:t>
      </w:r>
    </w:p>
    <w:p w:rsidR="0022340A" w:rsidRDefault="0022340A" w:rsidP="00CB30D2">
      <w:pPr>
        <w:pStyle w:val="H23GR"/>
      </w:pPr>
      <w:r>
        <w:tab/>
      </w:r>
      <w:r>
        <w:tab/>
        <w:t>Право на доступ к врачу</w:t>
      </w:r>
    </w:p>
    <w:p w:rsidR="0022340A" w:rsidRDefault="0022340A" w:rsidP="00CB30D2">
      <w:pPr>
        <w:pStyle w:val="SingleTxtGR"/>
      </w:pPr>
      <w:r>
        <w:t>10.</w:t>
      </w:r>
      <w:r>
        <w:tab/>
        <w:t>Комитет приветствует новый Закон об исполнении наказаний, который, в частн</w:t>
      </w:r>
      <w:r>
        <w:t>о</w:t>
      </w:r>
      <w:r>
        <w:t>сти, гарантирует право заключенных на осмотр врачом непосредственно по поступлении в исправительное учреждение или вскоре после этого. Ком</w:t>
      </w:r>
      <w:r>
        <w:t>и</w:t>
      </w:r>
      <w:r>
        <w:t>тет, однако, обеспокоен тем, что это право юридически не гарантировано всем л</w:t>
      </w:r>
      <w:r>
        <w:t>и</w:t>
      </w:r>
      <w:r>
        <w:t>шенным свободы лицам с момента их задержания. В этом контексте Комитет выражает сожаление по поводу того, что в новом Законе о здравоохранении б</w:t>
      </w:r>
      <w:r>
        <w:t>о</w:t>
      </w:r>
      <w:r>
        <w:t>лее не содержится четко сформулированн</w:t>
      </w:r>
      <w:r>
        <w:t>о</w:t>
      </w:r>
      <w:r>
        <w:t xml:space="preserve">го положения о доступе к врачу при нахождении в полиции (бывший подпункт </w:t>
      </w:r>
      <w:r>
        <w:rPr>
          <w:lang w:val="en-US"/>
        </w:rPr>
        <w:t>b</w:t>
      </w:r>
      <w:r w:rsidRPr="00235217">
        <w:t xml:space="preserve">) </w:t>
      </w:r>
      <w:r>
        <w:t>пункта 3 раздела 7 а) и это право однозначно не гарантировано ни Уголовным кодексом, ни Уг</w:t>
      </w:r>
      <w:r>
        <w:t>о</w:t>
      </w:r>
      <w:r>
        <w:t>ловно-процессуальным кодексом. Кроме того, с удовлетворением отмечая, что соде</w:t>
      </w:r>
      <w:r>
        <w:t>р</w:t>
      </w:r>
      <w:r>
        <w:t>жащие юридические рекомендации памятки о правовых гарантиях, выдаваемые пол</w:t>
      </w:r>
      <w:r>
        <w:t>и</w:t>
      </w:r>
      <w:r>
        <w:t>цией лишенным свободы лицам, содержат сведения об осуществлении ими своего права на доступ к врачу непосредственно с момента задержания, Ком</w:t>
      </w:r>
      <w:r>
        <w:t>и</w:t>
      </w:r>
      <w:r>
        <w:t>тет вместе с тем выражает обеспокоенность тем, что это право четко не огов</w:t>
      </w:r>
      <w:r>
        <w:t>о</w:t>
      </w:r>
      <w:r>
        <w:t>рено в памятках по правовым вопросам, которые выдаются иностранным гра</w:t>
      </w:r>
      <w:r>
        <w:t>ж</w:t>
      </w:r>
      <w:r>
        <w:t>данам (ст</w:t>
      </w:r>
      <w:r>
        <w:t>а</w:t>
      </w:r>
      <w:r>
        <w:t>тьи 2 и 11).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Государство-участник должно со всей ясностью предусматривать в своем внутреннем законодательстве право всех лишенных свободы лиц, включая иностра</w:t>
      </w:r>
      <w:r>
        <w:rPr>
          <w:b/>
        </w:rPr>
        <w:t>н</w:t>
      </w:r>
      <w:r>
        <w:rPr>
          <w:b/>
        </w:rPr>
        <w:t>ных граждан, на доступ к независимому врачу, по возможности по их выбору, н</w:t>
      </w:r>
      <w:r>
        <w:rPr>
          <w:b/>
        </w:rPr>
        <w:t>е</w:t>
      </w:r>
      <w:r>
        <w:rPr>
          <w:b/>
        </w:rPr>
        <w:t>посредственно с момента их задержания.</w:t>
      </w:r>
    </w:p>
    <w:p w:rsidR="0022340A" w:rsidRDefault="0022340A" w:rsidP="00CB30D2">
      <w:pPr>
        <w:pStyle w:val="H23GR"/>
      </w:pPr>
      <w:r>
        <w:tab/>
      </w:r>
      <w:r>
        <w:tab/>
        <w:t>Право на доступ к адвокату и уведомление родственников</w:t>
      </w:r>
    </w:p>
    <w:p w:rsidR="0022340A" w:rsidRDefault="0022340A" w:rsidP="00CB30D2">
      <w:pPr>
        <w:pStyle w:val="SingleTxtGR"/>
      </w:pPr>
      <w:r>
        <w:t>11.</w:t>
      </w:r>
      <w:r>
        <w:tab/>
        <w:t>Комитет с удовлетворением отмечает, что в результате пересмотра Уг</w:t>
      </w:r>
      <w:r>
        <w:t>о</w:t>
      </w:r>
      <w:r>
        <w:t>ловно-процессуального кодекса "всем задержанным" в законодательном поря</w:t>
      </w:r>
      <w:r>
        <w:t>д</w:t>
      </w:r>
      <w:r>
        <w:t>ке гарантиров</w:t>
      </w:r>
      <w:r>
        <w:t>а</w:t>
      </w:r>
      <w:r>
        <w:t>но право на доступ к адвокату и на уведомление кого-либо из своих родственников или иного доверенного лица об их аресте "во время з</w:t>
      </w:r>
      <w:r>
        <w:t>а</w:t>
      </w:r>
      <w:r>
        <w:t>держания или непосредственно после него" (статья 128 а). Обращая внимание на ограничения этого права во время допросов, Комитет приветствует сообщ</w:t>
      </w:r>
      <w:r>
        <w:t>е</w:t>
      </w:r>
      <w:r>
        <w:t>ние государства-участника о том, что в настоящее время производится всест</w:t>
      </w:r>
      <w:r>
        <w:t>о</w:t>
      </w:r>
      <w:r>
        <w:t>ронний пересмотр Уголовно-процессуального кодекса, в котором будет пред</w:t>
      </w:r>
      <w:r>
        <w:t>у</w:t>
      </w:r>
      <w:r>
        <w:t>смотрено право любого опрашиваемого или допрашиваемого полицией л</w:t>
      </w:r>
      <w:r>
        <w:t>и</w:t>
      </w:r>
      <w:r>
        <w:t>ца на присутствие адвоката на первом допросе в полиции. Вместе с тем Комитет обе</w:t>
      </w:r>
      <w:r>
        <w:t>с</w:t>
      </w:r>
      <w:r>
        <w:t>покоен тем, что в выдаваемой в настоящее время иностранным гражданам памятке по правовым вопросам указано, что арестованный имеет возможность выбора между пр</w:t>
      </w:r>
      <w:r>
        <w:t>а</w:t>
      </w:r>
      <w:r>
        <w:t>вом на уведомление либо как члена семьи, либо адвоката (статьи 2, 11 и 12).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Государство-участник обязано обеспечить включение в пересмотренный Уголовно-процессуальный кодекс положения о праве всех лишенных св</w:t>
      </w:r>
      <w:r>
        <w:rPr>
          <w:b/>
        </w:rPr>
        <w:t>о</w:t>
      </w:r>
      <w:r>
        <w:rPr>
          <w:b/>
        </w:rPr>
        <w:t>боды лиц на до</w:t>
      </w:r>
      <w:r>
        <w:rPr>
          <w:b/>
        </w:rPr>
        <w:t>с</w:t>
      </w:r>
      <w:r>
        <w:rPr>
          <w:b/>
        </w:rPr>
        <w:t>туп к адвокату непосредственно с момента лишения их свободы без каких-либо ограничений. Памятки по правовым вопросам, выдаваемые иностранным гражданам во время их ареста, подлежат пер</w:t>
      </w:r>
      <w:r>
        <w:rPr>
          <w:b/>
        </w:rPr>
        <w:t>е</w:t>
      </w:r>
      <w:r>
        <w:rPr>
          <w:b/>
        </w:rPr>
        <w:t>работке, с тем чтобы они на практике обеспечивали право на доступ к а</w:t>
      </w:r>
      <w:r>
        <w:rPr>
          <w:b/>
        </w:rPr>
        <w:t>д</w:t>
      </w:r>
      <w:r>
        <w:rPr>
          <w:b/>
        </w:rPr>
        <w:t>вокату и право на уведомление члена с</w:t>
      </w:r>
      <w:r>
        <w:rPr>
          <w:b/>
        </w:rPr>
        <w:t>е</w:t>
      </w:r>
      <w:r>
        <w:rPr>
          <w:b/>
        </w:rPr>
        <w:t>мьи.</w:t>
      </w:r>
    </w:p>
    <w:p w:rsidR="0022340A" w:rsidRDefault="0022340A" w:rsidP="00CB30D2">
      <w:pPr>
        <w:pStyle w:val="H23GR"/>
      </w:pPr>
      <w:r>
        <w:tab/>
      </w:r>
      <w:r>
        <w:tab/>
        <w:t>Разделение ответственности между органами системы исполнения наказаний и следственными органами</w:t>
      </w:r>
    </w:p>
    <w:p w:rsidR="0022340A" w:rsidRDefault="0022340A" w:rsidP="00CB30D2">
      <w:pPr>
        <w:pStyle w:val="SingleTxtGR"/>
      </w:pPr>
      <w:r>
        <w:t>12.</w:t>
      </w:r>
      <w:r>
        <w:tab/>
        <w:t>Комитет с обеспокоенностью обращает внимание на отсутствие механи</w:t>
      </w:r>
      <w:r>
        <w:t>з</w:t>
      </w:r>
      <w:r>
        <w:t>ма разделения полномочий между министерством юстиции и министерством внутре</w:t>
      </w:r>
      <w:r>
        <w:t>н</w:t>
      </w:r>
      <w:r>
        <w:t>них дел в отношении системы исполнения наказаний государства-участника, а также как указывала Комиссия по исполнению наказаний на то, что "в системе исполнения наказаний наибольшим организационным влиянием и наиболее широкими полномочиями неизменно пользуются органы полиции". Комитет вместе с тем с удовлетворением отмечает, что рекомендация Комиссии по исполнению наказаний по этому вопросу в настоящее время изучается в св</w:t>
      </w:r>
      <w:r>
        <w:t>е</w:t>
      </w:r>
      <w:r>
        <w:t>те заключений австрийских экспертов (ст</w:t>
      </w:r>
      <w:r>
        <w:t>а</w:t>
      </w:r>
      <w:r>
        <w:t>тья 2).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Государство-участник должно обеспечить полную и исключительную ко</w:t>
      </w:r>
      <w:r>
        <w:rPr>
          <w:b/>
        </w:rPr>
        <w:t>м</w:t>
      </w:r>
      <w:r>
        <w:rPr>
          <w:b/>
        </w:rPr>
        <w:t>петенцию Министерства юстиции в отношении системы исполнения нак</w:t>
      </w:r>
      <w:r>
        <w:rPr>
          <w:b/>
        </w:rPr>
        <w:t>а</w:t>
      </w:r>
      <w:r>
        <w:rPr>
          <w:b/>
        </w:rPr>
        <w:t>заний гос</w:t>
      </w:r>
      <w:r>
        <w:rPr>
          <w:b/>
        </w:rPr>
        <w:t>у</w:t>
      </w:r>
      <w:r>
        <w:rPr>
          <w:b/>
        </w:rPr>
        <w:t>дарства-участника в соответствии с рекомендациями Комиссии по исполнению наказаний 2008 и 2009 годов.</w:t>
      </w:r>
    </w:p>
    <w:p w:rsidR="0022340A" w:rsidRDefault="0022340A" w:rsidP="00CB30D2">
      <w:pPr>
        <w:pStyle w:val="H23GR"/>
      </w:pPr>
      <w:r>
        <w:tab/>
      </w:r>
      <w:r>
        <w:tab/>
        <w:t>Правовой статус, мандат и состав национального превентивного механизма</w:t>
      </w:r>
    </w:p>
    <w:p w:rsidR="0022340A" w:rsidRDefault="0022340A" w:rsidP="00CB30D2">
      <w:pPr>
        <w:pStyle w:val="SingleTxtGR"/>
      </w:pPr>
      <w:r>
        <w:t>13.</w:t>
      </w:r>
      <w:r>
        <w:tab/>
        <w:t>Комитет приветствует создание Комиссии по исполнению наказаний в качестве национального превентивного механизма государства-участника, к</w:t>
      </w:r>
      <w:r>
        <w:t>о</w:t>
      </w:r>
      <w:r>
        <w:t>торая начала свою деятельность в 2008 году. Комитет с удовлетворением отм</w:t>
      </w:r>
      <w:r>
        <w:t>е</w:t>
      </w:r>
      <w:r>
        <w:t>чает отзывы о весьма эффективном сотрудничестве между полномочными о</w:t>
      </w:r>
      <w:r>
        <w:t>р</w:t>
      </w:r>
      <w:r>
        <w:t>ганами и Комиссией по исполнению наказаний, полученные во время посещ</w:t>
      </w:r>
      <w:r>
        <w:t>е</w:t>
      </w:r>
      <w:r>
        <w:t>ний федеральной тюрьмы в Вадуце в 2009 г</w:t>
      </w:r>
      <w:r>
        <w:t>о</w:t>
      </w:r>
      <w:r>
        <w:t>ду, а также меры государства-участника по выполнению и обнародованию его рекомендаций, включая пер</w:t>
      </w:r>
      <w:r>
        <w:t>е</w:t>
      </w:r>
      <w:r>
        <w:t>вод на английский язык его годового доклада за 2009 год. Прин</w:t>
      </w:r>
      <w:r>
        <w:t>и</w:t>
      </w:r>
      <w:r>
        <w:t>мая к сведению прямое применение Факультативного протокола в государстве-участнике, К</w:t>
      </w:r>
      <w:r>
        <w:t>о</w:t>
      </w:r>
      <w:r>
        <w:t>митет</w:t>
      </w:r>
      <w:r w:rsidR="00710422">
        <w:t>,</w:t>
      </w:r>
      <w:r>
        <w:t xml:space="preserve"> тем не менее</w:t>
      </w:r>
      <w:r w:rsidR="00710422">
        <w:t>,</w:t>
      </w:r>
      <w:r>
        <w:t xml:space="preserve"> выражает обеспокоенность по поводу того, что мандат К</w:t>
      </w:r>
      <w:r>
        <w:t>о</w:t>
      </w:r>
      <w:r>
        <w:t>миссии по исполнению наказаний, как национального превентивного механи</w:t>
      </w:r>
      <w:r>
        <w:t>з</w:t>
      </w:r>
      <w:r>
        <w:t>ма государства-участника не оговорен в Законе об исполнении наказаний, кот</w:t>
      </w:r>
      <w:r>
        <w:t>о</w:t>
      </w:r>
      <w:r>
        <w:t>рым до сих пор определяется количество посещений, которые могут быть в</w:t>
      </w:r>
      <w:r>
        <w:t>ы</w:t>
      </w:r>
      <w:r>
        <w:t>полнены членами Комиссии по исполнению наказаний в течение года без пре</w:t>
      </w:r>
      <w:r>
        <w:t>д</w:t>
      </w:r>
      <w:r>
        <w:t>варительного уведомления. Кроме этого, Комитет обеспокоен возможностью того, что ее независимость может быть поставлена под угрозу пунктом 3 статьи 17 Закона об исполнении наказаний о составе Комиссии по исполнению наказ</w:t>
      </w:r>
      <w:r>
        <w:t>а</w:t>
      </w:r>
      <w:r>
        <w:t>ний, в соответствии с которым не менее двух из пяти ее членов не должны с</w:t>
      </w:r>
      <w:r>
        <w:t>о</w:t>
      </w:r>
      <w:r>
        <w:t xml:space="preserve">стоять на </w:t>
      </w:r>
      <w:proofErr w:type="spellStart"/>
      <w:r>
        <w:t>госслужбе</w:t>
      </w:r>
      <w:proofErr w:type="spellEnd"/>
      <w:r w:rsidR="00710422">
        <w:t xml:space="preserve"> (статья 2)</w:t>
      </w:r>
      <w:r>
        <w:t>.</w:t>
      </w:r>
    </w:p>
    <w:p w:rsidR="0022340A" w:rsidRDefault="0022340A" w:rsidP="00CB30D2">
      <w:pPr>
        <w:pStyle w:val="SingleTxtGR"/>
        <w:rPr>
          <w:b/>
        </w:rPr>
      </w:pPr>
      <w:r>
        <w:rPr>
          <w:b/>
        </w:rPr>
        <w:t>Государству-участнику следует внести поправки в Закон об исполнении наказаний, с тем чтобы мандат и полномочия Комиссии по исполнению н</w:t>
      </w:r>
      <w:r>
        <w:rPr>
          <w:b/>
        </w:rPr>
        <w:t>а</w:t>
      </w:r>
      <w:r>
        <w:rPr>
          <w:b/>
        </w:rPr>
        <w:t>казаний как национального превентивного механизма государства-участника были со всей я</w:t>
      </w:r>
      <w:r>
        <w:rPr>
          <w:b/>
        </w:rPr>
        <w:t>с</w:t>
      </w:r>
      <w:r>
        <w:rPr>
          <w:b/>
        </w:rPr>
        <w:t>ностью оговорены в этом Законе в соответствии со статьями 17-23 Факультативного протокола к Конвенции. В этой связи необходимо уделить внимание пункту 4 статьи 18 Факультативного прот</w:t>
      </w:r>
      <w:r>
        <w:rPr>
          <w:b/>
        </w:rPr>
        <w:t>о</w:t>
      </w:r>
      <w:r>
        <w:rPr>
          <w:b/>
        </w:rPr>
        <w:t>кола, в котором государствам-участникам пре</w:t>
      </w:r>
      <w:r>
        <w:rPr>
          <w:b/>
        </w:rPr>
        <w:t>д</w:t>
      </w:r>
      <w:r>
        <w:rPr>
          <w:b/>
        </w:rPr>
        <w:t>лагается должным образом учитывать Парижские принципы, касающиеся статуса национальных у</w:t>
      </w:r>
      <w:r>
        <w:rPr>
          <w:b/>
        </w:rPr>
        <w:t>ч</w:t>
      </w:r>
      <w:r>
        <w:rPr>
          <w:b/>
        </w:rPr>
        <w:t>реждений по защите и поощрению прав человека, а также на большое зн</w:t>
      </w:r>
      <w:r>
        <w:rPr>
          <w:b/>
        </w:rPr>
        <w:t>а</w:t>
      </w:r>
      <w:r>
        <w:rPr>
          <w:b/>
        </w:rPr>
        <w:t>чение публичного, представительного и транспарентного процесса назн</w:t>
      </w:r>
      <w:r>
        <w:rPr>
          <w:b/>
        </w:rPr>
        <w:t>а</w:t>
      </w:r>
      <w:r>
        <w:rPr>
          <w:b/>
        </w:rPr>
        <w:t>чения ее членов.</w:t>
      </w:r>
    </w:p>
    <w:p w:rsidR="00710422" w:rsidRDefault="00710422" w:rsidP="00CB30D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Невозвращение, права беженцев и просителей убежища</w:t>
      </w:r>
    </w:p>
    <w:p w:rsidR="00710422" w:rsidRPr="00140057" w:rsidRDefault="00710422" w:rsidP="00CB30D2">
      <w:pPr>
        <w:pStyle w:val="SingleTxtGR"/>
      </w:pPr>
      <w:r>
        <w:t>14.</w:t>
      </w:r>
      <w:r>
        <w:tab/>
        <w:t>Комитет принимает к сведению существенное увеличение</w:t>
      </w:r>
      <w:r w:rsidRPr="00CF15CC">
        <w:t xml:space="preserve"> </w:t>
      </w:r>
      <w:r>
        <w:t>в последние годы количества прошений о предоставлении убежища в государстве-участнике, которое возросло в среднем с 66 (2004−2008 годы) до 294 в 2009 г</w:t>
      </w:r>
      <w:r>
        <w:t>о</w:t>
      </w:r>
      <w:r>
        <w:t>ду. Комитет обеспокоен сведениями о том, что просители убежища не всегда располагают возможностью добиться рассмотрения своего ходатайства по его существу. В этой связи Комитет с особой озабоченностью отмечает, что на</w:t>
      </w:r>
      <w:r>
        <w:t>и</w:t>
      </w:r>
      <w:r w:rsidRPr="0060273D">
        <w:t>большая</w:t>
      </w:r>
      <w:r>
        <w:t xml:space="preserve"> часть непринятых к рассмотрению или иным образом</w:t>
      </w:r>
      <w:r w:rsidRPr="0060273D">
        <w:t xml:space="preserve"> </w:t>
      </w:r>
      <w:r>
        <w:t>отклоненных прошений в 2009 году приходилась на два государства, в которых опасность подвергнуться пыткам или другим видам жестокого обращения может считат</w:t>
      </w:r>
      <w:r>
        <w:t>ь</w:t>
      </w:r>
      <w:r>
        <w:t>ся весьма значительной. Комитет также обеспокоен сообщениями о том, что должностные лица оказывают давление на просителей убежища, принуждая их добровольно покинуть государство-участник, в том числе с помощью денежн</w:t>
      </w:r>
      <w:r>
        <w:t>о</w:t>
      </w:r>
      <w:r>
        <w:t>го вознаграждения (ст</w:t>
      </w:r>
      <w:r>
        <w:t>а</w:t>
      </w:r>
      <w:r>
        <w:t>тья 3).</w:t>
      </w:r>
      <w:r w:rsidRPr="00140057">
        <w:t xml:space="preserve"> </w:t>
      </w:r>
    </w:p>
    <w:p w:rsidR="00710422" w:rsidRDefault="00710422" w:rsidP="00CB30D2">
      <w:pPr>
        <w:pStyle w:val="SingleTxtGR"/>
      </w:pPr>
      <w:r>
        <w:t>15.</w:t>
      </w:r>
      <w:r>
        <w:tab/>
        <w:t>Отмечая, что "превентивная высылка" в "безопасную третью страну" з</w:t>
      </w:r>
      <w:r>
        <w:t>а</w:t>
      </w:r>
      <w:r>
        <w:t>висит, среди прочего, от договорного обязательства этого государства рассма</w:t>
      </w:r>
      <w:r>
        <w:t>т</w:t>
      </w:r>
      <w:r>
        <w:t>ривать просьбы о предоставлении убежища с учетом принципа невозвращения, Комитет заявляет о своей обеспокоенности информацией о том, что не всем просителям убежища в Лихтенштейне была предоставлена возможность подать заявление о предоставлении убежища в третьем государстве (обычно в Шве</w:t>
      </w:r>
      <w:r>
        <w:t>й</w:t>
      </w:r>
      <w:r>
        <w:t>царии и Австрии), в результате чего эти люди оставались без достаточных г</w:t>
      </w:r>
      <w:r>
        <w:t>а</w:t>
      </w:r>
      <w:r>
        <w:t>рантий невозвращения. В этой связи Комитет с озабоченностью обращает вн</w:t>
      </w:r>
      <w:r>
        <w:t>и</w:t>
      </w:r>
      <w:r>
        <w:t>мание на крайне непродолжительный период времени (24 часа), в течение кот</w:t>
      </w:r>
      <w:r>
        <w:t>о</w:t>
      </w:r>
      <w:r>
        <w:t>рого просители убежища, которых решено подвергнуть "превентивной высы</w:t>
      </w:r>
      <w:r>
        <w:t>л</w:t>
      </w:r>
      <w:r>
        <w:t>ке", могут подать в компетентные органы ходатайство о приостановлении и</w:t>
      </w:r>
      <w:r>
        <w:t>с</w:t>
      </w:r>
      <w:r>
        <w:t>полнения этого решения (статья 3).</w:t>
      </w:r>
    </w:p>
    <w:p w:rsidR="00710422" w:rsidRPr="00FE7F6C" w:rsidRDefault="00710422" w:rsidP="00CB30D2">
      <w:pPr>
        <w:pStyle w:val="SingleTxtGR"/>
        <w:rPr>
          <w:b/>
        </w:rPr>
      </w:pPr>
      <w:r w:rsidRPr="00FE7F6C">
        <w:rPr>
          <w:b/>
        </w:rPr>
        <w:t>В целях выполнения своих обязательств по статье 3 Конвенции Комитет рекомендует государству-участнику:</w:t>
      </w:r>
    </w:p>
    <w:p w:rsidR="00710422" w:rsidRPr="00FE7F6C" w:rsidRDefault="00710422" w:rsidP="00CB30D2">
      <w:pPr>
        <w:pStyle w:val="SingleTxtGR"/>
        <w:rPr>
          <w:b/>
        </w:rPr>
      </w:pPr>
      <w:r w:rsidRPr="00FE7F6C">
        <w:rPr>
          <w:b/>
        </w:rPr>
        <w:tab/>
        <w:t>а)</w:t>
      </w:r>
      <w:r w:rsidRPr="00FE7F6C">
        <w:rPr>
          <w:b/>
        </w:rPr>
        <w:tab/>
        <w:t xml:space="preserve">обеспечивать обстоятельную оценку и рассмотрение существа всех </w:t>
      </w:r>
      <w:r>
        <w:rPr>
          <w:b/>
        </w:rPr>
        <w:t>прошений</w:t>
      </w:r>
      <w:r w:rsidRPr="00FE7F6C">
        <w:rPr>
          <w:b/>
        </w:rPr>
        <w:t xml:space="preserve"> о предоставлении убежища, в том числе представленных в 2009 году;</w:t>
      </w:r>
    </w:p>
    <w:p w:rsidR="00710422" w:rsidRPr="00FE7F6C" w:rsidRDefault="00710422" w:rsidP="00CB30D2">
      <w:pPr>
        <w:pStyle w:val="SingleTxtGR"/>
        <w:rPr>
          <w:b/>
        </w:rPr>
      </w:pPr>
      <w:r w:rsidRPr="00FE7F6C">
        <w:rPr>
          <w:b/>
        </w:rPr>
        <w:tab/>
      </w:r>
      <w:r w:rsidRPr="00FE7F6C">
        <w:rPr>
          <w:b/>
          <w:lang w:val="en-US"/>
        </w:rPr>
        <w:t>b</w:t>
      </w:r>
      <w:r w:rsidRPr="00FE7F6C">
        <w:rPr>
          <w:b/>
        </w:rPr>
        <w:t>)</w:t>
      </w:r>
      <w:r w:rsidRPr="00FE7F6C">
        <w:rPr>
          <w:b/>
        </w:rPr>
        <w:tab/>
        <w:t>увеличить период времени, в течение которого дожидающиеся "превентивной высылки"</w:t>
      </w:r>
      <w:r>
        <w:rPr>
          <w:b/>
        </w:rPr>
        <w:t xml:space="preserve"> </w:t>
      </w:r>
      <w:r w:rsidRPr="00FE7F6C">
        <w:rPr>
          <w:b/>
        </w:rPr>
        <w:t>просители убе</w:t>
      </w:r>
      <w:r>
        <w:rPr>
          <w:b/>
        </w:rPr>
        <w:t>жища</w:t>
      </w:r>
      <w:r w:rsidRPr="00FE7F6C">
        <w:rPr>
          <w:b/>
        </w:rPr>
        <w:t xml:space="preserve"> могут </w:t>
      </w:r>
      <w:r>
        <w:rPr>
          <w:b/>
        </w:rPr>
        <w:t>ходатайствовать</w:t>
      </w:r>
      <w:r w:rsidRPr="00FE7F6C">
        <w:rPr>
          <w:b/>
        </w:rPr>
        <w:t xml:space="preserve"> о приостановлении исполнения решения о высылке, </w:t>
      </w:r>
      <w:r>
        <w:rPr>
          <w:b/>
        </w:rPr>
        <w:t>а</w:t>
      </w:r>
      <w:r w:rsidRPr="00FE7F6C">
        <w:rPr>
          <w:b/>
        </w:rPr>
        <w:t xml:space="preserve"> также гарантир</w:t>
      </w:r>
      <w:r>
        <w:rPr>
          <w:b/>
        </w:rPr>
        <w:t>овать</w:t>
      </w:r>
      <w:r w:rsidRPr="00FE7F6C">
        <w:rPr>
          <w:b/>
        </w:rPr>
        <w:t xml:space="preserve"> их право на надлежащее заслушание в административном суде в </w:t>
      </w:r>
      <w:r>
        <w:rPr>
          <w:b/>
        </w:rPr>
        <w:t>случаях</w:t>
      </w:r>
      <w:r w:rsidRPr="00FE7F6C">
        <w:rPr>
          <w:b/>
        </w:rPr>
        <w:t xml:space="preserve"> обжаловани</w:t>
      </w:r>
      <w:r>
        <w:rPr>
          <w:b/>
        </w:rPr>
        <w:t>я</w:t>
      </w:r>
      <w:r w:rsidRPr="00FE7F6C">
        <w:rPr>
          <w:b/>
        </w:rPr>
        <w:t xml:space="preserve"> решени</w:t>
      </w:r>
      <w:r>
        <w:rPr>
          <w:b/>
        </w:rPr>
        <w:t>й</w:t>
      </w:r>
      <w:r w:rsidRPr="00FE7F6C">
        <w:rPr>
          <w:b/>
        </w:rPr>
        <w:t xml:space="preserve"> об отказе в просьбах о приостановлении исполн</w:t>
      </w:r>
      <w:r w:rsidRPr="00FE7F6C">
        <w:rPr>
          <w:b/>
        </w:rPr>
        <w:t>е</w:t>
      </w:r>
      <w:r w:rsidRPr="00FE7F6C">
        <w:rPr>
          <w:b/>
        </w:rPr>
        <w:t xml:space="preserve">ния </w:t>
      </w:r>
      <w:r>
        <w:rPr>
          <w:b/>
        </w:rPr>
        <w:t>постановлений о высылке, с тем чтобы</w:t>
      </w:r>
      <w:r w:rsidRPr="00FE7F6C">
        <w:rPr>
          <w:b/>
        </w:rPr>
        <w:t xml:space="preserve"> </w:t>
      </w:r>
      <w:r>
        <w:rPr>
          <w:b/>
        </w:rPr>
        <w:t>лица</w:t>
      </w:r>
      <w:r w:rsidRPr="00FE7F6C">
        <w:rPr>
          <w:b/>
        </w:rPr>
        <w:t>, возвращаемые в "безопасные третьи страны" в соответствии с процедурой "превентивной высылки", име</w:t>
      </w:r>
      <w:r>
        <w:rPr>
          <w:b/>
        </w:rPr>
        <w:t>ли</w:t>
      </w:r>
      <w:r w:rsidRPr="00FE7F6C">
        <w:rPr>
          <w:b/>
        </w:rPr>
        <w:t xml:space="preserve"> гарантии доступа к процедурам предоставления убежища в этих г</w:t>
      </w:r>
      <w:r w:rsidRPr="00FE7F6C">
        <w:rPr>
          <w:b/>
        </w:rPr>
        <w:t>о</w:t>
      </w:r>
      <w:r w:rsidRPr="00FE7F6C">
        <w:rPr>
          <w:b/>
        </w:rPr>
        <w:t>сударствах;</w:t>
      </w:r>
    </w:p>
    <w:p w:rsidR="00710422" w:rsidRPr="00FE7F6C" w:rsidRDefault="00710422" w:rsidP="00CB30D2">
      <w:pPr>
        <w:pStyle w:val="SingleTxtGR"/>
        <w:rPr>
          <w:b/>
        </w:rPr>
      </w:pPr>
      <w:r w:rsidRPr="00FE7F6C">
        <w:rPr>
          <w:b/>
        </w:rPr>
        <w:tab/>
        <w:t>с)</w:t>
      </w:r>
      <w:r w:rsidRPr="00FE7F6C">
        <w:rPr>
          <w:b/>
        </w:rPr>
        <w:tab/>
      </w:r>
      <w:r>
        <w:rPr>
          <w:b/>
        </w:rPr>
        <w:t>расследовать утверждения о выплате государственными сл</w:t>
      </w:r>
      <w:r>
        <w:rPr>
          <w:b/>
        </w:rPr>
        <w:t>у</w:t>
      </w:r>
      <w:r>
        <w:rPr>
          <w:b/>
        </w:rPr>
        <w:t>жащими денежных средств просителям убежища с намерением убедить их покинуть государство-участник во избежание необходимости проведения обстоятельной оценки соответствующего прошения о предоставлении уб</w:t>
      </w:r>
      <w:r>
        <w:rPr>
          <w:b/>
        </w:rPr>
        <w:t>е</w:t>
      </w:r>
      <w:r>
        <w:rPr>
          <w:b/>
        </w:rPr>
        <w:t>жища</w:t>
      </w:r>
      <w:r w:rsidRPr="00FE7F6C">
        <w:rPr>
          <w:b/>
        </w:rPr>
        <w:t>;</w:t>
      </w:r>
    </w:p>
    <w:p w:rsidR="00710422" w:rsidRPr="00FE7F6C" w:rsidRDefault="00710422" w:rsidP="00CB30D2">
      <w:pPr>
        <w:pStyle w:val="SingleTxtGR"/>
        <w:rPr>
          <w:b/>
        </w:rPr>
      </w:pPr>
      <w:r w:rsidRPr="00FE7F6C">
        <w:rPr>
          <w:b/>
        </w:rPr>
        <w:tab/>
      </w:r>
      <w:r w:rsidRPr="00FE7F6C">
        <w:rPr>
          <w:b/>
          <w:lang w:val="en-US"/>
        </w:rPr>
        <w:t>d</w:t>
      </w:r>
      <w:r w:rsidRPr="00FE7F6C">
        <w:rPr>
          <w:b/>
        </w:rPr>
        <w:t>)</w:t>
      </w:r>
      <w:r w:rsidRPr="00FE7F6C">
        <w:rPr>
          <w:b/>
        </w:rPr>
        <w:tab/>
        <w:t>создать эффективную систему сбора данных, позволяющую о</w:t>
      </w:r>
      <w:r w:rsidRPr="00FE7F6C">
        <w:rPr>
          <w:b/>
        </w:rPr>
        <w:t>п</w:t>
      </w:r>
      <w:r w:rsidRPr="00FE7F6C">
        <w:rPr>
          <w:b/>
        </w:rPr>
        <w:t xml:space="preserve">ределять: </w:t>
      </w:r>
      <w:proofErr w:type="spellStart"/>
      <w:r>
        <w:rPr>
          <w:b/>
          <w:lang w:val="en-US"/>
        </w:rPr>
        <w:t>i</w:t>
      </w:r>
      <w:proofErr w:type="spellEnd"/>
      <w:r w:rsidRPr="00FE7F6C">
        <w:rPr>
          <w:b/>
        </w:rPr>
        <w:t>) </w:t>
      </w:r>
      <w:r>
        <w:rPr>
          <w:b/>
        </w:rPr>
        <w:t>основания</w:t>
      </w:r>
      <w:r w:rsidRPr="00FE7F6C">
        <w:rPr>
          <w:b/>
        </w:rPr>
        <w:t xml:space="preserve"> </w:t>
      </w:r>
      <w:r>
        <w:rPr>
          <w:b/>
        </w:rPr>
        <w:t>прошений</w:t>
      </w:r>
      <w:r w:rsidRPr="00FE7F6C">
        <w:rPr>
          <w:b/>
        </w:rPr>
        <w:t xml:space="preserve"> о предоставлении убежища, </w:t>
      </w:r>
      <w:r>
        <w:rPr>
          <w:b/>
        </w:rPr>
        <w:t>в том числе</w:t>
      </w:r>
      <w:r w:rsidRPr="00FE7F6C">
        <w:rPr>
          <w:b/>
        </w:rPr>
        <w:t xml:space="preserve"> поданны</w:t>
      </w:r>
      <w:r>
        <w:rPr>
          <w:b/>
        </w:rPr>
        <w:t>х</w:t>
      </w:r>
      <w:r w:rsidRPr="00FE7F6C">
        <w:rPr>
          <w:b/>
        </w:rPr>
        <w:t xml:space="preserve"> из боязни заявителя быть подвергнутым пыткам или другим </w:t>
      </w:r>
      <w:r>
        <w:rPr>
          <w:b/>
        </w:rPr>
        <w:t>в</w:t>
      </w:r>
      <w:r>
        <w:rPr>
          <w:b/>
        </w:rPr>
        <w:t>и</w:t>
      </w:r>
      <w:r>
        <w:rPr>
          <w:b/>
        </w:rPr>
        <w:t>дам жестокого</w:t>
      </w:r>
      <w:r w:rsidRPr="00FE7F6C">
        <w:rPr>
          <w:b/>
        </w:rPr>
        <w:t xml:space="preserve"> обращения, и количество удовлетворенных </w:t>
      </w:r>
      <w:r>
        <w:rPr>
          <w:b/>
        </w:rPr>
        <w:t>прошений</w:t>
      </w:r>
      <w:r w:rsidRPr="00FE7F6C">
        <w:rPr>
          <w:b/>
        </w:rPr>
        <w:t xml:space="preserve"> по таким </w:t>
      </w:r>
      <w:r>
        <w:rPr>
          <w:b/>
        </w:rPr>
        <w:t>случаям</w:t>
      </w:r>
      <w:r w:rsidRPr="00FE7F6C">
        <w:rPr>
          <w:b/>
        </w:rPr>
        <w:t xml:space="preserve">; </w:t>
      </w:r>
      <w:r w:rsidRPr="00FE7F6C">
        <w:rPr>
          <w:b/>
          <w:lang w:val="en-US"/>
        </w:rPr>
        <w:t>ii</w:t>
      </w:r>
      <w:r w:rsidRPr="00FE7F6C">
        <w:rPr>
          <w:b/>
        </w:rPr>
        <w:t>) </w:t>
      </w:r>
      <w:r>
        <w:rPr>
          <w:b/>
        </w:rPr>
        <w:t>количество</w:t>
      </w:r>
      <w:r w:rsidRPr="00FE7F6C">
        <w:rPr>
          <w:b/>
        </w:rPr>
        <w:t xml:space="preserve"> и результаты обжалований </w:t>
      </w:r>
      <w:r>
        <w:rPr>
          <w:b/>
        </w:rPr>
        <w:t xml:space="preserve">на </w:t>
      </w:r>
      <w:r w:rsidRPr="00FE7F6C">
        <w:rPr>
          <w:b/>
        </w:rPr>
        <w:t>решени</w:t>
      </w:r>
      <w:r>
        <w:rPr>
          <w:b/>
        </w:rPr>
        <w:t>я</w:t>
      </w:r>
      <w:r w:rsidRPr="00FE7F6C">
        <w:rPr>
          <w:b/>
        </w:rPr>
        <w:t xml:space="preserve"> об отказе в </w:t>
      </w:r>
      <w:r>
        <w:rPr>
          <w:b/>
        </w:rPr>
        <w:t>прошениях</w:t>
      </w:r>
      <w:r w:rsidRPr="00FE7F6C">
        <w:rPr>
          <w:b/>
        </w:rPr>
        <w:t xml:space="preserve">; и </w:t>
      </w:r>
      <w:r w:rsidRPr="00FE7F6C">
        <w:rPr>
          <w:b/>
          <w:lang w:val="en-US"/>
        </w:rPr>
        <w:t>iii</w:t>
      </w:r>
      <w:r w:rsidRPr="00FE7F6C">
        <w:rPr>
          <w:b/>
        </w:rPr>
        <w:t>)</w:t>
      </w:r>
      <w:r w:rsidRPr="00FE7F6C">
        <w:rPr>
          <w:b/>
          <w:lang w:val="en-US"/>
        </w:rPr>
        <w:t> </w:t>
      </w:r>
      <w:r w:rsidRPr="00FE7F6C">
        <w:rPr>
          <w:b/>
        </w:rPr>
        <w:t>количество удовлетворенных</w:t>
      </w:r>
      <w:r>
        <w:rPr>
          <w:b/>
        </w:rPr>
        <w:t xml:space="preserve"> на основе Конве</w:t>
      </w:r>
      <w:r>
        <w:rPr>
          <w:b/>
        </w:rPr>
        <w:t>н</w:t>
      </w:r>
      <w:r>
        <w:rPr>
          <w:b/>
        </w:rPr>
        <w:t>ции прошений о предоставлении убежища и о выдаче разрешения на п</w:t>
      </w:r>
      <w:r>
        <w:rPr>
          <w:b/>
        </w:rPr>
        <w:t>о</w:t>
      </w:r>
      <w:r>
        <w:rPr>
          <w:b/>
        </w:rPr>
        <w:t>стоянное проживание</w:t>
      </w:r>
      <w:r w:rsidRPr="00FE7F6C">
        <w:rPr>
          <w:b/>
        </w:rPr>
        <w:t>.</w:t>
      </w:r>
    </w:p>
    <w:p w:rsidR="00710422" w:rsidRDefault="00710422" w:rsidP="00CB30D2">
      <w:pPr>
        <w:pStyle w:val="SingleTxtGR"/>
      </w:pPr>
      <w:r w:rsidRPr="00CA0813">
        <w:t>16</w:t>
      </w:r>
      <w:r>
        <w:t>.</w:t>
      </w:r>
      <w:r>
        <w:tab/>
        <w:t>Принимая к сведению информацию государства-участника о том, что просители убежища подвергаются временному задержанию на период рассмо</w:t>
      </w:r>
      <w:r>
        <w:t>т</w:t>
      </w:r>
      <w:r>
        <w:t>рения их дел о высылке, если в какой-либо иной стране при рассмотрении п</w:t>
      </w:r>
      <w:r>
        <w:t>о</w:t>
      </w:r>
      <w:r>
        <w:t>добных дел</w:t>
      </w:r>
      <w:r w:rsidRPr="00627CBC">
        <w:t xml:space="preserve"> </w:t>
      </w:r>
      <w:r>
        <w:t>они скрывались от правосудия и/или если они выдают себя за др</w:t>
      </w:r>
      <w:r>
        <w:t>у</w:t>
      </w:r>
      <w:r>
        <w:t>гих лиц, Комитет выражает обеспокоенность по поводу сведений о том, что просители убежища содержатся под арестом исключительно по причине их н</w:t>
      </w:r>
      <w:r>
        <w:t>е</w:t>
      </w:r>
      <w:r>
        <w:t>законного въезда в государство-участник. С удовлетворением отмечая сведения о том, что государство-участник бесплатно обеспечивает помощь адвоката пр</w:t>
      </w:r>
      <w:r>
        <w:t>о</w:t>
      </w:r>
      <w:r>
        <w:t>сителям убежища, подвергаемым административному задержанию, Комитет выражает обеспокоенность в связи с поступающими данными о том, что у пр</w:t>
      </w:r>
      <w:r>
        <w:t>о</w:t>
      </w:r>
      <w:r>
        <w:t>сителей убежища возникали трудности с установлением контактов с адвокатом и с получением юридич</w:t>
      </w:r>
      <w:r>
        <w:t>е</w:t>
      </w:r>
      <w:r>
        <w:t xml:space="preserve">ской помощи (статьи 3, 11 и 16). </w:t>
      </w:r>
    </w:p>
    <w:p w:rsidR="00710422" w:rsidRPr="006C2F08" w:rsidRDefault="00710422" w:rsidP="00CB30D2">
      <w:pPr>
        <w:pStyle w:val="SingleTxtGR"/>
        <w:rPr>
          <w:b/>
        </w:rPr>
      </w:pPr>
      <w:r w:rsidRPr="006C2F08">
        <w:rPr>
          <w:b/>
        </w:rPr>
        <w:t>Государство-участник должно обеспечивать, чтобы задержание пр</w:t>
      </w:r>
      <w:r w:rsidRPr="006C2F08">
        <w:rPr>
          <w:b/>
        </w:rPr>
        <w:t>о</w:t>
      </w:r>
      <w:r w:rsidRPr="006C2F08">
        <w:rPr>
          <w:b/>
        </w:rPr>
        <w:t>сителей убежища производилось исключительно в качестве крайней меры и на как можно более короткий период времени в соответствии со статьей</w:t>
      </w:r>
      <w:r>
        <w:rPr>
          <w:b/>
        </w:rPr>
        <w:t> </w:t>
      </w:r>
      <w:r w:rsidRPr="006C2F08">
        <w:rPr>
          <w:b/>
        </w:rPr>
        <w:t>31 Ко</w:t>
      </w:r>
      <w:r w:rsidRPr="006C2F08">
        <w:rPr>
          <w:b/>
        </w:rPr>
        <w:t>н</w:t>
      </w:r>
      <w:r w:rsidRPr="006C2F08">
        <w:rPr>
          <w:b/>
        </w:rPr>
        <w:t>венции о статусе беженцев 1951 года и чтобы подвергнутые администр</w:t>
      </w:r>
      <w:r w:rsidRPr="006C2F08">
        <w:rPr>
          <w:b/>
        </w:rPr>
        <w:t>а</w:t>
      </w:r>
      <w:r w:rsidRPr="006C2F08">
        <w:rPr>
          <w:b/>
        </w:rPr>
        <w:t>тивному задержанию просители убежища имели доступ к адвокату и бе</w:t>
      </w:r>
      <w:r w:rsidRPr="006C2F08">
        <w:rPr>
          <w:b/>
        </w:rPr>
        <w:t>с</w:t>
      </w:r>
      <w:r w:rsidRPr="006C2F08">
        <w:rPr>
          <w:b/>
        </w:rPr>
        <w:t>платной юрид</w:t>
      </w:r>
      <w:r w:rsidRPr="006C2F08">
        <w:rPr>
          <w:b/>
        </w:rPr>
        <w:t>и</w:t>
      </w:r>
      <w:r w:rsidRPr="006C2F08">
        <w:rPr>
          <w:b/>
        </w:rPr>
        <w:t>ческой помощи.</w:t>
      </w:r>
    </w:p>
    <w:p w:rsidR="00710422" w:rsidRPr="00140057" w:rsidRDefault="00710422" w:rsidP="00CB30D2">
      <w:pPr>
        <w:pStyle w:val="SingleTxtGR"/>
      </w:pPr>
      <w:r>
        <w:t>17.</w:t>
      </w:r>
      <w:r>
        <w:tab/>
        <w:t>Комитет с обеспокоенностью отмечает, что сроки административного з</w:t>
      </w:r>
      <w:r>
        <w:t>а</w:t>
      </w:r>
      <w:r>
        <w:t>держания с целью подготовки и осуществления депортации могут продлеваться до девяти месяцев и до шести месяцев, когда речь идет о несовершенн</w:t>
      </w:r>
      <w:r>
        <w:t>о</w:t>
      </w:r>
      <w:r>
        <w:t xml:space="preserve">летних в возрасте от 15 до 18 лет (статьи 3, 11 и 16). </w:t>
      </w:r>
    </w:p>
    <w:p w:rsidR="00710422" w:rsidRPr="006C2F08" w:rsidRDefault="00710422" w:rsidP="00CB30D2">
      <w:pPr>
        <w:pStyle w:val="SingleTxtGR"/>
        <w:rPr>
          <w:b/>
        </w:rPr>
      </w:pPr>
      <w:r w:rsidRPr="006C2F08">
        <w:rPr>
          <w:b/>
        </w:rPr>
        <w:t>Государству-участнику следует рассмотреть вопрос о возможном сокращ</w:t>
      </w:r>
      <w:r w:rsidRPr="006C2F08">
        <w:rPr>
          <w:b/>
        </w:rPr>
        <w:t>е</w:t>
      </w:r>
      <w:r w:rsidRPr="006C2F08">
        <w:rPr>
          <w:b/>
        </w:rPr>
        <w:t>нии допустимой продолжительности административного задержания с ц</w:t>
      </w:r>
      <w:r w:rsidRPr="006C2F08">
        <w:rPr>
          <w:b/>
        </w:rPr>
        <w:t>е</w:t>
      </w:r>
      <w:r w:rsidRPr="006C2F08">
        <w:rPr>
          <w:b/>
        </w:rPr>
        <w:t>лью подготовки к депортации, в частности в отношении детей в возрасте до 18 лет. Государству-участнику настоятельно предлагается принять уп</w:t>
      </w:r>
      <w:r w:rsidRPr="006C2F08">
        <w:rPr>
          <w:b/>
        </w:rPr>
        <w:t>о</w:t>
      </w:r>
      <w:r w:rsidRPr="006C2F08">
        <w:rPr>
          <w:b/>
        </w:rPr>
        <w:t>мянутые меры в рамках пересмотра своих законов об убежище и об ин</w:t>
      </w:r>
      <w:r w:rsidRPr="006C2F08">
        <w:rPr>
          <w:b/>
        </w:rPr>
        <w:t>о</w:t>
      </w:r>
      <w:r w:rsidRPr="006C2F08">
        <w:rPr>
          <w:b/>
        </w:rPr>
        <w:t xml:space="preserve">странцах. </w:t>
      </w:r>
    </w:p>
    <w:p w:rsidR="00710422" w:rsidRDefault="00710422" w:rsidP="00CB30D2">
      <w:pPr>
        <w:pStyle w:val="H23GR"/>
      </w:pPr>
      <w:r>
        <w:tab/>
      </w:r>
      <w:r>
        <w:tab/>
        <w:t>Размещение просителей убежища</w:t>
      </w:r>
    </w:p>
    <w:p w:rsidR="00710422" w:rsidRDefault="00710422" w:rsidP="00CB30D2">
      <w:pPr>
        <w:pStyle w:val="SingleTxtGR"/>
      </w:pPr>
      <w:r>
        <w:t>18.</w:t>
      </w:r>
      <w:r>
        <w:tab/>
        <w:t>Комитет выражает озабоченность данными о том, что из-за ограниче</w:t>
      </w:r>
      <w:r>
        <w:t>н</w:t>
      </w:r>
      <w:r>
        <w:t xml:space="preserve">ной пропускной способности (60 человек) </w:t>
      </w:r>
      <w:proofErr w:type="spellStart"/>
      <w:r>
        <w:t>лихтенштейнского</w:t>
      </w:r>
      <w:proofErr w:type="spellEnd"/>
      <w:r>
        <w:t xml:space="preserve"> центра для приема беженцев и резкого увеличения количества просителей убежища в 2009 году, их приходилось размещать в подземных бомбоубежищах/бункерах, не имеющих дневного о</w:t>
      </w:r>
      <w:r>
        <w:t>с</w:t>
      </w:r>
      <w:r>
        <w:t>вещения (статьи 3, 11 и 16).</w:t>
      </w:r>
    </w:p>
    <w:p w:rsidR="00710422" w:rsidRPr="0053043E" w:rsidRDefault="00710422" w:rsidP="00CB30D2">
      <w:pPr>
        <w:pStyle w:val="SingleTxtGR"/>
        <w:rPr>
          <w:b/>
        </w:rPr>
      </w:pPr>
      <w:r w:rsidRPr="0053043E">
        <w:rPr>
          <w:b/>
        </w:rPr>
        <w:t>Государству-участнику надлежит увеличить пропускную способность це</w:t>
      </w:r>
      <w:r w:rsidRPr="0053043E">
        <w:rPr>
          <w:b/>
        </w:rPr>
        <w:t>н</w:t>
      </w:r>
      <w:r w:rsidRPr="0053043E">
        <w:rPr>
          <w:b/>
        </w:rPr>
        <w:t>тра для приема беженцев, в котором просители убежища могли бы пол</w:t>
      </w:r>
      <w:r w:rsidRPr="0053043E">
        <w:rPr>
          <w:b/>
        </w:rPr>
        <w:t>у</w:t>
      </w:r>
      <w:r w:rsidRPr="0053043E">
        <w:rPr>
          <w:b/>
        </w:rPr>
        <w:t>чать медицинскую помощь, изучать иностранные языки, получать прод</w:t>
      </w:r>
      <w:r w:rsidRPr="0053043E">
        <w:rPr>
          <w:b/>
        </w:rPr>
        <w:t>о</w:t>
      </w:r>
      <w:r w:rsidRPr="0053043E">
        <w:rPr>
          <w:b/>
        </w:rPr>
        <w:t>вольственные купоны и деньги на мелкие расходы, а также разработать планы действий на случай возникновения в будущем чрезвычайных с</w:t>
      </w:r>
      <w:r w:rsidRPr="0053043E">
        <w:rPr>
          <w:b/>
        </w:rPr>
        <w:t>и</w:t>
      </w:r>
      <w:r w:rsidRPr="0053043E">
        <w:rPr>
          <w:b/>
        </w:rPr>
        <w:t>туаций с целью обеспечения альтернативных возможностей для размещ</w:t>
      </w:r>
      <w:r w:rsidRPr="0053043E">
        <w:rPr>
          <w:b/>
        </w:rPr>
        <w:t>е</w:t>
      </w:r>
      <w:r w:rsidRPr="0053043E">
        <w:rPr>
          <w:b/>
        </w:rPr>
        <w:t>ния беженцев в условиях уважения их достои</w:t>
      </w:r>
      <w:r w:rsidRPr="0053043E">
        <w:rPr>
          <w:b/>
        </w:rPr>
        <w:t>н</w:t>
      </w:r>
      <w:r>
        <w:rPr>
          <w:b/>
        </w:rPr>
        <w:t>ства и прав.</w:t>
      </w:r>
    </w:p>
    <w:p w:rsidR="00710422" w:rsidRPr="001D0618" w:rsidRDefault="00710422" w:rsidP="00CB30D2">
      <w:pPr>
        <w:pStyle w:val="H23GR"/>
      </w:pPr>
      <w:r>
        <w:tab/>
      </w:r>
      <w:r>
        <w:tab/>
        <w:t>Юрисдикция в отношении актов пытки</w:t>
      </w:r>
    </w:p>
    <w:p w:rsidR="00710422" w:rsidRDefault="00710422" w:rsidP="00CB30D2">
      <w:pPr>
        <w:pStyle w:val="SingleTxtGR"/>
      </w:pPr>
      <w:r>
        <w:t>19.</w:t>
      </w:r>
      <w:r>
        <w:tab/>
        <w:t>Комитет принимает к сведению двусторонний договор между Лихте</w:t>
      </w:r>
      <w:r>
        <w:t>н</w:t>
      </w:r>
      <w:r>
        <w:t>штейном и Австрией о размещении заключенных 1982 года, в соответствии с которым приговоры, предусматривающие тюремное заключение сроком более двух лет, исполняются в Австрии. Комитет также отмечает, что этот договор применяется и к "лицам, совершившим уголовное преступление в состоянии психического расстройства", в отношении которых выданы постановления о применении превентивных мер, и, когда это необходимо, к подросткам в во</w:t>
      </w:r>
      <w:r>
        <w:t>з</w:t>
      </w:r>
      <w:r>
        <w:t>расте до 18 лет. Принимая во внимание, что к таким заключенным применяются австрийские законы, Комитет с обеспок</w:t>
      </w:r>
      <w:r>
        <w:t>о</w:t>
      </w:r>
      <w:r>
        <w:t>енностью отмечает, что двусторонний договор 1982 года не содержит никаких четких гарантий предотвращения пыток и других форм жестокого обращения. Кроме того, Комитет серьезно обеспокоен представленными государством-участником сведениями об отсутствии "проц</w:t>
      </w:r>
      <w:r>
        <w:t>е</w:t>
      </w:r>
      <w:r>
        <w:t>дур или механизмов обесп</w:t>
      </w:r>
      <w:r>
        <w:t>е</w:t>
      </w:r>
      <w:r>
        <w:t>чения прав лиц, находящихся в Австрии в тюремном заключении", в контексте осуществления этого договора. Комитет принимает к сведению информацию о том, что, в принципе, австрийская Комиссия по и</w:t>
      </w:r>
      <w:r>
        <w:t>с</w:t>
      </w:r>
      <w:r>
        <w:t xml:space="preserve">полнению наказаний обладает также юрисдикцией в отношении </w:t>
      </w:r>
      <w:proofErr w:type="spellStart"/>
      <w:r>
        <w:t>лихтенштей</w:t>
      </w:r>
      <w:r>
        <w:t>н</w:t>
      </w:r>
      <w:r>
        <w:t>ских</w:t>
      </w:r>
      <w:proofErr w:type="spellEnd"/>
      <w:r>
        <w:t xml:space="preserve"> заключенных, отбыва</w:t>
      </w:r>
      <w:r>
        <w:t>ю</w:t>
      </w:r>
      <w:r>
        <w:t xml:space="preserve">щих наказание в Австрии (статьи 2, 5, 12, 13 и 14). </w:t>
      </w:r>
    </w:p>
    <w:p w:rsidR="00710422" w:rsidRPr="00797DDF" w:rsidRDefault="00710422" w:rsidP="00CB30D2">
      <w:pPr>
        <w:pStyle w:val="SingleTxtGR"/>
        <w:rPr>
          <w:b/>
        </w:rPr>
      </w:pPr>
      <w:r w:rsidRPr="00797DDF">
        <w:rPr>
          <w:b/>
        </w:rPr>
        <w:t>Комитет рекомендует государству-участнику провести переговоры по пер</w:t>
      </w:r>
      <w:r w:rsidRPr="00797DDF">
        <w:rPr>
          <w:b/>
        </w:rPr>
        <w:t>е</w:t>
      </w:r>
      <w:r w:rsidRPr="00797DDF">
        <w:rPr>
          <w:b/>
        </w:rPr>
        <w:t>смотру Договора о размещении заключенных 1982 года в целях обеспеч</w:t>
      </w:r>
      <w:r w:rsidRPr="00797DDF">
        <w:rPr>
          <w:b/>
        </w:rPr>
        <w:t>е</w:t>
      </w:r>
      <w:r w:rsidRPr="00797DDF">
        <w:rPr>
          <w:b/>
        </w:rPr>
        <w:t>ния прав лишенных свободы лиц в соответствии с Конвенцией на основе наблюдения за ее осуществлением со стороны Комиссии по исполнению наказаний государства-участника или любого иного независимого мех</w:t>
      </w:r>
      <w:r w:rsidRPr="00797DDF">
        <w:rPr>
          <w:b/>
        </w:rPr>
        <w:t>а</w:t>
      </w:r>
      <w:r w:rsidRPr="00797DDF">
        <w:rPr>
          <w:b/>
        </w:rPr>
        <w:t>низма мониторинга. Государству-участнику надлежит также обеспечить, чтобы содержащиеся в заключении в Австрии лица имели право подавать жалобы в независимый орган на случа</w:t>
      </w:r>
      <w:r>
        <w:rPr>
          <w:b/>
        </w:rPr>
        <w:t>и</w:t>
      </w:r>
      <w:r w:rsidRPr="00797DDF">
        <w:rPr>
          <w:b/>
        </w:rPr>
        <w:t xml:space="preserve"> пыток и жестокого обращения со стороны служащих тюремной администрации и имели право на операти</w:t>
      </w:r>
      <w:r w:rsidRPr="00797DDF">
        <w:rPr>
          <w:b/>
        </w:rPr>
        <w:t>в</w:t>
      </w:r>
      <w:r w:rsidRPr="00797DDF">
        <w:rPr>
          <w:b/>
        </w:rPr>
        <w:t>ное и беспристрастное рассмотрение своих жалоб и наказание виновных, а также на получение компенсации в соо</w:t>
      </w:r>
      <w:r w:rsidRPr="00797DDF">
        <w:rPr>
          <w:b/>
        </w:rPr>
        <w:t>т</w:t>
      </w:r>
      <w:r w:rsidRPr="00797DDF">
        <w:rPr>
          <w:b/>
        </w:rPr>
        <w:t>ветствии со статьей 14 Конвенции.</w:t>
      </w:r>
    </w:p>
    <w:p w:rsidR="00710422" w:rsidRDefault="00710422" w:rsidP="00CB30D2">
      <w:pPr>
        <w:pStyle w:val="H23GR"/>
      </w:pPr>
      <w:r>
        <w:tab/>
      </w:r>
      <w:r>
        <w:tab/>
        <w:t>Подготовка кадров и образование</w:t>
      </w:r>
    </w:p>
    <w:p w:rsidR="00710422" w:rsidRPr="00210F45" w:rsidRDefault="00710422" w:rsidP="00CB30D2">
      <w:pPr>
        <w:pStyle w:val="SingleTxtGR"/>
      </w:pPr>
      <w:r>
        <w:t>20.</w:t>
      </w:r>
      <w:r>
        <w:tab/>
        <w:t>С удовлетворением принимая к сведению информацию государства-участника об организации начальной и последующей непрерывной подгото</w:t>
      </w:r>
      <w:r>
        <w:t>в</w:t>
      </w:r>
      <w:r>
        <w:t>ки для служащих тюремной администрации, Комитет отмечает, что, согласно до</w:t>
      </w:r>
      <w:r>
        <w:t>к</w:t>
      </w:r>
      <w:r>
        <w:t>ладу Комиссии по исполнению наказаний, программа подготовки кадров и ку</w:t>
      </w:r>
      <w:r>
        <w:t>р</w:t>
      </w:r>
      <w:r>
        <w:t>сы по вопросам организации надзора для служащих тюремной администр</w:t>
      </w:r>
      <w:r>
        <w:t>а</w:t>
      </w:r>
      <w:r>
        <w:t xml:space="preserve">ции 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Государство-участник должно обеспечить эффективную организацию и обязательное обучение в рамках программ первоначальной и последу</w:t>
      </w:r>
      <w:r w:rsidRPr="007B5761">
        <w:rPr>
          <w:b/>
        </w:rPr>
        <w:t>ю</w:t>
      </w:r>
      <w:r w:rsidRPr="007B5761">
        <w:rPr>
          <w:b/>
        </w:rPr>
        <w:t>щей непрерывной подготовки, а также программ по вопросам организации на</w:t>
      </w:r>
      <w:r w:rsidRPr="007B5761">
        <w:rPr>
          <w:b/>
        </w:rPr>
        <w:t>д</w:t>
      </w:r>
      <w:r w:rsidRPr="007B5761">
        <w:rPr>
          <w:b/>
        </w:rPr>
        <w:t xml:space="preserve">зора для </w:t>
      </w:r>
      <w:r>
        <w:rPr>
          <w:b/>
        </w:rPr>
        <w:t>сотрудников тюремной администрации с целью их</w:t>
      </w:r>
      <w:r w:rsidRPr="007B5761">
        <w:rPr>
          <w:b/>
        </w:rPr>
        <w:t xml:space="preserve"> полно</w:t>
      </w:r>
      <w:r>
        <w:rPr>
          <w:b/>
        </w:rPr>
        <w:t>го</w:t>
      </w:r>
      <w:r w:rsidRPr="007B5761">
        <w:rPr>
          <w:b/>
        </w:rPr>
        <w:t xml:space="preserve"> озн</w:t>
      </w:r>
      <w:r w:rsidRPr="007B5761">
        <w:rPr>
          <w:b/>
        </w:rPr>
        <w:t>а</w:t>
      </w:r>
      <w:r w:rsidRPr="007B5761">
        <w:rPr>
          <w:b/>
        </w:rPr>
        <w:t>комлен</w:t>
      </w:r>
      <w:r>
        <w:rPr>
          <w:b/>
        </w:rPr>
        <w:t>ия</w:t>
      </w:r>
      <w:r w:rsidRPr="007B5761">
        <w:rPr>
          <w:b/>
        </w:rPr>
        <w:t xml:space="preserve"> с правами лишенных свободы лиц.</w:t>
      </w:r>
    </w:p>
    <w:p w:rsidR="000E20FC" w:rsidRPr="00E73976" w:rsidRDefault="000E20FC" w:rsidP="00CB30D2">
      <w:pPr>
        <w:pStyle w:val="SingleTxtGR"/>
      </w:pPr>
      <w:r w:rsidRPr="00E73976">
        <w:t>21.</w:t>
      </w:r>
      <w:r w:rsidRPr="00E73976">
        <w:tab/>
        <w:t xml:space="preserve">Комитет выражает обеспокоенность по поводу отсутствия специальных программ подготовки по проблеме запрета пыток и других </w:t>
      </w:r>
      <w:r>
        <w:t xml:space="preserve">видов жесткого </w:t>
      </w:r>
      <w:r w:rsidRPr="00E73976">
        <w:t>о</w:t>
      </w:r>
      <w:r w:rsidRPr="00E73976">
        <w:t>б</w:t>
      </w:r>
      <w:r w:rsidRPr="00E73976">
        <w:t>ращения для медицинских работников, проход</w:t>
      </w:r>
      <w:r>
        <w:t>ивших</w:t>
      </w:r>
      <w:r w:rsidRPr="00E73976">
        <w:t xml:space="preserve"> профессиональн</w:t>
      </w:r>
      <w:r>
        <w:t>ое</w:t>
      </w:r>
      <w:r w:rsidRPr="00E73976">
        <w:t xml:space="preserve"> </w:t>
      </w:r>
      <w:r>
        <w:t>обуч</w:t>
      </w:r>
      <w:r>
        <w:t>е</w:t>
      </w:r>
      <w:r>
        <w:t>ние</w:t>
      </w:r>
      <w:r w:rsidRPr="00E73976">
        <w:t xml:space="preserve"> за рубежом, из-за чего возникает "определенная </w:t>
      </w:r>
      <w:r>
        <w:t>зависимость от</w:t>
      </w:r>
      <w:r w:rsidRPr="00E73976">
        <w:t xml:space="preserve"> методик</w:t>
      </w:r>
      <w:r>
        <w:t>и составления учебных программ для</w:t>
      </w:r>
      <w:r w:rsidRPr="00E73976">
        <w:t xml:space="preserve"> медиков в зарубежных странах". Комитет также отмечает, что не располагает сведениями об организации в государс</w:t>
      </w:r>
      <w:r w:rsidRPr="00E73976">
        <w:t>т</w:t>
      </w:r>
      <w:r w:rsidRPr="00E73976">
        <w:t xml:space="preserve">ве-участнике профессиональной подготовки для сотрудников судебных органов и прокуратуры по вопросам Конвенции и </w:t>
      </w:r>
      <w:r>
        <w:t>"Р</w:t>
      </w:r>
      <w:r w:rsidRPr="00E73976">
        <w:t>уководства по эффективному рассл</w:t>
      </w:r>
      <w:r w:rsidRPr="00E73976">
        <w:t>е</w:t>
      </w:r>
      <w:r w:rsidRPr="00E73976">
        <w:t>дованию и документированию пыток и других жестоких, бесчеловечных или унижающих достоинство видов обращения и наказания</w:t>
      </w:r>
      <w:r>
        <w:t>"</w:t>
      </w:r>
      <w:r w:rsidRPr="00E73976">
        <w:t xml:space="preserve"> (Стамбульский прот</w:t>
      </w:r>
      <w:r w:rsidRPr="00E73976">
        <w:t>о</w:t>
      </w:r>
      <w:r w:rsidRPr="00E73976">
        <w:t>кол) (статья 10).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 xml:space="preserve">Государство-участник должно принять меры к </w:t>
      </w:r>
      <w:r>
        <w:rPr>
          <w:b/>
        </w:rPr>
        <w:t xml:space="preserve">тому, чтобы весь </w:t>
      </w:r>
      <w:r w:rsidRPr="007B5761">
        <w:rPr>
          <w:b/>
        </w:rPr>
        <w:t>медици</w:t>
      </w:r>
      <w:r w:rsidRPr="007B5761">
        <w:rPr>
          <w:b/>
        </w:rPr>
        <w:t>н</w:t>
      </w:r>
      <w:r w:rsidRPr="007B5761">
        <w:rPr>
          <w:b/>
        </w:rPr>
        <w:t>ск</w:t>
      </w:r>
      <w:r>
        <w:rPr>
          <w:b/>
        </w:rPr>
        <w:t>ий</w:t>
      </w:r>
      <w:r w:rsidRPr="007B5761">
        <w:rPr>
          <w:b/>
        </w:rPr>
        <w:t xml:space="preserve"> персонал</w:t>
      </w:r>
      <w:r>
        <w:rPr>
          <w:b/>
        </w:rPr>
        <w:t>, работающий</w:t>
      </w:r>
      <w:r w:rsidRPr="007B5761">
        <w:rPr>
          <w:b/>
        </w:rPr>
        <w:t xml:space="preserve"> с лишенными свободы лицами, </w:t>
      </w:r>
      <w:r>
        <w:rPr>
          <w:b/>
        </w:rPr>
        <w:t>в допо</w:t>
      </w:r>
      <w:r>
        <w:rPr>
          <w:b/>
        </w:rPr>
        <w:t>л</w:t>
      </w:r>
      <w:r>
        <w:rPr>
          <w:b/>
        </w:rPr>
        <w:t>нение к</w:t>
      </w:r>
      <w:r w:rsidRPr="007B5761">
        <w:rPr>
          <w:b/>
        </w:rPr>
        <w:t xml:space="preserve"> полученн</w:t>
      </w:r>
      <w:r>
        <w:rPr>
          <w:b/>
        </w:rPr>
        <w:t>ому</w:t>
      </w:r>
      <w:r w:rsidRPr="007B5761">
        <w:rPr>
          <w:b/>
        </w:rPr>
        <w:t xml:space="preserve"> за рубежом образовани</w:t>
      </w:r>
      <w:r>
        <w:rPr>
          <w:b/>
        </w:rPr>
        <w:t>ю, проходил подготовку</w:t>
      </w:r>
      <w:r w:rsidRPr="007B5761">
        <w:rPr>
          <w:b/>
        </w:rPr>
        <w:t xml:space="preserve"> по в</w:t>
      </w:r>
      <w:r w:rsidRPr="007B5761">
        <w:rPr>
          <w:b/>
        </w:rPr>
        <w:t>о</w:t>
      </w:r>
      <w:r w:rsidRPr="007B5761">
        <w:rPr>
          <w:b/>
        </w:rPr>
        <w:t>просам запрещения и предупреждения пыток. Комитет рекомендует пред</w:t>
      </w:r>
      <w:r w:rsidRPr="007B5761">
        <w:rPr>
          <w:b/>
        </w:rPr>
        <w:t>у</w:t>
      </w:r>
      <w:r w:rsidRPr="007B5761">
        <w:rPr>
          <w:b/>
        </w:rPr>
        <w:t xml:space="preserve">смотреть ознакомление с </w:t>
      </w:r>
      <w:r>
        <w:rPr>
          <w:b/>
        </w:rPr>
        <w:t>"Р</w:t>
      </w:r>
      <w:r w:rsidRPr="007B5761">
        <w:rPr>
          <w:b/>
        </w:rPr>
        <w:t>уководством по эффективному расследованию и док</w:t>
      </w:r>
      <w:r w:rsidRPr="007B5761">
        <w:rPr>
          <w:b/>
        </w:rPr>
        <w:t>у</w:t>
      </w:r>
      <w:r w:rsidRPr="007B5761">
        <w:rPr>
          <w:b/>
        </w:rPr>
        <w:t xml:space="preserve">ментированию </w:t>
      </w:r>
      <w:r>
        <w:rPr>
          <w:b/>
        </w:rPr>
        <w:t xml:space="preserve">пыток </w:t>
      </w:r>
      <w:r w:rsidRPr="007B5761">
        <w:rPr>
          <w:b/>
        </w:rPr>
        <w:t>и других жестоких, бесчеловечных или унижающих достоинство видов обращения и наказания</w:t>
      </w:r>
      <w:r>
        <w:rPr>
          <w:b/>
        </w:rPr>
        <w:t>"</w:t>
      </w:r>
      <w:r w:rsidRPr="007B5761">
        <w:rPr>
          <w:b/>
        </w:rPr>
        <w:t xml:space="preserve"> ("Стамбульский пр</w:t>
      </w:r>
      <w:r w:rsidRPr="007B5761">
        <w:rPr>
          <w:b/>
        </w:rPr>
        <w:t>о</w:t>
      </w:r>
      <w:r w:rsidRPr="007B5761">
        <w:rPr>
          <w:b/>
        </w:rPr>
        <w:t xml:space="preserve">токол") в </w:t>
      </w:r>
      <w:r>
        <w:rPr>
          <w:b/>
        </w:rPr>
        <w:t xml:space="preserve">рамках упомянутых </w:t>
      </w:r>
      <w:r w:rsidRPr="007B5761">
        <w:rPr>
          <w:b/>
        </w:rPr>
        <w:t>программ подготовки кадров и курс</w:t>
      </w:r>
      <w:r>
        <w:rPr>
          <w:b/>
        </w:rPr>
        <w:t>ов</w:t>
      </w:r>
      <w:r w:rsidRPr="007B5761">
        <w:rPr>
          <w:b/>
        </w:rPr>
        <w:t xml:space="preserve"> </w:t>
      </w:r>
      <w:r>
        <w:rPr>
          <w:b/>
        </w:rPr>
        <w:t>для</w:t>
      </w:r>
      <w:r w:rsidRPr="007B5761">
        <w:rPr>
          <w:b/>
        </w:rPr>
        <w:t xml:space="preserve"> сотрудн</w:t>
      </w:r>
      <w:r w:rsidRPr="007B5761">
        <w:rPr>
          <w:b/>
        </w:rPr>
        <w:t>и</w:t>
      </w:r>
      <w:r w:rsidRPr="007B5761">
        <w:rPr>
          <w:b/>
        </w:rPr>
        <w:t xml:space="preserve">ков, </w:t>
      </w:r>
      <w:r>
        <w:rPr>
          <w:b/>
        </w:rPr>
        <w:t>занимающихся</w:t>
      </w:r>
      <w:r w:rsidRPr="007B5761">
        <w:rPr>
          <w:b/>
        </w:rPr>
        <w:t xml:space="preserve"> расследовани</w:t>
      </w:r>
      <w:r>
        <w:rPr>
          <w:b/>
        </w:rPr>
        <w:t>ем</w:t>
      </w:r>
      <w:r w:rsidRPr="007B5761">
        <w:rPr>
          <w:b/>
        </w:rPr>
        <w:t xml:space="preserve"> случаев пыток, в частности </w:t>
      </w:r>
      <w:r>
        <w:rPr>
          <w:b/>
        </w:rPr>
        <w:t xml:space="preserve">для </w:t>
      </w:r>
      <w:r w:rsidRPr="007B5761">
        <w:rPr>
          <w:b/>
        </w:rPr>
        <w:t xml:space="preserve">судей и прокуроров, наряду с </w:t>
      </w:r>
      <w:r>
        <w:rPr>
          <w:b/>
        </w:rPr>
        <w:t>их</w:t>
      </w:r>
      <w:r w:rsidRPr="007B5761">
        <w:rPr>
          <w:b/>
        </w:rPr>
        <w:t xml:space="preserve"> подготовкой по вопросам применения Конве</w:t>
      </w:r>
      <w:r w:rsidRPr="007B5761">
        <w:rPr>
          <w:b/>
        </w:rPr>
        <w:t>н</w:t>
      </w:r>
      <w:r w:rsidRPr="007B5761">
        <w:rPr>
          <w:b/>
        </w:rPr>
        <w:t>ции против пыток. При этом следует периодически проводить ан</w:t>
      </w:r>
      <w:r w:rsidRPr="007B5761">
        <w:rPr>
          <w:b/>
        </w:rPr>
        <w:t>а</w:t>
      </w:r>
      <w:r w:rsidRPr="007B5761">
        <w:rPr>
          <w:b/>
        </w:rPr>
        <w:t xml:space="preserve">лиз и оценку этих программ. </w:t>
      </w:r>
    </w:p>
    <w:p w:rsidR="000E20FC" w:rsidRPr="007B5761" w:rsidRDefault="000E20FC" w:rsidP="00CB30D2">
      <w:pPr>
        <w:pStyle w:val="H23GR"/>
      </w:pPr>
      <w:r>
        <w:tab/>
      </w:r>
      <w:r>
        <w:tab/>
      </w:r>
      <w:r w:rsidRPr="007B5761">
        <w:t>Условия содержания под стражей</w:t>
      </w:r>
    </w:p>
    <w:p w:rsidR="000E20FC" w:rsidRPr="00E73976" w:rsidRDefault="000E20FC" w:rsidP="00CB30D2">
      <w:pPr>
        <w:pStyle w:val="SingleTxtGR"/>
      </w:pPr>
      <w:r w:rsidRPr="00E73976">
        <w:t>22.</w:t>
      </w:r>
      <w:r w:rsidRPr="00E73976">
        <w:tab/>
        <w:t xml:space="preserve">Комитет отмечает, что в национальной тюрьме в </w:t>
      </w:r>
      <w:proofErr w:type="spellStart"/>
      <w:r w:rsidRPr="00E73976">
        <w:t>Вадуце</w:t>
      </w:r>
      <w:proofErr w:type="spellEnd"/>
      <w:r w:rsidRPr="00E73976">
        <w:t xml:space="preserve"> ощущается </w:t>
      </w:r>
      <w:r>
        <w:t>н</w:t>
      </w:r>
      <w:r>
        <w:t>е</w:t>
      </w:r>
      <w:r>
        <w:t>достаток</w:t>
      </w:r>
      <w:r w:rsidRPr="00E73976">
        <w:t xml:space="preserve"> помещений и персонала. В частности, Комитет с обеспокоенностью отмечает, что из-за трудностей с помещениями и нехваткой кадров сотрудники полиции иногда забирают заключенных из тюрьмы для допроса</w:t>
      </w:r>
      <w:r>
        <w:t xml:space="preserve">, на котором не </w:t>
      </w:r>
      <w:r w:rsidRPr="00E73976">
        <w:t>присутств</w:t>
      </w:r>
      <w:r>
        <w:t>ует</w:t>
      </w:r>
      <w:r w:rsidRPr="00E73976">
        <w:t xml:space="preserve"> сотрудник исправительного учреждения, что противоречит дейс</w:t>
      </w:r>
      <w:r w:rsidRPr="00E73976">
        <w:t>т</w:t>
      </w:r>
      <w:r w:rsidRPr="00E73976">
        <w:t>вующему внутреннему законодательству (статья 89 Закона об исполнении нак</w:t>
      </w:r>
      <w:r w:rsidRPr="00E73976">
        <w:t>а</w:t>
      </w:r>
      <w:r w:rsidRPr="00E73976">
        <w:t xml:space="preserve">заний). Комитет также озабочен тем, что в национальной тюрьме содержатся различные категории </w:t>
      </w:r>
      <w:r>
        <w:t>заключенных, включая осужденных</w:t>
      </w:r>
      <w:r w:rsidRPr="00E73976">
        <w:t>, заключенных, дела которых возвращены на доследование, временно задержанных лиц, ож</w:t>
      </w:r>
      <w:r w:rsidRPr="00E73976">
        <w:t>и</w:t>
      </w:r>
      <w:r w:rsidRPr="00E73976">
        <w:t>дающих депортации, и несовершеннолетних. Принимая к сведению информацию о м</w:t>
      </w:r>
      <w:r w:rsidRPr="00E73976">
        <w:t>е</w:t>
      </w:r>
      <w:r w:rsidRPr="00E73976">
        <w:t>рах по организации раздельного содержания мужчин и женщин, а также нес</w:t>
      </w:r>
      <w:r w:rsidRPr="00E73976">
        <w:t>о</w:t>
      </w:r>
      <w:r w:rsidRPr="00E73976">
        <w:t>вершеннолетних и взрослых</w:t>
      </w:r>
      <w:r>
        <w:t xml:space="preserve"> заключенных, Комитет,</w:t>
      </w:r>
      <w:r w:rsidRPr="00E73976">
        <w:t xml:space="preserve"> тем не менее</w:t>
      </w:r>
      <w:r>
        <w:t>,</w:t>
      </w:r>
      <w:r w:rsidRPr="00E73976">
        <w:t xml:space="preserve"> обеспокоен тем, что раздельное содержание подследственных, временно </w:t>
      </w:r>
      <w:r>
        <w:t>задерживаемых</w:t>
      </w:r>
      <w:r w:rsidRPr="00E73976">
        <w:t xml:space="preserve"> под стражу до высылки и осужденных заключенных</w:t>
      </w:r>
      <w:r w:rsidR="00A03ABA">
        <w:t>,</w:t>
      </w:r>
      <w:r>
        <w:t xml:space="preserve"> удается обеспечить далеко не всегда</w:t>
      </w:r>
      <w:r w:rsidRPr="00E73976">
        <w:t>. В этой связи Комитет с сожалением отмечает прекращение</w:t>
      </w:r>
      <w:r>
        <w:t xml:space="preserve"> </w:t>
      </w:r>
      <w:r w:rsidRPr="00E73976">
        <w:t>в резул</w:t>
      </w:r>
      <w:r w:rsidRPr="00E73976">
        <w:t>ь</w:t>
      </w:r>
      <w:r w:rsidRPr="00E73976">
        <w:t xml:space="preserve">тате референдума начатого в 2002 году проекта по улучшению </w:t>
      </w:r>
      <w:r>
        <w:t>системы</w:t>
      </w:r>
      <w:r w:rsidRPr="00E73976">
        <w:t xml:space="preserve"> ра</w:t>
      </w:r>
      <w:r w:rsidRPr="00E73976">
        <w:t>з</w:t>
      </w:r>
      <w:r w:rsidRPr="00E73976">
        <w:t xml:space="preserve">дельного содержания заключенных и инфраструктуры национальной тюрьмы в </w:t>
      </w:r>
      <w:proofErr w:type="spellStart"/>
      <w:r w:rsidRPr="00E73976">
        <w:t>В</w:t>
      </w:r>
      <w:r w:rsidRPr="00E73976">
        <w:t>а</w:t>
      </w:r>
      <w:r w:rsidRPr="00E73976">
        <w:t>дуце</w:t>
      </w:r>
      <w:proofErr w:type="spellEnd"/>
      <w:r w:rsidRPr="00E73976">
        <w:t xml:space="preserve"> (статьи 11 и 16).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Государство-участник должно про</w:t>
      </w:r>
      <w:r>
        <w:rPr>
          <w:b/>
        </w:rPr>
        <w:t>из</w:t>
      </w:r>
      <w:r w:rsidRPr="007B5761">
        <w:rPr>
          <w:b/>
        </w:rPr>
        <w:t xml:space="preserve">вести оценку условий содержания в национальной тюрьме в </w:t>
      </w:r>
      <w:proofErr w:type="spellStart"/>
      <w:r w:rsidRPr="007B5761">
        <w:rPr>
          <w:b/>
        </w:rPr>
        <w:t>Вадуце</w:t>
      </w:r>
      <w:proofErr w:type="spellEnd"/>
      <w:r w:rsidRPr="007B5761">
        <w:rPr>
          <w:b/>
        </w:rPr>
        <w:t xml:space="preserve"> с целью обеспечения необходимого </w:t>
      </w:r>
      <w:r>
        <w:rPr>
          <w:b/>
        </w:rPr>
        <w:t>перс</w:t>
      </w:r>
      <w:r>
        <w:rPr>
          <w:b/>
        </w:rPr>
        <w:t>о</w:t>
      </w:r>
      <w:r>
        <w:rPr>
          <w:b/>
        </w:rPr>
        <w:t>нала</w:t>
      </w:r>
      <w:r w:rsidRPr="007B5761">
        <w:rPr>
          <w:b/>
        </w:rPr>
        <w:t xml:space="preserve"> и помещений согласно соответствующим международным нормам в области прав человека. Должны быть также приняты безотлагательные меры к тому, чтобы допросы заключенных производились полицией тол</w:t>
      </w:r>
      <w:r w:rsidRPr="007B5761">
        <w:rPr>
          <w:b/>
        </w:rPr>
        <w:t>ь</w:t>
      </w:r>
      <w:r w:rsidRPr="007B5761">
        <w:rPr>
          <w:b/>
        </w:rPr>
        <w:t>ко в присутствии сотрудника исправительн</w:t>
      </w:r>
      <w:r>
        <w:rPr>
          <w:b/>
        </w:rPr>
        <w:t>ого учреждения</w:t>
      </w:r>
      <w:r w:rsidRPr="007B5761">
        <w:rPr>
          <w:b/>
        </w:rPr>
        <w:t>. Комитет н</w:t>
      </w:r>
      <w:r w:rsidRPr="007B5761">
        <w:rPr>
          <w:b/>
        </w:rPr>
        <w:t>а</w:t>
      </w:r>
      <w:r w:rsidRPr="007B5761">
        <w:rPr>
          <w:b/>
        </w:rPr>
        <w:t>стоятельно рекомендует возобновить и полностью осуществить начатый в 2002 году проект по улучшению инфраструктуры и совершенствовани</w:t>
      </w:r>
      <w:r>
        <w:rPr>
          <w:b/>
        </w:rPr>
        <w:t>ю</w:t>
      </w:r>
      <w:r w:rsidRPr="007B5761">
        <w:rPr>
          <w:b/>
        </w:rPr>
        <w:t xml:space="preserve"> системы раздельного содержания заключенных в национальной тюрьме в </w:t>
      </w:r>
      <w:proofErr w:type="spellStart"/>
      <w:r w:rsidRPr="007B5761">
        <w:rPr>
          <w:b/>
        </w:rPr>
        <w:t>Вадуце</w:t>
      </w:r>
      <w:proofErr w:type="spellEnd"/>
      <w:r w:rsidRPr="007B5761">
        <w:rPr>
          <w:b/>
        </w:rPr>
        <w:t>.</w:t>
      </w:r>
    </w:p>
    <w:p w:rsidR="000E20FC" w:rsidRPr="007B5761" w:rsidRDefault="000E20FC" w:rsidP="00CB30D2">
      <w:pPr>
        <w:pStyle w:val="H23GR"/>
      </w:pPr>
      <w:r>
        <w:tab/>
      </w:r>
      <w:r>
        <w:tab/>
      </w:r>
      <w:r w:rsidRPr="007B5761">
        <w:t>Обращение с лишенными свободы лицами</w:t>
      </w:r>
    </w:p>
    <w:p w:rsidR="000E20FC" w:rsidRPr="00E73976" w:rsidRDefault="000E20FC" w:rsidP="00CB30D2">
      <w:pPr>
        <w:pStyle w:val="SingleTxtGR"/>
      </w:pPr>
      <w:r w:rsidRPr="00E73976">
        <w:t>23.</w:t>
      </w:r>
      <w:r w:rsidRPr="00E73976">
        <w:tab/>
        <w:t xml:space="preserve">Комитет выражает обеспокоенность в связи с тем, что </w:t>
      </w:r>
      <w:r>
        <w:t>в</w:t>
      </w:r>
      <w:r w:rsidRPr="00E73976">
        <w:t xml:space="preserve"> государственной полиции принято одевать </w:t>
      </w:r>
      <w:r>
        <w:t>темные</w:t>
      </w:r>
      <w:r w:rsidRPr="00E73976">
        <w:t xml:space="preserve"> очки на задерживаемых лиц, считаю</w:t>
      </w:r>
      <w:r>
        <w:t>щихся</w:t>
      </w:r>
      <w:r w:rsidRPr="00E73976">
        <w:t xml:space="preserve"> </w:t>
      </w:r>
      <w:r>
        <w:t>особо опас</w:t>
      </w:r>
      <w:r w:rsidRPr="00E73976">
        <w:t xml:space="preserve">ными и агрессивными, </w:t>
      </w:r>
      <w:r>
        <w:t>причем</w:t>
      </w:r>
      <w:r w:rsidRPr="00E73976">
        <w:t xml:space="preserve"> до 2007 года на голову </w:t>
      </w:r>
      <w:r>
        <w:t>им также</w:t>
      </w:r>
      <w:r w:rsidRPr="00E73976">
        <w:t xml:space="preserve"> од</w:t>
      </w:r>
      <w:r w:rsidRPr="00E73976">
        <w:t>е</w:t>
      </w:r>
      <w:r w:rsidRPr="00E73976">
        <w:t>вал</w:t>
      </w:r>
      <w:r>
        <w:t>и</w:t>
      </w:r>
      <w:r w:rsidRPr="00E73976">
        <w:t xml:space="preserve"> мешок</w:t>
      </w:r>
      <w:r>
        <w:t>,</w:t>
      </w:r>
      <w:r w:rsidRPr="00E73976">
        <w:t xml:space="preserve"> и </w:t>
      </w:r>
      <w:r>
        <w:t xml:space="preserve">при этом </w:t>
      </w:r>
      <w:r w:rsidRPr="00E73976">
        <w:t>такая практика обосновывалась интересами защиты личности подозреваемого и сотрудников правоохранительных органов. С удо</w:t>
      </w:r>
      <w:r w:rsidRPr="00E73976">
        <w:t>в</w:t>
      </w:r>
      <w:r w:rsidRPr="00E73976">
        <w:t xml:space="preserve">летворением </w:t>
      </w:r>
      <w:r>
        <w:t>принимая к сведению</w:t>
      </w:r>
      <w:r w:rsidRPr="00E73976">
        <w:t xml:space="preserve">, что сотрудники государственной полиции прибегали к использованию темных очков </w:t>
      </w:r>
      <w:r>
        <w:t>всего один</w:t>
      </w:r>
      <w:r w:rsidRPr="00E73976">
        <w:t xml:space="preserve"> раз в 2007 году и один раз в 2008 году, Комитет отмечает, что такая практика до сих пор допускается зак</w:t>
      </w:r>
      <w:r w:rsidRPr="00E73976">
        <w:t>о</w:t>
      </w:r>
      <w:r w:rsidRPr="00E73976">
        <w:t>ном и может применяться</w:t>
      </w:r>
      <w:r>
        <w:t xml:space="preserve"> в </w:t>
      </w:r>
      <w:r w:rsidRPr="00E73976">
        <w:t>исключительных случаях. Комитет по-прежнему обеспокоен</w:t>
      </w:r>
      <w:r>
        <w:t xml:space="preserve"> тем</w:t>
      </w:r>
      <w:r w:rsidRPr="00E73976">
        <w:t xml:space="preserve">, что подобная практика </w:t>
      </w:r>
      <w:r>
        <w:t xml:space="preserve">зачастую </w:t>
      </w:r>
      <w:r w:rsidRPr="00E73976">
        <w:t xml:space="preserve">делает </w:t>
      </w:r>
      <w:r>
        <w:t xml:space="preserve">уголовное </w:t>
      </w:r>
      <w:r w:rsidRPr="00E73976">
        <w:t>преследов</w:t>
      </w:r>
      <w:r w:rsidRPr="00E73976">
        <w:t>а</w:t>
      </w:r>
      <w:r>
        <w:t>ние</w:t>
      </w:r>
      <w:r w:rsidRPr="00E73976">
        <w:t xml:space="preserve"> за акты пыток пра</w:t>
      </w:r>
      <w:r w:rsidRPr="00E73976">
        <w:t>к</w:t>
      </w:r>
      <w:r w:rsidRPr="00E73976">
        <w:t>тически невозможным (стать</w:t>
      </w:r>
      <w:r>
        <w:t>и</w:t>
      </w:r>
      <w:r w:rsidRPr="00E73976">
        <w:t xml:space="preserve"> 2, 11 и 16).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Государство-участник должно в законодательном п</w:t>
      </w:r>
      <w:r>
        <w:rPr>
          <w:b/>
        </w:rPr>
        <w:t>орядке и на</w:t>
      </w:r>
      <w:r w:rsidRPr="007B5761">
        <w:rPr>
          <w:b/>
        </w:rPr>
        <w:t xml:space="preserve"> практи</w:t>
      </w:r>
      <w:r>
        <w:rPr>
          <w:b/>
        </w:rPr>
        <w:t xml:space="preserve">ке запретить сотрудникам полиции одевать на </w:t>
      </w:r>
      <w:r w:rsidRPr="007B5761">
        <w:rPr>
          <w:b/>
        </w:rPr>
        <w:t xml:space="preserve">подозреваемых </w:t>
      </w:r>
      <w:r>
        <w:rPr>
          <w:b/>
        </w:rPr>
        <w:t>темные очки и мешки на голову</w:t>
      </w:r>
      <w:r w:rsidRPr="007B5761">
        <w:rPr>
          <w:b/>
        </w:rPr>
        <w:t>. Государство-участник должно ввести альтернативные меры, которые бы обеспечили уважение достоинства подозрева</w:t>
      </w:r>
      <w:r w:rsidRPr="007B5761">
        <w:rPr>
          <w:b/>
        </w:rPr>
        <w:t>е</w:t>
      </w:r>
      <w:r w:rsidRPr="007B5761">
        <w:rPr>
          <w:b/>
        </w:rPr>
        <w:t>мых, а также безопасность и защиту сотрудников пол</w:t>
      </w:r>
      <w:r w:rsidRPr="007B5761">
        <w:rPr>
          <w:b/>
        </w:rPr>
        <w:t>и</w:t>
      </w:r>
      <w:r w:rsidRPr="007B5761">
        <w:rPr>
          <w:b/>
        </w:rPr>
        <w:t>ции.</w:t>
      </w:r>
    </w:p>
    <w:p w:rsidR="000E20FC" w:rsidRPr="00E73976" w:rsidRDefault="000E20FC" w:rsidP="00CB30D2">
      <w:pPr>
        <w:pStyle w:val="SingleTxtGR"/>
      </w:pPr>
      <w:r w:rsidRPr="00E73976">
        <w:t>24.</w:t>
      </w:r>
      <w:r w:rsidRPr="00E73976">
        <w:tab/>
        <w:t>Комитет с удовлетворением отмечает, что в соответствии с рекоменд</w:t>
      </w:r>
      <w:r w:rsidRPr="00E73976">
        <w:t>а</w:t>
      </w:r>
      <w:r w:rsidRPr="00E73976">
        <w:t>циями Комиссии по испо</w:t>
      </w:r>
      <w:r w:rsidRPr="00E73976">
        <w:t>л</w:t>
      </w:r>
      <w:r w:rsidRPr="00E73976">
        <w:t xml:space="preserve">нению наказаний с 2010 года возобновлена практика </w:t>
      </w:r>
      <w:r>
        <w:t>оказания</w:t>
      </w:r>
      <w:r w:rsidRPr="00E73976">
        <w:t xml:space="preserve"> психологической помощи заключенным в национальной тюрьме в </w:t>
      </w:r>
      <w:proofErr w:type="spellStart"/>
      <w:r w:rsidRPr="00E73976">
        <w:t>В</w:t>
      </w:r>
      <w:r w:rsidRPr="00E73976">
        <w:t>а</w:t>
      </w:r>
      <w:r w:rsidRPr="00E73976">
        <w:t>дуце</w:t>
      </w:r>
      <w:proofErr w:type="spellEnd"/>
      <w:r w:rsidRPr="00E73976">
        <w:t xml:space="preserve"> в рамках ее посещения сотрудниками </w:t>
      </w:r>
      <w:r>
        <w:t>лечебного</w:t>
      </w:r>
      <w:r w:rsidRPr="00E73976">
        <w:t xml:space="preserve"> отдела Бюро по социал</w:t>
      </w:r>
      <w:r w:rsidRPr="00E73976">
        <w:t>ь</w:t>
      </w:r>
      <w:r w:rsidRPr="00E73976">
        <w:t>ным вопросам. С учетом того</w:t>
      </w:r>
      <w:r>
        <w:t>,</w:t>
      </w:r>
      <w:r w:rsidRPr="00E73976">
        <w:t xml:space="preserve"> что в </w:t>
      </w:r>
      <w:r>
        <w:t xml:space="preserve">этой </w:t>
      </w:r>
      <w:r w:rsidRPr="00E73976">
        <w:t>тюрьме нет штатной должности мед</w:t>
      </w:r>
      <w:r w:rsidRPr="00E73976">
        <w:t>и</w:t>
      </w:r>
      <w:r w:rsidRPr="00E73976">
        <w:t xml:space="preserve">цинской сестры или другого медицинского </w:t>
      </w:r>
      <w:r>
        <w:t>сотрудника</w:t>
      </w:r>
      <w:r w:rsidRPr="00E73976">
        <w:t>, Комитет выражает удовлетворение</w:t>
      </w:r>
      <w:r>
        <w:t xml:space="preserve"> по поводу</w:t>
      </w:r>
      <w:r w:rsidRPr="00E73976">
        <w:t xml:space="preserve"> решени</w:t>
      </w:r>
      <w:r>
        <w:t>я</w:t>
      </w:r>
      <w:r w:rsidRPr="00E73976">
        <w:t xml:space="preserve"> государства-участника на</w:t>
      </w:r>
      <w:r>
        <w:t>чать</w:t>
      </w:r>
      <w:r w:rsidRPr="00E73976">
        <w:t xml:space="preserve"> работу по оценке и анализу воз</w:t>
      </w:r>
      <w:r>
        <w:t>можностей</w:t>
      </w:r>
      <w:r w:rsidRPr="00E73976">
        <w:t xml:space="preserve"> выдачи лекарственных препаратов заключе</w:t>
      </w:r>
      <w:r w:rsidRPr="00E73976">
        <w:t>н</w:t>
      </w:r>
      <w:r w:rsidRPr="00E73976">
        <w:t xml:space="preserve">ным </w:t>
      </w:r>
      <w:proofErr w:type="spellStart"/>
      <w:r w:rsidRPr="00E73976">
        <w:t>несотрудниками</w:t>
      </w:r>
      <w:proofErr w:type="spellEnd"/>
      <w:r w:rsidRPr="00E73976">
        <w:t xml:space="preserve"> исправительн</w:t>
      </w:r>
      <w:r>
        <w:t>ого</w:t>
      </w:r>
      <w:r w:rsidRPr="00E73976">
        <w:t xml:space="preserve"> учреждени</w:t>
      </w:r>
      <w:r>
        <w:t>я</w:t>
      </w:r>
      <w:r w:rsidRPr="00E73976">
        <w:t>, а исключительно медици</w:t>
      </w:r>
      <w:r w:rsidRPr="00E73976">
        <w:t>н</w:t>
      </w:r>
      <w:r w:rsidRPr="00E73976">
        <w:t>ским персоналом (ст</w:t>
      </w:r>
      <w:r w:rsidRPr="00E73976">
        <w:t>а</w:t>
      </w:r>
      <w:r w:rsidRPr="00E73976">
        <w:t>тьи 11 и 16).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Комитет рекомендует государству-участнику рассмотреть возможность н</w:t>
      </w:r>
      <w:r w:rsidRPr="007B5761">
        <w:rPr>
          <w:b/>
        </w:rPr>
        <w:t>а</w:t>
      </w:r>
      <w:r w:rsidRPr="007B5761">
        <w:rPr>
          <w:b/>
        </w:rPr>
        <w:t>значения на неполный рабочий день медицинской сестры или другого м</w:t>
      </w:r>
      <w:r w:rsidRPr="007B5761">
        <w:rPr>
          <w:b/>
        </w:rPr>
        <w:t>е</w:t>
      </w:r>
      <w:r w:rsidRPr="007B5761">
        <w:rPr>
          <w:b/>
        </w:rPr>
        <w:t xml:space="preserve">дицинского работника в национальную тюрьму в </w:t>
      </w:r>
      <w:proofErr w:type="spellStart"/>
      <w:r w:rsidRPr="007B5761">
        <w:rPr>
          <w:b/>
        </w:rPr>
        <w:t>Вадуце</w:t>
      </w:r>
      <w:proofErr w:type="spellEnd"/>
      <w:r w:rsidRPr="007B5761">
        <w:rPr>
          <w:b/>
        </w:rPr>
        <w:t xml:space="preserve"> с </w:t>
      </w:r>
      <w:r>
        <w:rPr>
          <w:b/>
        </w:rPr>
        <w:t xml:space="preserve">тем, чтобы </w:t>
      </w:r>
      <w:r w:rsidRPr="007B5761">
        <w:rPr>
          <w:b/>
        </w:rPr>
        <w:t>в</w:t>
      </w:r>
      <w:r w:rsidRPr="007B5761">
        <w:rPr>
          <w:b/>
        </w:rPr>
        <w:t>ы</w:t>
      </w:r>
      <w:r w:rsidRPr="007B5761">
        <w:rPr>
          <w:b/>
        </w:rPr>
        <w:t>дач</w:t>
      </w:r>
      <w:r>
        <w:rPr>
          <w:b/>
        </w:rPr>
        <w:t>а</w:t>
      </w:r>
      <w:r w:rsidRPr="007B5761">
        <w:rPr>
          <w:b/>
        </w:rPr>
        <w:t xml:space="preserve"> заключенным лекарственных средств </w:t>
      </w:r>
      <w:r>
        <w:rPr>
          <w:b/>
        </w:rPr>
        <w:t xml:space="preserve">производилась </w:t>
      </w:r>
      <w:r w:rsidRPr="007B5761">
        <w:rPr>
          <w:b/>
        </w:rPr>
        <w:t>исключ</w:t>
      </w:r>
      <w:r w:rsidRPr="007B5761">
        <w:rPr>
          <w:b/>
        </w:rPr>
        <w:t>и</w:t>
      </w:r>
      <w:r w:rsidRPr="007B5761">
        <w:rPr>
          <w:b/>
        </w:rPr>
        <w:t>тельно медицинским персон</w:t>
      </w:r>
      <w:r w:rsidRPr="007B5761">
        <w:rPr>
          <w:b/>
        </w:rPr>
        <w:t>а</w:t>
      </w:r>
      <w:r w:rsidRPr="007B5761">
        <w:rPr>
          <w:b/>
        </w:rPr>
        <w:t>лом.</w:t>
      </w:r>
    </w:p>
    <w:p w:rsidR="000E20FC" w:rsidRPr="007B5761" w:rsidRDefault="000E20FC" w:rsidP="00CB30D2">
      <w:pPr>
        <w:pStyle w:val="H23GR"/>
      </w:pPr>
      <w:r>
        <w:tab/>
      </w:r>
      <w:r>
        <w:tab/>
      </w:r>
      <w:r w:rsidRPr="007B5761">
        <w:t>Допросы</w:t>
      </w:r>
    </w:p>
    <w:p w:rsidR="000E20FC" w:rsidRPr="00E73976" w:rsidRDefault="000E20FC" w:rsidP="00CB30D2">
      <w:pPr>
        <w:pStyle w:val="SingleTxtGR"/>
      </w:pPr>
      <w:r w:rsidRPr="00E73976">
        <w:t>25.</w:t>
      </w:r>
      <w:r w:rsidRPr="00E73976">
        <w:tab/>
      </w:r>
      <w:r>
        <w:t>Учитывая</w:t>
      </w:r>
      <w:r w:rsidRPr="00E73976">
        <w:t>, что все проводимые в полиции допросы протоколируются, Комитет</w:t>
      </w:r>
      <w:r w:rsidR="00C27DE3">
        <w:t>,</w:t>
      </w:r>
      <w:r w:rsidRPr="00E73976">
        <w:t xml:space="preserve"> тем не менее</w:t>
      </w:r>
      <w:r w:rsidR="00C27DE3">
        <w:t>,</w:t>
      </w:r>
      <w:r w:rsidRPr="00E73976">
        <w:t xml:space="preserve"> выражает обеспокоенность по поводу того, что в н</w:t>
      </w:r>
      <w:r w:rsidRPr="00E73976">
        <w:t>а</w:t>
      </w:r>
      <w:r w:rsidRPr="00E73976">
        <w:t xml:space="preserve">стоящее время не осуществляется аудио- или видеозапись допросов </w:t>
      </w:r>
      <w:r>
        <w:t xml:space="preserve">в </w:t>
      </w:r>
      <w:r w:rsidRPr="00E73976">
        <w:t>полиции за исключением бесед с жертвами преступлений на сексуальной почве (ст</w:t>
      </w:r>
      <w:r w:rsidRPr="00E73976">
        <w:t>а</w:t>
      </w:r>
      <w:r w:rsidRPr="00E73976">
        <w:t>тьи</w:t>
      </w:r>
      <w:r w:rsidR="00C27DE3">
        <w:t> </w:t>
      </w:r>
      <w:r w:rsidRPr="00E73976">
        <w:t>2, 11, 12 и 16).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Государству-участнику следует доработать правила и процедуры провед</w:t>
      </w:r>
      <w:r w:rsidRPr="007B5761">
        <w:rPr>
          <w:b/>
        </w:rPr>
        <w:t>е</w:t>
      </w:r>
      <w:r w:rsidRPr="007B5761">
        <w:rPr>
          <w:b/>
        </w:rPr>
        <w:t>ния допросов сотрудниками национальной полиции путем внесения п</w:t>
      </w:r>
      <w:r w:rsidRPr="007B5761">
        <w:rPr>
          <w:b/>
        </w:rPr>
        <w:t>о</w:t>
      </w:r>
      <w:r w:rsidRPr="007B5761">
        <w:rPr>
          <w:b/>
        </w:rPr>
        <w:t>правок в Уголовно-процессуальный кодекс с целью введения практики а</w:t>
      </w:r>
      <w:r w:rsidRPr="007B5761">
        <w:rPr>
          <w:b/>
        </w:rPr>
        <w:t>у</w:t>
      </w:r>
      <w:r w:rsidRPr="007B5761">
        <w:rPr>
          <w:b/>
        </w:rPr>
        <w:t xml:space="preserve">дио- и, предпочтительно, видеозаписи всех допросов и опросов в полиции в контексте усилий государства-участника по предупреждению пыток и </w:t>
      </w:r>
      <w:r>
        <w:rPr>
          <w:b/>
        </w:rPr>
        <w:t>же</w:t>
      </w:r>
      <w:r>
        <w:rPr>
          <w:b/>
        </w:rPr>
        <w:t>с</w:t>
      </w:r>
      <w:r>
        <w:rPr>
          <w:b/>
        </w:rPr>
        <w:t>токого</w:t>
      </w:r>
      <w:r w:rsidRPr="007B5761">
        <w:rPr>
          <w:b/>
        </w:rPr>
        <w:t xml:space="preserve"> обращ</w:t>
      </w:r>
      <w:r w:rsidRPr="007B5761">
        <w:rPr>
          <w:b/>
        </w:rPr>
        <w:t>е</w:t>
      </w:r>
      <w:r w:rsidRPr="007B5761">
        <w:rPr>
          <w:b/>
        </w:rPr>
        <w:t>ния.</w:t>
      </w:r>
    </w:p>
    <w:p w:rsidR="000E20FC" w:rsidRPr="007B5761" w:rsidRDefault="000E20FC" w:rsidP="00CB30D2">
      <w:pPr>
        <w:pStyle w:val="H23GR"/>
      </w:pPr>
      <w:r>
        <w:tab/>
      </w:r>
      <w:r>
        <w:tab/>
      </w:r>
      <w:r w:rsidRPr="007B5761">
        <w:t xml:space="preserve">Расследования жалоб на </w:t>
      </w:r>
      <w:r>
        <w:t>жестокое</w:t>
      </w:r>
      <w:r w:rsidRPr="007B5761">
        <w:t xml:space="preserve"> обращение</w:t>
      </w:r>
    </w:p>
    <w:p w:rsidR="000E20FC" w:rsidRPr="00E73976" w:rsidRDefault="000E20FC" w:rsidP="00CB30D2">
      <w:pPr>
        <w:pStyle w:val="SingleTxtGR"/>
      </w:pPr>
      <w:r w:rsidRPr="00E73976">
        <w:t>26.</w:t>
      </w:r>
      <w:r w:rsidRPr="00E73976">
        <w:tab/>
        <w:t>Комитет с обеспокоенность</w:t>
      </w:r>
      <w:r>
        <w:t>ю</w:t>
      </w:r>
      <w:r w:rsidRPr="00E73976">
        <w:t xml:space="preserve"> отмечает, что в 2007 году </w:t>
      </w:r>
      <w:r>
        <w:t>К</w:t>
      </w:r>
      <w:r w:rsidRPr="00E73976">
        <w:t>омитет Совет</w:t>
      </w:r>
      <w:r>
        <w:t>а</w:t>
      </w:r>
      <w:r w:rsidRPr="00E73976">
        <w:t xml:space="preserve"> Европы по предупреждению пыток и бесчеловечных или унижающих достои</w:t>
      </w:r>
      <w:r w:rsidRPr="00E73976">
        <w:t>н</w:t>
      </w:r>
      <w:r w:rsidRPr="00E73976">
        <w:t>ство видов обращения и</w:t>
      </w:r>
      <w:r>
        <w:t>ли</w:t>
      </w:r>
      <w:r w:rsidRPr="00E73976">
        <w:t xml:space="preserve"> наказания сообщал о жалобах на чрезмерное прим</w:t>
      </w:r>
      <w:r w:rsidRPr="00E73976">
        <w:t>е</w:t>
      </w:r>
      <w:r w:rsidRPr="00E73976">
        <w:t>нение силы, использовани</w:t>
      </w:r>
      <w:r>
        <w:t>е</w:t>
      </w:r>
      <w:r w:rsidRPr="00E73976">
        <w:t xml:space="preserve"> тугих наручников и словесные оскорбления со ст</w:t>
      </w:r>
      <w:r w:rsidRPr="00E73976">
        <w:t>о</w:t>
      </w:r>
      <w:r w:rsidRPr="00E73976">
        <w:t>роны сотрудников полиции во время задержания. В этой связи, отмечая созд</w:t>
      </w:r>
      <w:r w:rsidRPr="00E73976">
        <w:t>а</w:t>
      </w:r>
      <w:r w:rsidRPr="00E73976">
        <w:t xml:space="preserve">ние в этот же год специального подразделения национальной полиции </w:t>
      </w:r>
      <w:r>
        <w:t>по</w:t>
      </w:r>
      <w:r w:rsidRPr="00E73976">
        <w:t xml:space="preserve"> ра</w:t>
      </w:r>
      <w:r w:rsidRPr="00E73976">
        <w:t>с</w:t>
      </w:r>
      <w:r w:rsidRPr="00E73976">
        <w:t>следовани</w:t>
      </w:r>
      <w:r>
        <w:t>ю</w:t>
      </w:r>
      <w:r w:rsidRPr="00E73976">
        <w:t xml:space="preserve"> жалоб на совершение сотрудниками полиции и других государс</w:t>
      </w:r>
      <w:r w:rsidRPr="00E73976">
        <w:t>т</w:t>
      </w:r>
      <w:r w:rsidRPr="00E73976">
        <w:t>венных органов определенных серьезных уголовных пр</w:t>
      </w:r>
      <w:r>
        <w:t>еступлений</w:t>
      </w:r>
      <w:r w:rsidRPr="00E73976">
        <w:t>, Комитет подчеркивает большое значение независимости проводящего подобн</w:t>
      </w:r>
      <w:r>
        <w:t>ые</w:t>
      </w:r>
      <w:r w:rsidRPr="00E73976">
        <w:t xml:space="preserve"> рассл</w:t>
      </w:r>
      <w:r w:rsidRPr="00E73976">
        <w:t>е</w:t>
      </w:r>
      <w:r w:rsidRPr="00E73976">
        <w:t>дования ор</w:t>
      </w:r>
      <w:r>
        <w:t>гана</w:t>
      </w:r>
      <w:r w:rsidRPr="00E73976">
        <w:t xml:space="preserve"> (стать</w:t>
      </w:r>
      <w:r>
        <w:t>и</w:t>
      </w:r>
      <w:r w:rsidRPr="00E73976">
        <w:t xml:space="preserve"> 11, 12 и 16).</w:t>
      </w:r>
    </w:p>
    <w:p w:rsidR="000E20FC" w:rsidRPr="007B5761" w:rsidRDefault="000E20FC" w:rsidP="00CB30D2">
      <w:pPr>
        <w:pStyle w:val="SingleTxtGR"/>
        <w:rPr>
          <w:b/>
        </w:rPr>
      </w:pPr>
      <w:r w:rsidRPr="007B5761">
        <w:rPr>
          <w:b/>
        </w:rPr>
        <w:t>Комитет настоятельно рекомендует оперативно и беспристр</w:t>
      </w:r>
      <w:r>
        <w:rPr>
          <w:b/>
        </w:rPr>
        <w:t>астно рассл</w:t>
      </w:r>
      <w:r>
        <w:rPr>
          <w:b/>
        </w:rPr>
        <w:t>е</w:t>
      </w:r>
      <w:r>
        <w:rPr>
          <w:b/>
        </w:rPr>
        <w:t>довать все заявления</w:t>
      </w:r>
      <w:r w:rsidRPr="007B5761">
        <w:rPr>
          <w:b/>
        </w:rPr>
        <w:t xml:space="preserve"> о </w:t>
      </w:r>
      <w:r>
        <w:rPr>
          <w:b/>
        </w:rPr>
        <w:t>жестоком</w:t>
      </w:r>
      <w:r w:rsidRPr="007B5761">
        <w:rPr>
          <w:b/>
        </w:rPr>
        <w:t xml:space="preserve"> обращении со стороны поли</w:t>
      </w:r>
      <w:r>
        <w:rPr>
          <w:b/>
        </w:rPr>
        <w:t xml:space="preserve">ции </w:t>
      </w:r>
      <w:r w:rsidRPr="007B5761">
        <w:rPr>
          <w:b/>
        </w:rPr>
        <w:t>сил</w:t>
      </w:r>
      <w:r>
        <w:rPr>
          <w:b/>
        </w:rPr>
        <w:t xml:space="preserve">ами </w:t>
      </w:r>
      <w:r w:rsidRPr="007B5761">
        <w:rPr>
          <w:b/>
        </w:rPr>
        <w:t>не других сотрудников пол</w:t>
      </w:r>
      <w:r w:rsidRPr="007B5761">
        <w:rPr>
          <w:b/>
        </w:rPr>
        <w:t>и</w:t>
      </w:r>
      <w:r w:rsidRPr="007B5761">
        <w:rPr>
          <w:b/>
        </w:rPr>
        <w:t>ции</w:t>
      </w:r>
      <w:r>
        <w:rPr>
          <w:b/>
        </w:rPr>
        <w:t>, а независимых органов.</w:t>
      </w:r>
    </w:p>
    <w:p w:rsidR="00C225AB" w:rsidRDefault="00C225AB" w:rsidP="00CB30D2">
      <w:pPr>
        <w:pStyle w:val="H23GR"/>
      </w:pPr>
      <w:r>
        <w:tab/>
      </w:r>
      <w:r>
        <w:tab/>
        <w:t>Отправление п</w:t>
      </w:r>
      <w:r w:rsidRPr="00F062EA">
        <w:t>равосуди</w:t>
      </w:r>
      <w:r>
        <w:t>я</w:t>
      </w:r>
      <w:r w:rsidRPr="00F062EA">
        <w:t xml:space="preserve"> в отношении совершеннолетних</w:t>
      </w:r>
    </w:p>
    <w:p w:rsidR="00C225AB" w:rsidRDefault="00C225AB" w:rsidP="00CB30D2">
      <w:pPr>
        <w:pStyle w:val="SingleTxtGR"/>
      </w:pPr>
      <w:r>
        <w:t>27.</w:t>
      </w:r>
      <w:r>
        <w:tab/>
        <w:t>Принимая к сведению информацию государства-участника о том, что н</w:t>
      </w:r>
      <w:r>
        <w:t>а</w:t>
      </w:r>
      <w:r>
        <w:t>циональная тюрьма в Вадуце не предназначена для содержания несовершенн</w:t>
      </w:r>
      <w:r>
        <w:t>о</w:t>
      </w:r>
      <w:r>
        <w:t>летних, Комитет с обеспокоенностью отмечает содержащуюся в ежегодном докладе за 2009 год информацию Комиссии по исполнению наказаний о том, что в последнем квартале 2009 года в нарушение принципа раздельного соде</w:t>
      </w:r>
      <w:r>
        <w:t>р</w:t>
      </w:r>
      <w:r>
        <w:t>жания взрослых и несовершеннолетних согласно международным нормам в о</w:t>
      </w:r>
      <w:r>
        <w:t>б</w:t>
      </w:r>
      <w:r>
        <w:t>ласти прав человека в национальной тюрьме в Вадуце содержались несове</w:t>
      </w:r>
      <w:r>
        <w:t>р</w:t>
      </w:r>
      <w:r>
        <w:t>шеннолетние, в том числе одна девушка. Кроме того, с удовлетворением отм</w:t>
      </w:r>
      <w:r>
        <w:t>е</w:t>
      </w:r>
      <w:r>
        <w:t>чая сокращение максимальной продолжительности досудебного содержания под стражей подростков в возрасте до 18 лет (пункт 2 статьи 19 Закона о суде по делам несовершеннолетних), Комитет тем не менее считает, что такой пер</w:t>
      </w:r>
      <w:r>
        <w:t>и</w:t>
      </w:r>
      <w:r>
        <w:t>од все же весьма продолжителен (один год). Комитет также обеспокоен тем, что некоторые приговоренные к тюремному заключению</w:t>
      </w:r>
      <w:r w:rsidRPr="000E7B93">
        <w:t xml:space="preserve"> </w:t>
      </w:r>
      <w:r>
        <w:t>несовершеннолетние о</w:t>
      </w:r>
      <w:r>
        <w:t>т</w:t>
      </w:r>
      <w:r>
        <w:t>бывают наказание в Австрии в соответствии с двусторонним договором 1982 года, который не содержит положений о каких-либо гарантиях особой з</w:t>
      </w:r>
      <w:r>
        <w:t>а</w:t>
      </w:r>
      <w:r>
        <w:t>щиты лиц в возрасте до 18 лет. Комитет напоминает государству-участнику о том, что к лишению свободы несовершеннолетних, особенно в досудебный п</w:t>
      </w:r>
      <w:r>
        <w:t>е</w:t>
      </w:r>
      <w:r>
        <w:t>риод, следует прибегать лишь как к крайней мере и в течение как можно более ограниче</w:t>
      </w:r>
      <w:r>
        <w:t>н</w:t>
      </w:r>
      <w:r>
        <w:t>ного периода времени (статья 11 и 16).</w:t>
      </w:r>
    </w:p>
    <w:p w:rsidR="00C225AB" w:rsidRPr="006D2C00" w:rsidRDefault="00C225AB" w:rsidP="00CB30D2">
      <w:pPr>
        <w:pStyle w:val="SingleTxtGR"/>
        <w:rPr>
          <w:b/>
        </w:rPr>
      </w:pPr>
      <w:r w:rsidRPr="006D2C00">
        <w:rPr>
          <w:b/>
        </w:rPr>
        <w:t>Комитет рекомендует расширить и более активно применять альтернати</w:t>
      </w:r>
      <w:r w:rsidRPr="006D2C00">
        <w:rPr>
          <w:b/>
        </w:rPr>
        <w:t>в</w:t>
      </w:r>
      <w:r w:rsidRPr="006D2C00">
        <w:rPr>
          <w:b/>
        </w:rPr>
        <w:t>ные меры вместо лишения свободы детей в возрасте до 18 лет в порядке предварительного досудебного задержания и тюремного заключения. В ч</w:t>
      </w:r>
      <w:r w:rsidRPr="006D2C00">
        <w:rPr>
          <w:b/>
        </w:rPr>
        <w:t>а</w:t>
      </w:r>
      <w:r w:rsidRPr="006D2C00">
        <w:rPr>
          <w:b/>
        </w:rPr>
        <w:t>стности, поддерживая принцип раздельного содержания несовершенноле</w:t>
      </w:r>
      <w:r w:rsidRPr="006D2C00">
        <w:rPr>
          <w:b/>
        </w:rPr>
        <w:t>т</w:t>
      </w:r>
      <w:r w:rsidRPr="006D2C00">
        <w:rPr>
          <w:b/>
        </w:rPr>
        <w:t>них и взрослых заключенных, государство-участник должно обесп</w:t>
      </w:r>
      <w:r w:rsidRPr="006D2C00">
        <w:rPr>
          <w:b/>
        </w:rPr>
        <w:t>е</w:t>
      </w:r>
      <w:r w:rsidRPr="006D2C00">
        <w:rPr>
          <w:b/>
        </w:rPr>
        <w:t>чивать альтернативные меры в отношении лиц в возрасте до 18 лет, которые в н</w:t>
      </w:r>
      <w:r w:rsidRPr="006D2C00">
        <w:rPr>
          <w:b/>
        </w:rPr>
        <w:t>а</w:t>
      </w:r>
      <w:r w:rsidRPr="006D2C00">
        <w:rPr>
          <w:b/>
        </w:rPr>
        <w:t>стоящее время содержатся в национальной тюрьме в Вадуце, и в отнош</w:t>
      </w:r>
      <w:r w:rsidRPr="006D2C00">
        <w:rPr>
          <w:b/>
        </w:rPr>
        <w:t>е</w:t>
      </w:r>
      <w:r w:rsidRPr="006D2C00">
        <w:rPr>
          <w:b/>
        </w:rPr>
        <w:t>нии несовершеннолетних, которые отбывают срок наказания в Австрии. Государству-участнику рекомендуется еще более сократить макс</w:t>
      </w:r>
      <w:r w:rsidRPr="006D2C00">
        <w:rPr>
          <w:b/>
        </w:rPr>
        <w:t>и</w:t>
      </w:r>
      <w:r w:rsidRPr="006D2C00">
        <w:rPr>
          <w:b/>
        </w:rPr>
        <w:t>мальную продолжительность предварительного досудебного задержания несове</w:t>
      </w:r>
      <w:r w:rsidRPr="006D2C00">
        <w:rPr>
          <w:b/>
        </w:rPr>
        <w:t>р</w:t>
      </w:r>
      <w:r w:rsidRPr="006D2C00">
        <w:rPr>
          <w:b/>
        </w:rPr>
        <w:t>шеннолетних путем внесения поправок в Закон о суде по делам несове</w:t>
      </w:r>
      <w:r w:rsidRPr="006D2C00">
        <w:rPr>
          <w:b/>
        </w:rPr>
        <w:t>р</w:t>
      </w:r>
      <w:r w:rsidRPr="006D2C00">
        <w:rPr>
          <w:b/>
        </w:rPr>
        <w:t>шеннолетних.</w:t>
      </w:r>
    </w:p>
    <w:p w:rsidR="00C225AB" w:rsidRDefault="00C225AB" w:rsidP="00CB30D2">
      <w:pPr>
        <w:pStyle w:val="SingleTxtGR"/>
      </w:pPr>
      <w:r>
        <w:t>28.</w:t>
      </w:r>
      <w:r>
        <w:tab/>
        <w:t>Комитет с озабоченностью обращает внимание на тот факт, что госуда</w:t>
      </w:r>
      <w:r>
        <w:t>р</w:t>
      </w:r>
      <w:r>
        <w:t>ство-участник не намерено изменять Закон о суде по делам несовершенноле</w:t>
      </w:r>
      <w:r>
        <w:t>т</w:t>
      </w:r>
      <w:r>
        <w:t>них (ра</w:t>
      </w:r>
      <w:r>
        <w:t>з</w:t>
      </w:r>
      <w:r>
        <w:t>дел 21а Закона о суде по делам несовершеннолетних), в соответствии с которым доверенное лицо может присутствовать во время допроса несове</w:t>
      </w:r>
      <w:r>
        <w:t>р</w:t>
      </w:r>
      <w:r>
        <w:t>шеннолетнего в полиции (или судьей) только по просьбе такого несовершенн</w:t>
      </w:r>
      <w:r>
        <w:t>о</w:t>
      </w:r>
      <w:r>
        <w:t>летнего. Комитет считает, что оказание юридической или любой другой необх</w:t>
      </w:r>
      <w:r>
        <w:t>о</w:t>
      </w:r>
      <w:r>
        <w:t>димой помощи не должно ограничиваться неп</w:t>
      </w:r>
      <w:r>
        <w:t>о</w:t>
      </w:r>
      <w:r>
        <w:t>средственно разбирательством в суде или в другом органе юстиции, а должно испол</w:t>
      </w:r>
      <w:r>
        <w:t>ь</w:t>
      </w:r>
      <w:r>
        <w:t>зоваться и на других этапах процесса, начиная с опроса (допроса) ребенка пол</w:t>
      </w:r>
      <w:r>
        <w:t>и</w:t>
      </w:r>
      <w:r>
        <w:t>цией, как об этом говорится в замечании общего порядка № 10 (2007 год) о правах детей в рамках отправл</w:t>
      </w:r>
      <w:r>
        <w:t>е</w:t>
      </w:r>
      <w:r>
        <w:t>ния правосудия в отношении несовершеннолетних Комитета по правам р</w:t>
      </w:r>
      <w:r>
        <w:t>е</w:t>
      </w:r>
      <w:r>
        <w:t>бенка (пункт 52) (статьи 11 и 16).</w:t>
      </w:r>
    </w:p>
    <w:p w:rsidR="00C225AB" w:rsidRPr="006D2C00" w:rsidRDefault="00C225AB" w:rsidP="00CB30D2">
      <w:pPr>
        <w:pStyle w:val="SingleTxtGR"/>
        <w:rPr>
          <w:b/>
        </w:rPr>
      </w:pPr>
      <w:r w:rsidRPr="006D2C00">
        <w:rPr>
          <w:b/>
        </w:rPr>
        <w:t>Государству-участнику настоятельно предлагается изменить свою позицию и внести поправки в статью 21 Закона о суде по делам несове</w:t>
      </w:r>
      <w:r w:rsidRPr="006D2C00">
        <w:rPr>
          <w:b/>
        </w:rPr>
        <w:t>р</w:t>
      </w:r>
      <w:r w:rsidRPr="006D2C00">
        <w:rPr>
          <w:b/>
        </w:rPr>
        <w:t>шеннолетних с ц</w:t>
      </w:r>
      <w:r w:rsidRPr="006D2C00">
        <w:rPr>
          <w:b/>
        </w:rPr>
        <w:t>е</w:t>
      </w:r>
      <w:r w:rsidRPr="006D2C00">
        <w:rPr>
          <w:b/>
        </w:rPr>
        <w:t>лью обеспечения присутствия доверенного лица во время допроса или опроса полицией детей в возрасте до 18 лет без какой-либо просьбы со ст</w:t>
      </w:r>
      <w:r w:rsidRPr="006D2C00">
        <w:rPr>
          <w:b/>
        </w:rPr>
        <w:t>о</w:t>
      </w:r>
      <w:r w:rsidRPr="006D2C00">
        <w:rPr>
          <w:b/>
        </w:rPr>
        <w:t>роны несовершенн</w:t>
      </w:r>
      <w:r w:rsidRPr="006D2C00">
        <w:rPr>
          <w:b/>
        </w:rPr>
        <w:t>о</w:t>
      </w:r>
      <w:r w:rsidRPr="006D2C00">
        <w:rPr>
          <w:b/>
        </w:rPr>
        <w:t>летнего.</w:t>
      </w:r>
    </w:p>
    <w:p w:rsidR="00C225AB" w:rsidRPr="006D2C00" w:rsidRDefault="00C225AB" w:rsidP="00CB30D2">
      <w:pPr>
        <w:pStyle w:val="H23GR"/>
      </w:pPr>
      <w:r>
        <w:tab/>
      </w:r>
      <w:r>
        <w:tab/>
        <w:t xml:space="preserve">Принудительное помещение в </w:t>
      </w:r>
      <w:proofErr w:type="spellStart"/>
      <w:r>
        <w:t>спецучреждения</w:t>
      </w:r>
      <w:proofErr w:type="spellEnd"/>
    </w:p>
    <w:p w:rsidR="00C225AB" w:rsidRDefault="00C225AB" w:rsidP="00CB30D2">
      <w:pPr>
        <w:pStyle w:val="SingleTxtGR"/>
      </w:pPr>
      <w:r>
        <w:t>29.</w:t>
      </w:r>
      <w:r>
        <w:tab/>
        <w:t>Комитет обеспокоен тем, что законодательством конкретно не гарантир</w:t>
      </w:r>
      <w:r>
        <w:t>у</w:t>
      </w:r>
      <w:r>
        <w:t>ется право принудительно помещенных в специальное учреждение лиц, давать согласие на лечение и право требовать в любое время их выписки из психиа</w:t>
      </w:r>
      <w:r>
        <w:t>т</w:t>
      </w:r>
      <w:r>
        <w:t>рической лечебницы или учреждения системы социального попечения. В этой связи Комитет с удовлетворением отмечает, что государство-участник рассма</w:t>
      </w:r>
      <w:r>
        <w:t>т</w:t>
      </w:r>
      <w:r>
        <w:t>ривает возможность выработки соответс</w:t>
      </w:r>
      <w:r>
        <w:t>т</w:t>
      </w:r>
      <w:r>
        <w:t>вующего положения о праве требовать в любое время выписки из спецучреждения в рамках будущего пересмотра З</w:t>
      </w:r>
      <w:r>
        <w:t>а</w:t>
      </w:r>
      <w:r>
        <w:t>кона о социальном попечении, и обращает внимание на тот факт, что суды и</w:t>
      </w:r>
      <w:r>
        <w:t>с</w:t>
      </w:r>
      <w:r>
        <w:t>толковывают положение пункта 2 статьи 13 Закона о с</w:t>
      </w:r>
      <w:r>
        <w:t>о</w:t>
      </w:r>
      <w:r>
        <w:t>циальном попечении как наделяющее таких лиц правом требовать свои выписки (ст</w:t>
      </w:r>
      <w:r>
        <w:t>а</w:t>
      </w:r>
      <w:r>
        <w:t>тьи 2 и 16).</w:t>
      </w:r>
    </w:p>
    <w:p w:rsidR="00C225AB" w:rsidRPr="005657CC" w:rsidRDefault="00C225AB" w:rsidP="00CB30D2">
      <w:pPr>
        <w:pStyle w:val="SingleTxtGR"/>
        <w:rPr>
          <w:b/>
        </w:rPr>
      </w:pPr>
      <w:r w:rsidRPr="005657CC">
        <w:rPr>
          <w:b/>
        </w:rPr>
        <w:t>Государству-участнику настоятельно рекомендуется внести изменения в Закон о социальном попечении и четко прописать в нем право лишенных свободы лиц, принудительно помещенных в специальные гражданские у</w:t>
      </w:r>
      <w:r w:rsidRPr="005657CC">
        <w:rPr>
          <w:b/>
        </w:rPr>
        <w:t>ч</w:t>
      </w:r>
      <w:r w:rsidRPr="005657CC">
        <w:rPr>
          <w:b/>
        </w:rPr>
        <w:t>реждения, треб</w:t>
      </w:r>
      <w:r w:rsidRPr="005657CC">
        <w:rPr>
          <w:b/>
        </w:rPr>
        <w:t>о</w:t>
      </w:r>
      <w:r w:rsidRPr="005657CC">
        <w:rPr>
          <w:b/>
        </w:rPr>
        <w:t>вать в любое время своей выписки.</w:t>
      </w:r>
    </w:p>
    <w:p w:rsidR="00C225AB" w:rsidRPr="006B2B11" w:rsidRDefault="00C225AB" w:rsidP="00CB30D2">
      <w:pPr>
        <w:pStyle w:val="H23GR"/>
      </w:pPr>
      <w:r>
        <w:tab/>
      </w:r>
      <w:r>
        <w:tab/>
      </w:r>
      <w:r w:rsidRPr="006B2B11">
        <w:t>Бытовое насилие</w:t>
      </w:r>
    </w:p>
    <w:p w:rsidR="00C225AB" w:rsidRDefault="00C225AB" w:rsidP="00CB30D2">
      <w:pPr>
        <w:pStyle w:val="SingleTxtGR"/>
      </w:pPr>
      <w:r>
        <w:t>30.</w:t>
      </w:r>
      <w:r>
        <w:tab/>
        <w:t>Комитет с удовлетворением отмечает, что государство-участник одобрило предложение о пересмотре его Закона о преступлениях на половой почве, с</w:t>
      </w:r>
      <w:r>
        <w:t>о</w:t>
      </w:r>
      <w:r>
        <w:t xml:space="preserve">гласно которому бытовое насилие становится </w:t>
      </w:r>
      <w:r>
        <w:rPr>
          <w:lang w:val="en-US"/>
        </w:rPr>
        <w:t>ex</w:t>
      </w:r>
      <w:r w:rsidRPr="008C335A">
        <w:t xml:space="preserve"> </w:t>
      </w:r>
      <w:r>
        <w:rPr>
          <w:lang w:val="en-US"/>
        </w:rPr>
        <w:t>officio</w:t>
      </w:r>
      <w:r w:rsidRPr="008C335A">
        <w:t xml:space="preserve"> наказуемым. </w:t>
      </w:r>
      <w:r>
        <w:t>Комитет, однако, обеспокоен тем, что в государстве-участнике не ведется статистический учет бытового насилия как Уголовного преступления, поскольку бытовое нас</w:t>
      </w:r>
      <w:r>
        <w:t>и</w:t>
      </w:r>
      <w:r>
        <w:t>лие является обобщенным понятием, включающим в себя ряд правонаруш</w:t>
      </w:r>
      <w:r>
        <w:t>е</w:t>
      </w:r>
      <w:r>
        <w:t>ний, которые также могут совершаться и в другой обстановке. Поэтому гос</w:t>
      </w:r>
      <w:r>
        <w:t>у</w:t>
      </w:r>
      <w:r>
        <w:t>дарство-участник не может предоставить какой-либо инфо</w:t>
      </w:r>
      <w:r>
        <w:t>р</w:t>
      </w:r>
      <w:r>
        <w:t>мации о количестве случаев бытового насилия и о числе проведенных расследований, судебных избир</w:t>
      </w:r>
      <w:r>
        <w:t>а</w:t>
      </w:r>
      <w:r>
        <w:t>тельств и вынесенных обвинительных заключений, а также о количестве дел, по которым по решению судов была выплачена компенсация. Комитет также обеспокоен сообщениями о жалобах на проявления насилия в отношении же</w:t>
      </w:r>
      <w:r>
        <w:t>н</w:t>
      </w:r>
      <w:r>
        <w:t>щин, в том числе в отношении супругов. По данным полиции, в 2009 году п</w:t>
      </w:r>
      <w:r>
        <w:t>о</w:t>
      </w:r>
      <w:r>
        <w:t>лицией было пресечено 32 случая бытового насилия. К сожалению, отсутс</w:t>
      </w:r>
      <w:r>
        <w:t>т</w:t>
      </w:r>
      <w:r>
        <w:t>вует информация о пров</w:t>
      </w:r>
      <w:r>
        <w:t>е</w:t>
      </w:r>
      <w:r>
        <w:t>денных соответствующими властями государства-участника расследованиях, судебных разбирательствах и вынесенных судебных решениях в отношении правонарушителей (ст</w:t>
      </w:r>
      <w:r>
        <w:t>а</w:t>
      </w:r>
      <w:r>
        <w:t>тьи 1, 2, 12 и 16).</w:t>
      </w:r>
    </w:p>
    <w:p w:rsidR="00C225AB" w:rsidRPr="005657CC" w:rsidRDefault="00C225AB" w:rsidP="00CB30D2">
      <w:pPr>
        <w:pStyle w:val="SingleTxtGR"/>
        <w:rPr>
          <w:b/>
        </w:rPr>
      </w:pPr>
      <w:r w:rsidRPr="005657CC">
        <w:rPr>
          <w:b/>
        </w:rPr>
        <w:t>Государство-участник должно предусмотреть в пересмотренном Законе о преступлениях на половой почве ex officio судебн</w:t>
      </w:r>
      <w:r>
        <w:rPr>
          <w:b/>
        </w:rPr>
        <w:t>о</w:t>
      </w:r>
      <w:r w:rsidRPr="005657CC">
        <w:rPr>
          <w:b/>
        </w:rPr>
        <w:t>е преследование за л</w:t>
      </w:r>
      <w:r w:rsidRPr="005657CC">
        <w:rPr>
          <w:b/>
        </w:rPr>
        <w:t>ю</w:t>
      </w:r>
      <w:r w:rsidRPr="005657CC">
        <w:rPr>
          <w:b/>
        </w:rPr>
        <w:t>бые формы бытового насилия. Государство-участник должно также обесп</w:t>
      </w:r>
      <w:r w:rsidRPr="005657CC">
        <w:rPr>
          <w:b/>
        </w:rPr>
        <w:t>е</w:t>
      </w:r>
      <w:r w:rsidRPr="005657CC">
        <w:rPr>
          <w:b/>
        </w:rPr>
        <w:t>чивать проведение оп</w:t>
      </w:r>
      <w:r w:rsidRPr="005657CC">
        <w:rPr>
          <w:b/>
        </w:rPr>
        <w:t>е</w:t>
      </w:r>
      <w:r w:rsidRPr="005657CC">
        <w:rPr>
          <w:b/>
        </w:rPr>
        <w:t>ративного и беспристрастного расследования по всем заявлениям о бытовом насилии, а также привлекать к суду и наказ</w:t>
      </w:r>
      <w:r w:rsidRPr="005657CC">
        <w:rPr>
          <w:b/>
        </w:rPr>
        <w:t>ы</w:t>
      </w:r>
      <w:r w:rsidRPr="005657CC">
        <w:rPr>
          <w:b/>
        </w:rPr>
        <w:t>вать правонарушителей. Комитет настоятельно призывает государство-участник принять все необходимые меры для обеспечения эффективной выплаты компенсации пострадавшим и их реабилитации, принимая к св</w:t>
      </w:r>
      <w:r w:rsidRPr="005657CC">
        <w:rPr>
          <w:b/>
        </w:rPr>
        <w:t>е</w:t>
      </w:r>
      <w:r w:rsidRPr="005657CC">
        <w:rPr>
          <w:b/>
        </w:rPr>
        <w:t>дению важную роль Бюро помощи пострадавшим. Государству-участнику следует также активизировать свои усилия в отношении изучения и сбора данных о масштабах бытового насилия. Государству-участнику предлаг</w:t>
      </w:r>
      <w:r w:rsidRPr="005657CC">
        <w:rPr>
          <w:b/>
        </w:rPr>
        <w:t>а</w:t>
      </w:r>
      <w:r w:rsidRPr="005657CC">
        <w:rPr>
          <w:b/>
        </w:rPr>
        <w:t>ется в своем следующем периодическом докладе пре</w:t>
      </w:r>
      <w:r w:rsidRPr="005657CC">
        <w:rPr>
          <w:b/>
        </w:rPr>
        <w:t>д</w:t>
      </w:r>
      <w:r w:rsidRPr="005657CC">
        <w:rPr>
          <w:b/>
        </w:rPr>
        <w:t>ставить Комитету статистическую информацию о жалобах, судебных разбирательствах и в</w:t>
      </w:r>
      <w:r w:rsidRPr="005657CC">
        <w:rPr>
          <w:b/>
        </w:rPr>
        <w:t>ы</w:t>
      </w:r>
      <w:r w:rsidRPr="005657CC">
        <w:rPr>
          <w:b/>
        </w:rPr>
        <w:t>несенных приговорах, а также о выплате компенсации, включая полную реабилитацию, пострада</w:t>
      </w:r>
      <w:r w:rsidRPr="005657CC">
        <w:rPr>
          <w:b/>
        </w:rPr>
        <w:t>в</w:t>
      </w:r>
      <w:r w:rsidRPr="005657CC">
        <w:rPr>
          <w:b/>
        </w:rPr>
        <w:t>шим от насилия.</w:t>
      </w:r>
    </w:p>
    <w:p w:rsidR="00C225AB" w:rsidRDefault="00C225AB" w:rsidP="00CB30D2">
      <w:pPr>
        <w:pStyle w:val="H23GR"/>
      </w:pPr>
      <w:r>
        <w:tab/>
      </w:r>
      <w:r>
        <w:tab/>
        <w:t>Торговля людьми</w:t>
      </w:r>
    </w:p>
    <w:p w:rsidR="00C225AB" w:rsidRDefault="00C225AB" w:rsidP="00CB30D2">
      <w:pPr>
        <w:pStyle w:val="SingleTxtGR"/>
      </w:pPr>
      <w:r>
        <w:t>31.</w:t>
      </w:r>
      <w:r>
        <w:tab/>
        <w:t>Комитет обращает внимание на большое количество иностранок, раб</w:t>
      </w:r>
      <w:r>
        <w:t>о</w:t>
      </w:r>
      <w:r>
        <w:t>тающих танцовщицами в семи ночных клубах государства-участника и на тот факт, что многие из них прибыли из "стран происхождения", занимающих в</w:t>
      </w:r>
      <w:r>
        <w:t>е</w:t>
      </w:r>
      <w:r>
        <w:t>дущие позиции в сфере торговли людьми. Принимая во внимание, что случаев торговли людьми не зарегистрировано, Комитет выражает обеспокоенность в связи с информацией, свидетельствующей о том, что на самом деле торговля женщинами происходит, но не попадает в отчетность. Приветствуя принима</w:t>
      </w:r>
      <w:r>
        <w:t>е</w:t>
      </w:r>
      <w:r>
        <w:t>мые государством-участником меры по предотвращению торговли людьми и сексуальной эксплуатации в сложившихся условиях, включая проведение об</w:t>
      </w:r>
      <w:r>
        <w:t>я</w:t>
      </w:r>
      <w:r>
        <w:t>зательных бесед с новоприбывшими танцовщицами для разъясн</w:t>
      </w:r>
      <w:r>
        <w:t>е</w:t>
      </w:r>
      <w:r>
        <w:t>ния им их прав и обязанностей, а также регулярные проверки восьми клубов сотрудниками н</w:t>
      </w:r>
      <w:r>
        <w:t>а</w:t>
      </w:r>
      <w:r>
        <w:t>циональной полиции, иммиграционного и паспортного управления, Комитет з</w:t>
      </w:r>
      <w:r>
        <w:t>а</w:t>
      </w:r>
      <w:r>
        <w:t>являет о</w:t>
      </w:r>
      <w:r w:rsidRPr="009A1373">
        <w:t xml:space="preserve"> своей озабоченности тем, что</w:t>
      </w:r>
      <w:r>
        <w:t xml:space="preserve"> государство-участник не предприняло никаких </w:t>
      </w:r>
      <w:r>
        <w:rPr>
          <w:lang w:val="en-US"/>
        </w:rPr>
        <w:t>ex</w:t>
      </w:r>
      <w:r w:rsidRPr="009A1373">
        <w:t xml:space="preserve"> </w:t>
      </w:r>
      <w:r>
        <w:rPr>
          <w:lang w:val="en-US"/>
        </w:rPr>
        <w:t>officio</w:t>
      </w:r>
      <w:r w:rsidRPr="009A1373">
        <w:t xml:space="preserve"> расследований предполагаемых случаев торговли</w:t>
      </w:r>
      <w:r>
        <w:t xml:space="preserve"> людьми и не провело ко</w:t>
      </w:r>
      <w:r>
        <w:t>м</w:t>
      </w:r>
      <w:r>
        <w:t>плексного анализа с целью всесторонней оценки положения этой группы женщин, которые остаются уязвимыми для надругательств и насилия. Сказанное имеет особо важное значение с учетом сообщений о том, что пр</w:t>
      </w:r>
      <w:r>
        <w:t>о</w:t>
      </w:r>
      <w:r>
        <w:t>ституция хоть и запрещена в государстве-участнике, правоохранительные орг</w:t>
      </w:r>
      <w:r>
        <w:t>а</w:t>
      </w:r>
      <w:r>
        <w:t>ны "мирятся" с ней в ночных клубах, если при этом не нарушается обществе</w:t>
      </w:r>
      <w:r>
        <w:t>н</w:t>
      </w:r>
      <w:r>
        <w:t>ный порядок (статьи 2, 14 и 16).</w:t>
      </w:r>
    </w:p>
    <w:p w:rsidR="00C225AB" w:rsidRPr="006B2B11" w:rsidRDefault="00C225AB" w:rsidP="00CB30D2">
      <w:pPr>
        <w:pStyle w:val="SingleTxtGR"/>
        <w:rPr>
          <w:b/>
        </w:rPr>
      </w:pPr>
      <w:r w:rsidRPr="006B2B11">
        <w:rPr>
          <w:b/>
        </w:rPr>
        <w:t>Государству-участнику следует провести анализ обстоятельств работы ин</w:t>
      </w:r>
      <w:r w:rsidRPr="006B2B11">
        <w:rPr>
          <w:b/>
        </w:rPr>
        <w:t>о</w:t>
      </w:r>
      <w:r w:rsidRPr="006B2B11">
        <w:rPr>
          <w:b/>
        </w:rPr>
        <w:t>странных танцовщиц в ночных клубах и усилить работу по предотвращ</w:t>
      </w:r>
      <w:r w:rsidRPr="006B2B11">
        <w:rPr>
          <w:b/>
        </w:rPr>
        <w:t>е</w:t>
      </w:r>
      <w:r w:rsidRPr="006B2B11">
        <w:rPr>
          <w:b/>
        </w:rPr>
        <w:t>нию и пресечению торговли людьми, в том числе путем расследования л</w:t>
      </w:r>
      <w:r w:rsidRPr="006B2B11">
        <w:rPr>
          <w:b/>
        </w:rPr>
        <w:t>ю</w:t>
      </w:r>
      <w:r w:rsidRPr="006B2B11">
        <w:rPr>
          <w:b/>
        </w:rPr>
        <w:t>бых утверждений о предполагаемых случаях торговли людьми и обеспеч</w:t>
      </w:r>
      <w:r w:rsidRPr="006B2B11">
        <w:rPr>
          <w:b/>
        </w:rPr>
        <w:t>е</w:t>
      </w:r>
      <w:r w:rsidRPr="006B2B11">
        <w:rPr>
          <w:b/>
        </w:rPr>
        <w:t>ния пострадавших эффективными средствами правовой защиты в интер</w:t>
      </w:r>
      <w:r w:rsidRPr="006B2B11">
        <w:rPr>
          <w:b/>
        </w:rPr>
        <w:t>е</w:t>
      </w:r>
      <w:r w:rsidRPr="006B2B11">
        <w:rPr>
          <w:b/>
        </w:rPr>
        <w:t>сах получения ими справедливой и адекватной компенсации, в том числе средств для как можно более полной реабилит</w:t>
      </w:r>
      <w:r w:rsidRPr="006B2B11">
        <w:rPr>
          <w:b/>
        </w:rPr>
        <w:t>а</w:t>
      </w:r>
      <w:r w:rsidRPr="006B2B11">
        <w:rPr>
          <w:b/>
        </w:rPr>
        <w:t>ции.</w:t>
      </w:r>
    </w:p>
    <w:p w:rsidR="00C225AB" w:rsidRDefault="00C225AB" w:rsidP="00CB30D2">
      <w:pPr>
        <w:pStyle w:val="SingleTxtGR"/>
      </w:pPr>
      <w:r>
        <w:t>32.</w:t>
      </w:r>
      <w:r>
        <w:tab/>
        <w:t>Комитет рекомендует государству-участнику ратифицировать основные договоры Организации Объединенных Наций в области прав человека, к кот</w:t>
      </w:r>
      <w:r>
        <w:t>о</w:t>
      </w:r>
      <w:r>
        <w:t>рым оно еще не присоединилось, а именно Международную конвенцию о защ</w:t>
      </w:r>
      <w:r>
        <w:t>и</w:t>
      </w:r>
      <w:r>
        <w:t>те прав всех трудящихся мигрантов и членов их семей, Факультативный прот</w:t>
      </w:r>
      <w:r>
        <w:t>о</w:t>
      </w:r>
      <w:r>
        <w:t>кол к Международному пакту об экономических, социальных и культурных правах, Конвенцию о правах инвалидов и Факультативный протокол к ней, а также Факультативный протокол к Конвенции о правах ребенка, касающийся торговли детьми, детской проституции и детской порногр</w:t>
      </w:r>
      <w:r>
        <w:t>а</w:t>
      </w:r>
      <w:r>
        <w:t>фии.</w:t>
      </w:r>
    </w:p>
    <w:p w:rsidR="00C225AB" w:rsidRDefault="00C225AB" w:rsidP="00CB30D2">
      <w:pPr>
        <w:pStyle w:val="SingleTxtGR"/>
      </w:pPr>
      <w:r>
        <w:t>33.</w:t>
      </w:r>
      <w:r>
        <w:tab/>
        <w:t>Комитет предлагает государству-участнику представить базовый док</w:t>
      </w:r>
      <w:r>
        <w:t>у</w:t>
      </w:r>
      <w:r>
        <w:t>мент в соответствии с требованиями, предъявляемыми к подготовке общего б</w:t>
      </w:r>
      <w:r>
        <w:t>а</w:t>
      </w:r>
      <w:r>
        <w:t>зового документа, закрепленными в новых согласованных руководящих при</w:t>
      </w:r>
      <w:r>
        <w:t>н</w:t>
      </w:r>
      <w:r>
        <w:t>ципах представления докл</w:t>
      </w:r>
      <w:r>
        <w:t>а</w:t>
      </w:r>
      <w:r>
        <w:t>дов, утвержденных международными договорными органами в области прав человека (HRI/GEN/2/Rev.6).</w:t>
      </w:r>
    </w:p>
    <w:p w:rsidR="00C225AB" w:rsidRDefault="00C225AB" w:rsidP="00CB30D2">
      <w:pPr>
        <w:pStyle w:val="SingleTxtGR"/>
      </w:pPr>
      <w:r w:rsidRPr="009A1373">
        <w:t>34.</w:t>
      </w:r>
      <w:r w:rsidRPr="009A1373">
        <w:tab/>
        <w:t>Государству-участнику настоятельно предлагается</w:t>
      </w:r>
      <w:r>
        <w:t xml:space="preserve"> обеспечить широкое распространение представленного Комитету доклада и заключительных зам</w:t>
      </w:r>
      <w:r>
        <w:t>е</w:t>
      </w:r>
      <w:r>
        <w:t>чаний Комит</w:t>
      </w:r>
      <w:r>
        <w:t>е</w:t>
      </w:r>
      <w:r>
        <w:t>та через официальные вебсайты, средства массовой информации и неправительстве</w:t>
      </w:r>
      <w:r>
        <w:t>н</w:t>
      </w:r>
      <w:r>
        <w:t>ные организации.</w:t>
      </w:r>
    </w:p>
    <w:p w:rsidR="00C225AB" w:rsidRDefault="00C225AB" w:rsidP="00CB30D2">
      <w:pPr>
        <w:pStyle w:val="SingleTxtGR"/>
      </w:pPr>
      <w:r>
        <w:t>35.</w:t>
      </w:r>
      <w:r>
        <w:tab/>
        <w:t>Комитет просит государство-участник представить в течение одного года (к 14 мая 2011 года) информацию о принятых мерах по выполнению рекоме</w:t>
      </w:r>
      <w:r>
        <w:t>н</w:t>
      </w:r>
      <w:r>
        <w:t>даций Комитета, изложенных в пунктах 14, 15 а), 30 и 31 настоящего докуме</w:t>
      </w:r>
      <w:r>
        <w:t>н</w:t>
      </w:r>
      <w:r>
        <w:t>та.</w:t>
      </w:r>
    </w:p>
    <w:p w:rsidR="00C225AB" w:rsidRDefault="00C225AB" w:rsidP="00CB30D2">
      <w:pPr>
        <w:pStyle w:val="SingleTxtGR"/>
      </w:pPr>
      <w:r>
        <w:t>36.</w:t>
      </w:r>
      <w:r>
        <w:tab/>
        <w:t>Государству-участнику предлагается представить свой четвертый пери</w:t>
      </w:r>
      <w:r>
        <w:t>о</w:t>
      </w:r>
      <w:r>
        <w:t>дический доклад к 14 мая 2014 года.</w:t>
      </w:r>
    </w:p>
    <w:p w:rsidR="00C225AB" w:rsidRPr="006B2B11" w:rsidRDefault="00C225AB" w:rsidP="00CB30D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25AB" w:rsidRPr="007F7553" w:rsidRDefault="00C225AB" w:rsidP="00CB30D2">
      <w:pPr>
        <w:pStyle w:val="SingleTxtGR"/>
      </w:pPr>
    </w:p>
    <w:p w:rsidR="00F90607" w:rsidRPr="00FD4C07" w:rsidRDefault="00F90607" w:rsidP="00493599">
      <w:pPr>
        <w:pStyle w:val="SingleTxtGR"/>
      </w:pPr>
    </w:p>
    <w:sectPr w:rsidR="00F90607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CB" w:rsidRDefault="009643CB">
      <w:r>
        <w:rPr>
          <w:lang w:val="en-US"/>
        </w:rPr>
        <w:tab/>
      </w:r>
      <w:r>
        <w:separator/>
      </w:r>
    </w:p>
  </w:endnote>
  <w:endnote w:type="continuationSeparator" w:id="0">
    <w:p w:rsidR="009643CB" w:rsidRDefault="0096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B" w:rsidRPr="00B74BE2" w:rsidRDefault="009643CB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</w:t>
    </w:r>
    <w:r>
      <w:rPr>
        <w:lang w:val="en-US"/>
      </w:rPr>
      <w:t>42639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B" w:rsidRPr="00B74BE2" w:rsidRDefault="009643CB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GE.10-42639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B" w:rsidRPr="00B74BE2" w:rsidRDefault="009643CB">
    <w:pPr>
      <w:pStyle w:val="Footer"/>
      <w:rPr>
        <w:sz w:val="20"/>
        <w:lang w:val="en-US"/>
      </w:rPr>
    </w:pPr>
    <w:r>
      <w:rPr>
        <w:sz w:val="20"/>
        <w:lang w:val="en-US"/>
      </w:rPr>
      <w:t>GE.10-42639   (R)   100610  110610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CB" w:rsidRPr="00F71F63" w:rsidRDefault="009643C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643CB" w:rsidRPr="00F71F63" w:rsidRDefault="009643C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643CB" w:rsidRPr="00635E86" w:rsidRDefault="009643C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B" w:rsidRPr="008C469F" w:rsidRDefault="009643CB">
    <w:pPr>
      <w:pStyle w:val="Header"/>
      <w:rPr>
        <w:lang w:val="en-US"/>
      </w:rPr>
    </w:pPr>
    <w:r>
      <w:rPr>
        <w:lang w:val="en-US"/>
      </w:rPr>
      <w:t>CAT/C/LIE/CO/3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B" w:rsidRPr="00B74BE2" w:rsidRDefault="009643CB">
    <w:pPr>
      <w:pStyle w:val="Header"/>
      <w:rPr>
        <w:lang w:val="en-US"/>
      </w:rPr>
    </w:pPr>
    <w:r>
      <w:rPr>
        <w:lang w:val="en-US"/>
      </w:rPr>
      <w:tab/>
      <w:t>CAT/C/LIE/CO/3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D9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E20FC"/>
    <w:rsid w:val="00117AEE"/>
    <w:rsid w:val="001463F7"/>
    <w:rsid w:val="0015769C"/>
    <w:rsid w:val="00164173"/>
    <w:rsid w:val="00180752"/>
    <w:rsid w:val="00185076"/>
    <w:rsid w:val="0018543C"/>
    <w:rsid w:val="00190231"/>
    <w:rsid w:val="00192ABD"/>
    <w:rsid w:val="001A75D5"/>
    <w:rsid w:val="001A7D40"/>
    <w:rsid w:val="001C1637"/>
    <w:rsid w:val="001D07F7"/>
    <w:rsid w:val="001D384C"/>
    <w:rsid w:val="001D7B8F"/>
    <w:rsid w:val="001E0234"/>
    <w:rsid w:val="001E48EE"/>
    <w:rsid w:val="001F2D04"/>
    <w:rsid w:val="0020059C"/>
    <w:rsid w:val="0020139D"/>
    <w:rsid w:val="002019BD"/>
    <w:rsid w:val="0022340A"/>
    <w:rsid w:val="00232D42"/>
    <w:rsid w:val="00232FC4"/>
    <w:rsid w:val="00237334"/>
    <w:rsid w:val="002444F4"/>
    <w:rsid w:val="002629A0"/>
    <w:rsid w:val="0028492B"/>
    <w:rsid w:val="00291C8F"/>
    <w:rsid w:val="002A29DA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82F08"/>
    <w:rsid w:val="00483AC5"/>
    <w:rsid w:val="00493599"/>
    <w:rsid w:val="004A0DE8"/>
    <w:rsid w:val="004A4CB7"/>
    <w:rsid w:val="004A57B5"/>
    <w:rsid w:val="004B19DA"/>
    <w:rsid w:val="004B6F1F"/>
    <w:rsid w:val="004C2A53"/>
    <w:rsid w:val="004C3B35"/>
    <w:rsid w:val="004C43EC"/>
    <w:rsid w:val="004C75DF"/>
    <w:rsid w:val="004E6729"/>
    <w:rsid w:val="004F0E47"/>
    <w:rsid w:val="0051339C"/>
    <w:rsid w:val="0051412F"/>
    <w:rsid w:val="00522B6F"/>
    <w:rsid w:val="0052430E"/>
    <w:rsid w:val="005276AD"/>
    <w:rsid w:val="005367F9"/>
    <w:rsid w:val="00540A9A"/>
    <w:rsid w:val="00543522"/>
    <w:rsid w:val="00545680"/>
    <w:rsid w:val="0056618E"/>
    <w:rsid w:val="00576F59"/>
    <w:rsid w:val="00577A34"/>
    <w:rsid w:val="00580AAD"/>
    <w:rsid w:val="005823C0"/>
    <w:rsid w:val="00586586"/>
    <w:rsid w:val="00593A04"/>
    <w:rsid w:val="005A6D5A"/>
    <w:rsid w:val="005B1B28"/>
    <w:rsid w:val="005B74E5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4EEA"/>
    <w:rsid w:val="006501A5"/>
    <w:rsid w:val="006567B2"/>
    <w:rsid w:val="00662ADE"/>
    <w:rsid w:val="00664106"/>
    <w:rsid w:val="006756F1"/>
    <w:rsid w:val="00677773"/>
    <w:rsid w:val="006805FC"/>
    <w:rsid w:val="00687EE0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D6"/>
    <w:rsid w:val="00707B5F"/>
    <w:rsid w:val="00710422"/>
    <w:rsid w:val="007138B9"/>
    <w:rsid w:val="00735602"/>
    <w:rsid w:val="0075279B"/>
    <w:rsid w:val="00753748"/>
    <w:rsid w:val="00762446"/>
    <w:rsid w:val="00781ACB"/>
    <w:rsid w:val="007A2A59"/>
    <w:rsid w:val="007A79EB"/>
    <w:rsid w:val="007D4CA0"/>
    <w:rsid w:val="007D7A23"/>
    <w:rsid w:val="007E38C3"/>
    <w:rsid w:val="007E549E"/>
    <w:rsid w:val="007E71C9"/>
    <w:rsid w:val="007F7553"/>
    <w:rsid w:val="008006C3"/>
    <w:rsid w:val="0080755E"/>
    <w:rsid w:val="008120D4"/>
    <w:rsid w:val="008139A5"/>
    <w:rsid w:val="00814638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86D9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3CB"/>
    <w:rsid w:val="00964EEA"/>
    <w:rsid w:val="00980C86"/>
    <w:rsid w:val="009B1D9B"/>
    <w:rsid w:val="009B4074"/>
    <w:rsid w:val="009C30BB"/>
    <w:rsid w:val="009C60BE"/>
    <w:rsid w:val="009E20B5"/>
    <w:rsid w:val="009E6279"/>
    <w:rsid w:val="009F00A6"/>
    <w:rsid w:val="009F56A7"/>
    <w:rsid w:val="009F5B05"/>
    <w:rsid w:val="00A026CA"/>
    <w:rsid w:val="00A03ABA"/>
    <w:rsid w:val="00A07232"/>
    <w:rsid w:val="00A14800"/>
    <w:rsid w:val="00A156DE"/>
    <w:rsid w:val="00A157ED"/>
    <w:rsid w:val="00A2064F"/>
    <w:rsid w:val="00A224DF"/>
    <w:rsid w:val="00A2446A"/>
    <w:rsid w:val="00A325A9"/>
    <w:rsid w:val="00A4025D"/>
    <w:rsid w:val="00A7562A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6201D"/>
    <w:rsid w:val="00B81305"/>
    <w:rsid w:val="00BA7915"/>
    <w:rsid w:val="00BB17DC"/>
    <w:rsid w:val="00BB1AF9"/>
    <w:rsid w:val="00BB4C4A"/>
    <w:rsid w:val="00BD2697"/>
    <w:rsid w:val="00BD3CAE"/>
    <w:rsid w:val="00BD5F3C"/>
    <w:rsid w:val="00C07C0F"/>
    <w:rsid w:val="00C145C4"/>
    <w:rsid w:val="00C20D2F"/>
    <w:rsid w:val="00C2131B"/>
    <w:rsid w:val="00C225AB"/>
    <w:rsid w:val="00C27DE3"/>
    <w:rsid w:val="00C37AF8"/>
    <w:rsid w:val="00C37C79"/>
    <w:rsid w:val="00C37E5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0D2"/>
    <w:rsid w:val="00CB31FB"/>
    <w:rsid w:val="00CE3D6F"/>
    <w:rsid w:val="00CE79A5"/>
    <w:rsid w:val="00CF0042"/>
    <w:rsid w:val="00CF262F"/>
    <w:rsid w:val="00CF3389"/>
    <w:rsid w:val="00D025D5"/>
    <w:rsid w:val="00D13CBB"/>
    <w:rsid w:val="00D26B13"/>
    <w:rsid w:val="00D26CC1"/>
    <w:rsid w:val="00D30662"/>
    <w:rsid w:val="00D32A0B"/>
    <w:rsid w:val="00D34CFC"/>
    <w:rsid w:val="00D6236B"/>
    <w:rsid w:val="00D809D1"/>
    <w:rsid w:val="00D83914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27E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59E6"/>
    <w:rsid w:val="00EF4D1B"/>
    <w:rsid w:val="00EF7295"/>
    <w:rsid w:val="00F069D1"/>
    <w:rsid w:val="00F1503D"/>
    <w:rsid w:val="00F22712"/>
    <w:rsid w:val="00F275F5"/>
    <w:rsid w:val="00F33188"/>
    <w:rsid w:val="00F35BDE"/>
    <w:rsid w:val="00F42A0B"/>
    <w:rsid w:val="00F52A0E"/>
    <w:rsid w:val="00F71F63"/>
    <w:rsid w:val="00F87506"/>
    <w:rsid w:val="00F90607"/>
    <w:rsid w:val="00F92C41"/>
    <w:rsid w:val="00F947E7"/>
    <w:rsid w:val="00FA5522"/>
    <w:rsid w:val="00FA6E4A"/>
    <w:rsid w:val="00FB0AC2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5793</Words>
  <Characters>33021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42639.01</vt:lpstr>
    </vt:vector>
  </TitlesOfParts>
  <Company>CSD</Company>
  <LinksUpToDate>false</LinksUpToDate>
  <CharactersWithSpaces>38737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42639.01</dc:title>
  <dc:subject/>
  <dc:creator>Каспарова</dc:creator>
  <cp:keywords/>
  <dc:description/>
  <cp:lastModifiedBy>ирина сафонова</cp:lastModifiedBy>
  <cp:revision>2</cp:revision>
  <cp:lastPrinted>2010-06-11T11:09:00Z</cp:lastPrinted>
  <dcterms:created xsi:type="dcterms:W3CDTF">2010-06-11T11:14:00Z</dcterms:created>
  <dcterms:modified xsi:type="dcterms:W3CDTF">2010-06-11T11:14:00Z</dcterms:modified>
</cp:coreProperties>
</file>