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F644B" w14:paraId="7E6FDC9E" w14:textId="77777777" w:rsidTr="00E56EE3">
        <w:trPr>
          <w:trHeight w:hRule="exact" w:val="851"/>
        </w:trPr>
        <w:tc>
          <w:tcPr>
            <w:tcW w:w="1280" w:type="dxa"/>
            <w:tcBorders>
              <w:bottom w:val="single" w:sz="4" w:space="0" w:color="auto"/>
            </w:tcBorders>
            <w:shd w:val="clear" w:color="auto" w:fill="auto"/>
          </w:tcPr>
          <w:p w14:paraId="479435CE" w14:textId="32549F62" w:rsidR="002D5AAC" w:rsidRPr="00BA6A4F" w:rsidRDefault="002D5AAC" w:rsidP="00E56EE3">
            <w:pPr>
              <w:rPr>
                <w:lang w:val="es-ES_tradnl"/>
              </w:rPr>
            </w:pPr>
            <w:bookmarkStart w:id="0" w:name="_GoBack"/>
            <w:bookmarkEnd w:id="0"/>
          </w:p>
        </w:tc>
        <w:tc>
          <w:tcPr>
            <w:tcW w:w="2273" w:type="dxa"/>
            <w:tcBorders>
              <w:bottom w:val="single" w:sz="4" w:space="0" w:color="auto"/>
            </w:tcBorders>
            <w:shd w:val="clear" w:color="auto" w:fill="auto"/>
            <w:vAlign w:val="bottom"/>
          </w:tcPr>
          <w:p w14:paraId="1BE108D0" w14:textId="77777777" w:rsidR="002D5AAC" w:rsidRPr="00BA6A4F" w:rsidRDefault="00BD33EE" w:rsidP="00E56EE3">
            <w:pPr>
              <w:spacing w:after="80" w:line="300" w:lineRule="exact"/>
              <w:rPr>
                <w:sz w:val="28"/>
                <w:lang w:val="es-ES_tradnl"/>
              </w:rPr>
            </w:pPr>
            <w:r w:rsidRPr="00BA6A4F">
              <w:rPr>
                <w:sz w:val="28"/>
                <w:lang w:val="es-ES_tradnl"/>
              </w:rPr>
              <w:t>Naciones Unidas</w:t>
            </w:r>
          </w:p>
        </w:tc>
        <w:tc>
          <w:tcPr>
            <w:tcW w:w="6086" w:type="dxa"/>
            <w:gridSpan w:val="2"/>
            <w:tcBorders>
              <w:bottom w:val="single" w:sz="4" w:space="0" w:color="auto"/>
            </w:tcBorders>
            <w:shd w:val="clear" w:color="auto" w:fill="auto"/>
            <w:vAlign w:val="bottom"/>
          </w:tcPr>
          <w:p w14:paraId="231BD966" w14:textId="3CAA63CD" w:rsidR="002D5AAC" w:rsidRPr="00E32B1D" w:rsidRDefault="00D7481B" w:rsidP="00E56EE3">
            <w:pPr>
              <w:jc w:val="right"/>
              <w:rPr>
                <w:lang w:val="en-GB"/>
              </w:rPr>
            </w:pPr>
            <w:proofErr w:type="spellStart"/>
            <w:r w:rsidRPr="00E32B1D">
              <w:rPr>
                <w:sz w:val="40"/>
                <w:lang w:val="en-GB"/>
              </w:rPr>
              <w:t>CERD</w:t>
            </w:r>
            <w:proofErr w:type="spellEnd"/>
            <w:r w:rsidR="00935A0B" w:rsidRPr="00E32B1D">
              <w:rPr>
                <w:lang w:val="en-GB"/>
              </w:rPr>
              <w:t>/</w:t>
            </w:r>
            <w:r w:rsidR="009906D2" w:rsidRPr="00BA6A4F">
              <w:rPr>
                <w:lang w:val="es-ES_tradnl"/>
              </w:rPr>
              <w:fldChar w:fldCharType="begin"/>
            </w:r>
            <w:r w:rsidR="009906D2" w:rsidRPr="00E32B1D">
              <w:rPr>
                <w:lang w:val="en-GB"/>
              </w:rPr>
              <w:instrText xml:space="preserve"> DOCPROPERTY  sym1  \* MERGEFORMAT </w:instrText>
            </w:r>
            <w:r w:rsidR="009906D2" w:rsidRPr="00BA6A4F">
              <w:rPr>
                <w:lang w:val="es-ES_tradnl"/>
              </w:rPr>
              <w:fldChar w:fldCharType="separate"/>
            </w:r>
            <w:r w:rsidR="006F0532">
              <w:rPr>
                <w:lang w:val="en-GB"/>
              </w:rPr>
              <w:t>C/MEX/CO/18-21</w:t>
            </w:r>
            <w:r w:rsidR="009906D2" w:rsidRPr="00BA6A4F">
              <w:rPr>
                <w:lang w:val="es-ES_tradnl"/>
              </w:rPr>
              <w:fldChar w:fldCharType="end"/>
            </w:r>
          </w:p>
        </w:tc>
      </w:tr>
      <w:tr w:rsidR="002D5AAC" w:rsidRPr="00BA6A4F" w14:paraId="274EA558" w14:textId="77777777" w:rsidTr="00E56EE3">
        <w:trPr>
          <w:trHeight w:hRule="exact" w:val="2835"/>
        </w:trPr>
        <w:tc>
          <w:tcPr>
            <w:tcW w:w="1280" w:type="dxa"/>
            <w:tcBorders>
              <w:top w:val="single" w:sz="4" w:space="0" w:color="auto"/>
              <w:bottom w:val="single" w:sz="12" w:space="0" w:color="auto"/>
            </w:tcBorders>
            <w:shd w:val="clear" w:color="auto" w:fill="auto"/>
          </w:tcPr>
          <w:p w14:paraId="246F8CF1" w14:textId="77777777" w:rsidR="002D5AAC" w:rsidRPr="00BA6A4F" w:rsidRDefault="000107AA" w:rsidP="00E56EE3">
            <w:pPr>
              <w:spacing w:before="120"/>
              <w:jc w:val="center"/>
              <w:rPr>
                <w:lang w:val="es-ES_tradnl"/>
              </w:rPr>
            </w:pPr>
            <w:r w:rsidRPr="00BA6A4F">
              <w:rPr>
                <w:noProof/>
                <w:lang w:val="en-GB" w:eastAsia="en-GB"/>
              </w:rPr>
              <w:drawing>
                <wp:inline distT="0" distB="0" distL="0" distR="0" wp14:anchorId="43C67135" wp14:editId="2EF1D685">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67EB09F" w14:textId="77777777" w:rsidR="002D5AAC" w:rsidRPr="00BA6A4F" w:rsidRDefault="00D7481B" w:rsidP="00D7481B">
            <w:pPr>
              <w:spacing w:before="120" w:line="380" w:lineRule="exact"/>
              <w:rPr>
                <w:b/>
                <w:sz w:val="34"/>
                <w:szCs w:val="34"/>
                <w:lang w:val="es-ES_tradnl"/>
              </w:rPr>
            </w:pPr>
            <w:r w:rsidRPr="00BA6A4F">
              <w:rPr>
                <w:b/>
                <w:sz w:val="34"/>
                <w:szCs w:val="34"/>
                <w:lang w:val="es-ES_tradnl"/>
              </w:rPr>
              <w:t>Convención Internacional sobre</w:t>
            </w:r>
            <w:r w:rsidRPr="00BA6A4F">
              <w:rPr>
                <w:b/>
                <w:sz w:val="34"/>
                <w:szCs w:val="34"/>
                <w:lang w:val="es-ES_tradnl"/>
              </w:rPr>
              <w:br/>
              <w:t>la Eliminación de Todas las Formas</w:t>
            </w:r>
            <w:r w:rsidRPr="00BA6A4F">
              <w:rPr>
                <w:b/>
                <w:sz w:val="34"/>
                <w:szCs w:val="34"/>
                <w:lang w:val="es-ES_tradnl"/>
              </w:rPr>
              <w:br/>
              <w:t>de Discriminación Racial</w:t>
            </w:r>
          </w:p>
        </w:tc>
        <w:tc>
          <w:tcPr>
            <w:tcW w:w="2819" w:type="dxa"/>
            <w:tcBorders>
              <w:top w:val="single" w:sz="4" w:space="0" w:color="auto"/>
              <w:bottom w:val="single" w:sz="12" w:space="0" w:color="auto"/>
            </w:tcBorders>
            <w:shd w:val="clear" w:color="auto" w:fill="auto"/>
          </w:tcPr>
          <w:p w14:paraId="3E5DDDCE" w14:textId="7D2162C1" w:rsidR="004D2A95" w:rsidRDefault="004D2A95" w:rsidP="00584DFD">
            <w:pPr>
              <w:spacing w:before="240" w:line="240" w:lineRule="exact"/>
              <w:rPr>
                <w:lang w:val="es-ES_tradnl"/>
              </w:rPr>
            </w:pPr>
            <w:proofErr w:type="spellStart"/>
            <w:r>
              <w:rPr>
                <w:lang w:val="es-ES_tradnl"/>
              </w:rPr>
              <w:t>Distr</w:t>
            </w:r>
            <w:proofErr w:type="spellEnd"/>
            <w:r>
              <w:rPr>
                <w:lang w:val="es-ES_tradnl"/>
              </w:rPr>
              <w:t>. general</w:t>
            </w:r>
            <w:r>
              <w:rPr>
                <w:lang w:val="es-ES_tradnl"/>
              </w:rPr>
              <w:br/>
              <w:t>19 de septiembre de 2019</w:t>
            </w:r>
          </w:p>
          <w:p w14:paraId="3CA1D3FF" w14:textId="53A9BAE8" w:rsidR="002D5AAC" w:rsidRPr="00BA6A4F" w:rsidRDefault="004D2A95" w:rsidP="00935A0B">
            <w:pPr>
              <w:spacing w:line="240" w:lineRule="exact"/>
              <w:rPr>
                <w:lang w:val="es-ES_tradnl"/>
              </w:rPr>
            </w:pPr>
            <w:r>
              <w:rPr>
                <w:lang w:val="es-ES_tradnl"/>
              </w:rPr>
              <w:br/>
              <w:t>Original: español</w:t>
            </w:r>
          </w:p>
        </w:tc>
      </w:tr>
    </w:tbl>
    <w:p w14:paraId="6558653D" w14:textId="6B945D6A" w:rsidR="00C2230A" w:rsidRPr="001A2D1F" w:rsidRDefault="00D7481B" w:rsidP="00584DFD">
      <w:pPr>
        <w:spacing w:before="120"/>
        <w:rPr>
          <w:b/>
          <w:bCs/>
          <w:lang w:val="es-ES_tradnl"/>
        </w:rPr>
      </w:pPr>
      <w:r w:rsidRPr="00BA6A4F">
        <w:rPr>
          <w:b/>
          <w:sz w:val="24"/>
          <w:szCs w:val="24"/>
          <w:lang w:val="es-ES_tradnl"/>
        </w:rPr>
        <w:t>Comité para la Eliminación de la Discriminación Racial</w:t>
      </w:r>
    </w:p>
    <w:p w14:paraId="1E78D2EA" w14:textId="18776CC5" w:rsidR="00995F75" w:rsidRPr="00BA6A4F" w:rsidRDefault="001A4396" w:rsidP="00584DFD">
      <w:pPr>
        <w:pStyle w:val="HChG"/>
        <w:rPr>
          <w:rFonts w:eastAsia="Times New Roman"/>
          <w:sz w:val="24"/>
          <w:lang w:val="es-ES_tradnl"/>
        </w:rPr>
      </w:pPr>
      <w:r w:rsidRPr="00BA6A4F">
        <w:rPr>
          <w:color w:val="000000"/>
          <w:lang w:val="es-ES_tradnl"/>
        </w:rPr>
        <w:tab/>
      </w:r>
      <w:r w:rsidRPr="00BA6A4F">
        <w:rPr>
          <w:color w:val="000000"/>
          <w:lang w:val="es-ES_tradnl"/>
        </w:rPr>
        <w:tab/>
      </w:r>
      <w:r w:rsidR="00995F75" w:rsidRPr="00BA6A4F">
        <w:rPr>
          <w:lang w:val="es-ES_tradnl"/>
        </w:rPr>
        <w:t>Observaciones finales sobre</w:t>
      </w:r>
      <w:r w:rsidR="00A4526D" w:rsidRPr="00BA6A4F">
        <w:rPr>
          <w:lang w:val="es-ES_tradnl"/>
        </w:rPr>
        <w:t xml:space="preserve"> </w:t>
      </w:r>
      <w:r w:rsidR="00D65F3D" w:rsidRPr="00BA6A4F">
        <w:rPr>
          <w:lang w:val="es-ES_tradnl"/>
        </w:rPr>
        <w:t>los</w:t>
      </w:r>
      <w:r w:rsidR="009A7FC7" w:rsidRPr="00BA6A4F">
        <w:rPr>
          <w:lang w:val="es-ES_tradnl"/>
        </w:rPr>
        <w:t xml:space="preserve"> </w:t>
      </w:r>
      <w:r w:rsidR="00A4526D" w:rsidRPr="00BA6A4F">
        <w:rPr>
          <w:szCs w:val="28"/>
          <w:lang w:val="es-ES_tradnl" w:eastAsia="en-US"/>
        </w:rPr>
        <w:fldChar w:fldCharType="begin"/>
      </w:r>
      <w:r w:rsidR="00A4526D" w:rsidRPr="00BA6A4F">
        <w:rPr>
          <w:szCs w:val="28"/>
          <w:lang w:val="es-ES_tradnl" w:eastAsia="en-US"/>
        </w:rPr>
        <w:instrText xml:space="preserve"> DOCPROPERTY  preps  \* MERGEFORMAT </w:instrText>
      </w:r>
      <w:r w:rsidR="00A4526D" w:rsidRPr="00BA6A4F">
        <w:rPr>
          <w:szCs w:val="28"/>
          <w:lang w:val="es-ES_tradnl" w:eastAsia="en-US"/>
        </w:rPr>
        <w:fldChar w:fldCharType="separate"/>
      </w:r>
      <w:r w:rsidR="006F0532">
        <w:rPr>
          <w:szCs w:val="28"/>
          <w:lang w:val="es-ES_tradnl" w:eastAsia="en-US"/>
        </w:rPr>
        <w:t xml:space="preserve">informes periódicos </w:t>
      </w:r>
      <w:r w:rsidR="006560D5">
        <w:rPr>
          <w:szCs w:val="28"/>
          <w:lang w:val="es-ES_tradnl" w:eastAsia="en-US"/>
        </w:rPr>
        <w:br/>
      </w:r>
      <w:r w:rsidR="006F0532">
        <w:rPr>
          <w:szCs w:val="28"/>
          <w:lang w:val="es-ES_tradnl" w:eastAsia="en-US"/>
        </w:rPr>
        <w:t>18ᵒ a 21ᵒ combinados de México</w:t>
      </w:r>
      <w:r w:rsidR="00A4526D" w:rsidRPr="00BA6A4F">
        <w:rPr>
          <w:szCs w:val="28"/>
          <w:lang w:val="es-ES_tradnl" w:eastAsia="en-US"/>
        </w:rPr>
        <w:fldChar w:fldCharType="end"/>
      </w:r>
      <w:r w:rsidR="00EC3D32" w:rsidRPr="008508AE">
        <w:rPr>
          <w:rStyle w:val="Refdenotaalpie"/>
          <w:b w:val="0"/>
          <w:sz w:val="20"/>
          <w:vertAlign w:val="baseline"/>
        </w:rPr>
        <w:footnoteReference w:customMarkFollows="1" w:id="1"/>
        <w:t>*</w:t>
      </w:r>
    </w:p>
    <w:p w14:paraId="1C402D48" w14:textId="06E13AEC" w:rsidR="004A09B8" w:rsidRPr="00BA6A4F" w:rsidRDefault="006560D5" w:rsidP="00584DFD">
      <w:pPr>
        <w:pStyle w:val="SingleTxtG"/>
        <w:rPr>
          <w:lang w:val="es-ES_tradnl"/>
        </w:rPr>
      </w:pPr>
      <w:r w:rsidRPr="00BA6A4F">
        <w:rPr>
          <w:lang w:val="es-ES_tradnl"/>
        </w:rPr>
        <w:t>1.</w:t>
      </w:r>
      <w:r w:rsidRPr="00BA6A4F">
        <w:rPr>
          <w:lang w:val="es-ES_tradnl"/>
        </w:rPr>
        <w:tab/>
      </w:r>
      <w:r w:rsidR="004A09B8" w:rsidRPr="00BA6A4F">
        <w:rPr>
          <w:lang w:val="es-ES_tradnl"/>
        </w:rPr>
        <w:t xml:space="preserve">El Comité examinó los informes periódicos </w:t>
      </w:r>
      <w:r w:rsidR="00D65F3D" w:rsidRPr="00BA6A4F">
        <w:rPr>
          <w:lang w:val="es-ES_tradnl"/>
        </w:rPr>
        <w:t>18</w:t>
      </w:r>
      <w:r w:rsidR="00C132FC">
        <w:rPr>
          <w:lang w:val="es-ES_tradnl"/>
        </w:rPr>
        <w:t>º</w:t>
      </w:r>
      <w:r w:rsidR="00D65F3D" w:rsidRPr="00BA6A4F">
        <w:rPr>
          <w:lang w:val="es-ES_tradnl"/>
        </w:rPr>
        <w:t xml:space="preserve"> a 21</w:t>
      </w:r>
      <w:r w:rsidR="00C132FC">
        <w:rPr>
          <w:lang w:val="es-ES_tradnl"/>
        </w:rPr>
        <w:t>º</w:t>
      </w:r>
      <w:r w:rsidR="00D65F3D" w:rsidRPr="00BA6A4F">
        <w:rPr>
          <w:lang w:val="es-ES_tradnl"/>
        </w:rPr>
        <w:t xml:space="preserve"> </w:t>
      </w:r>
      <w:r w:rsidR="004A09B8" w:rsidRPr="00BA6A4F">
        <w:rPr>
          <w:lang w:val="es-ES_tradnl"/>
        </w:rPr>
        <w:t>combinados</w:t>
      </w:r>
      <w:r w:rsidR="00D65F3D" w:rsidRPr="00BA6A4F">
        <w:rPr>
          <w:lang w:val="es-ES_tradnl"/>
        </w:rPr>
        <w:t xml:space="preserve"> </w:t>
      </w:r>
      <w:r w:rsidR="004A09B8" w:rsidRPr="00BA6A4F">
        <w:rPr>
          <w:lang w:val="es-ES_tradnl"/>
        </w:rPr>
        <w:t xml:space="preserve">de </w:t>
      </w:r>
      <w:r w:rsidR="00D65F3D" w:rsidRPr="00BA6A4F">
        <w:rPr>
          <w:lang w:val="es-ES_tradnl"/>
        </w:rPr>
        <w:t>México</w:t>
      </w:r>
      <w:r w:rsidR="004A09B8" w:rsidRPr="00BA6A4F">
        <w:rPr>
          <w:lang w:val="es-ES_tradnl"/>
        </w:rPr>
        <w:t xml:space="preserve"> (CERD/C/</w:t>
      </w:r>
      <w:r w:rsidR="00D65F3D" w:rsidRPr="00BA6A4F">
        <w:rPr>
          <w:lang w:val="es-ES_tradnl"/>
        </w:rPr>
        <w:t>MEX</w:t>
      </w:r>
      <w:r w:rsidR="004A09B8" w:rsidRPr="00BA6A4F">
        <w:rPr>
          <w:lang w:val="es-ES_tradnl"/>
        </w:rPr>
        <w:t>/</w:t>
      </w:r>
      <w:r w:rsidR="00D65F3D" w:rsidRPr="00BA6A4F">
        <w:rPr>
          <w:lang w:val="es-ES_tradnl"/>
        </w:rPr>
        <w:t>18-21</w:t>
      </w:r>
      <w:r w:rsidR="004A09B8" w:rsidRPr="00BA6A4F">
        <w:rPr>
          <w:lang w:val="es-ES_tradnl"/>
        </w:rPr>
        <w:t>), pr</w:t>
      </w:r>
      <w:r w:rsidR="00D65F3D" w:rsidRPr="00BA6A4F">
        <w:rPr>
          <w:lang w:val="es-ES_tradnl"/>
        </w:rPr>
        <w:t>esentados en un solo documento,</w:t>
      </w:r>
      <w:r w:rsidR="004A09B8" w:rsidRPr="00BA6A4F">
        <w:rPr>
          <w:lang w:val="es-ES_tradnl"/>
        </w:rPr>
        <w:t xml:space="preserve"> en sus </w:t>
      </w:r>
      <w:r w:rsidR="00D65F3D" w:rsidRPr="00BA6A4F">
        <w:rPr>
          <w:lang w:val="es-ES_tradnl"/>
        </w:rPr>
        <w:t xml:space="preserve">2745ª </w:t>
      </w:r>
      <w:r w:rsidR="004A09B8" w:rsidRPr="00BA6A4F">
        <w:rPr>
          <w:lang w:val="es-ES_tradnl"/>
        </w:rPr>
        <w:t xml:space="preserve">y </w:t>
      </w:r>
      <w:r w:rsidR="00D65F3D" w:rsidRPr="00BA6A4F">
        <w:rPr>
          <w:lang w:val="es-ES_tradnl"/>
        </w:rPr>
        <w:t xml:space="preserve">2746ª sesiones </w:t>
      </w:r>
      <w:r w:rsidR="004A09B8" w:rsidRPr="00BA6A4F">
        <w:rPr>
          <w:lang w:val="es-ES_tradnl"/>
        </w:rPr>
        <w:t>(CERD/C/SR.</w:t>
      </w:r>
      <w:r w:rsidR="00D65F3D" w:rsidRPr="00BA6A4F">
        <w:rPr>
          <w:lang w:val="es-ES_tradnl"/>
        </w:rPr>
        <w:t>2745</w:t>
      </w:r>
      <w:r w:rsidR="004A09B8" w:rsidRPr="00BA6A4F">
        <w:rPr>
          <w:lang w:val="es-ES_tradnl"/>
        </w:rPr>
        <w:t xml:space="preserve"> y </w:t>
      </w:r>
      <w:r w:rsidR="00D65F3D" w:rsidRPr="00BA6A4F">
        <w:rPr>
          <w:lang w:val="es-ES_tradnl"/>
        </w:rPr>
        <w:t>2746</w:t>
      </w:r>
      <w:r w:rsidR="004A09B8" w:rsidRPr="00BA6A4F">
        <w:rPr>
          <w:lang w:val="es-ES_tradnl"/>
        </w:rPr>
        <w:t xml:space="preserve">), celebradas los días </w:t>
      </w:r>
      <w:r w:rsidR="00D65F3D" w:rsidRPr="00BA6A4F">
        <w:rPr>
          <w:lang w:val="es-ES_tradnl"/>
        </w:rPr>
        <w:t>8 y 9 de agosto de 2019</w:t>
      </w:r>
      <w:r w:rsidR="004A09B8" w:rsidRPr="00BA6A4F">
        <w:rPr>
          <w:lang w:val="es-ES_tradnl"/>
        </w:rPr>
        <w:t xml:space="preserve">. En su </w:t>
      </w:r>
      <w:r w:rsidR="00877429">
        <w:rPr>
          <w:lang w:val="es-ES_tradnl"/>
        </w:rPr>
        <w:t>2765ª</w:t>
      </w:r>
      <w:r w:rsidR="00C132FC">
        <w:rPr>
          <w:lang w:val="es-ES_tradnl"/>
        </w:rPr>
        <w:t xml:space="preserve"> </w:t>
      </w:r>
      <w:r w:rsidR="00C132FC" w:rsidRPr="00BA6A4F">
        <w:rPr>
          <w:lang w:val="es-ES_tradnl"/>
        </w:rPr>
        <w:t>sesión</w:t>
      </w:r>
      <w:r w:rsidR="00877429" w:rsidRPr="00C2230A">
        <w:rPr>
          <w:lang w:val="es-ES_tradnl"/>
        </w:rPr>
        <w:t xml:space="preserve">, </w:t>
      </w:r>
      <w:r w:rsidR="004A09B8" w:rsidRPr="00C2230A">
        <w:rPr>
          <w:lang w:val="es-ES_tradnl"/>
        </w:rPr>
        <w:t xml:space="preserve">celebrada el </w:t>
      </w:r>
      <w:r w:rsidR="00877429">
        <w:rPr>
          <w:lang w:val="es-ES_tradnl"/>
        </w:rPr>
        <w:t>23</w:t>
      </w:r>
      <w:r w:rsidR="00877429" w:rsidRPr="00BA6A4F">
        <w:rPr>
          <w:lang w:val="es-ES_tradnl"/>
        </w:rPr>
        <w:t xml:space="preserve"> </w:t>
      </w:r>
      <w:r w:rsidR="00D65F3D" w:rsidRPr="00BA6A4F">
        <w:rPr>
          <w:lang w:val="es-ES_tradnl"/>
        </w:rPr>
        <w:t>de agosto de 2019</w:t>
      </w:r>
      <w:r w:rsidR="004A09B8" w:rsidRPr="00BA6A4F">
        <w:rPr>
          <w:lang w:val="es-ES_tradnl"/>
        </w:rPr>
        <w:t>, aprobó las presentes observaciones finales.</w:t>
      </w:r>
    </w:p>
    <w:p w14:paraId="6515E790" w14:textId="77777777" w:rsidR="004A09B8" w:rsidRPr="00BA6A4F" w:rsidRDefault="004A09B8" w:rsidP="004A09B8">
      <w:pPr>
        <w:pStyle w:val="H1G"/>
        <w:rPr>
          <w:lang w:val="es-ES_tradnl"/>
        </w:rPr>
      </w:pPr>
      <w:r w:rsidRPr="00BA6A4F">
        <w:rPr>
          <w:lang w:val="es-ES_tradnl"/>
        </w:rPr>
        <w:tab/>
        <w:t>A.</w:t>
      </w:r>
      <w:r w:rsidRPr="00BA6A4F">
        <w:rPr>
          <w:lang w:val="es-ES_tradnl"/>
        </w:rPr>
        <w:tab/>
        <w:t>Introducción</w:t>
      </w:r>
    </w:p>
    <w:p w14:paraId="1461794C" w14:textId="12DEFE9C" w:rsidR="004A09B8" w:rsidRPr="00AF48B7" w:rsidRDefault="006560D5" w:rsidP="00584DFD">
      <w:pPr>
        <w:pStyle w:val="SingleTxtG"/>
        <w:rPr>
          <w:lang w:val="es-ES_tradnl"/>
        </w:rPr>
      </w:pPr>
      <w:r w:rsidRPr="00AF48B7">
        <w:rPr>
          <w:lang w:val="es-ES_tradnl"/>
        </w:rPr>
        <w:t>2.</w:t>
      </w:r>
      <w:r w:rsidRPr="00AF48B7">
        <w:rPr>
          <w:lang w:val="es-ES_tradnl"/>
        </w:rPr>
        <w:tab/>
      </w:r>
      <w:r w:rsidR="004A09B8" w:rsidRPr="00AF48B7">
        <w:rPr>
          <w:lang w:val="es-ES_tradnl"/>
        </w:rPr>
        <w:t xml:space="preserve">El Comité acoge con beneplácito la presentación </w:t>
      </w:r>
      <w:r w:rsidR="00D65F3D" w:rsidRPr="00AF48B7">
        <w:rPr>
          <w:lang w:val="es-ES_tradnl"/>
        </w:rPr>
        <w:t>de los informes periódicos 18</w:t>
      </w:r>
      <w:r w:rsidR="00AF48B7" w:rsidRPr="00AF48B7">
        <w:rPr>
          <w:lang w:val="es-ES_tradnl"/>
        </w:rPr>
        <w:t>º</w:t>
      </w:r>
      <w:r w:rsidR="00AF48B7">
        <w:rPr>
          <w:lang w:val="es-ES_tradnl"/>
        </w:rPr>
        <w:t> </w:t>
      </w:r>
      <w:r w:rsidR="00D65F3D" w:rsidRPr="00AF48B7">
        <w:rPr>
          <w:lang w:val="es-ES_tradnl"/>
        </w:rPr>
        <w:t>a</w:t>
      </w:r>
      <w:r w:rsidR="00AF48B7" w:rsidRPr="00AF48B7">
        <w:rPr>
          <w:lang w:val="es-ES_tradnl"/>
        </w:rPr>
        <w:t> </w:t>
      </w:r>
      <w:r w:rsidR="00D65F3D" w:rsidRPr="00AF48B7">
        <w:rPr>
          <w:lang w:val="es-ES_tradnl"/>
        </w:rPr>
        <w:t>21</w:t>
      </w:r>
      <w:r w:rsidR="00AF48B7" w:rsidRPr="00AF48B7">
        <w:rPr>
          <w:lang w:val="es-ES_tradnl"/>
        </w:rPr>
        <w:t>º</w:t>
      </w:r>
      <w:r w:rsidR="00D65F3D" w:rsidRPr="00AF48B7">
        <w:rPr>
          <w:lang w:val="es-ES_tradnl"/>
        </w:rPr>
        <w:t xml:space="preserve"> combinados del Estado parte, presentados en un solo documento</w:t>
      </w:r>
      <w:r w:rsidR="004A09B8" w:rsidRPr="00AF48B7">
        <w:rPr>
          <w:lang w:val="es-ES_tradnl"/>
        </w:rPr>
        <w:t>.</w:t>
      </w:r>
      <w:r w:rsidR="00D65F3D" w:rsidRPr="00AF48B7">
        <w:rPr>
          <w:lang w:val="es-ES_tradnl"/>
        </w:rPr>
        <w:t xml:space="preserve"> El Comité expresa su satisfacción con el diálogo abierto</w:t>
      </w:r>
      <w:r w:rsidR="00877429">
        <w:rPr>
          <w:lang w:val="es-ES_tradnl"/>
        </w:rPr>
        <w:t xml:space="preserve"> y con</w:t>
      </w:r>
      <w:r w:rsidR="00CF644B">
        <w:rPr>
          <w:lang w:val="es-ES_tradnl"/>
        </w:rPr>
        <w:t>s</w:t>
      </w:r>
      <w:r w:rsidR="00877429">
        <w:rPr>
          <w:lang w:val="es-ES_tradnl"/>
        </w:rPr>
        <w:t>tructivo</w:t>
      </w:r>
      <w:r w:rsidR="00D65F3D" w:rsidRPr="00AF48B7">
        <w:rPr>
          <w:lang w:val="es-ES_tradnl"/>
        </w:rPr>
        <w:t xml:space="preserve"> que mantuvo con la delegación de alto nivel </w:t>
      </w:r>
      <w:r w:rsidR="00114C94" w:rsidRPr="00AF48B7">
        <w:rPr>
          <w:lang w:val="es-ES_tradnl"/>
        </w:rPr>
        <w:t xml:space="preserve">que representaba todas las ramas de gobierno del Estado parte </w:t>
      </w:r>
      <w:r w:rsidR="00D65F3D" w:rsidRPr="00AF48B7">
        <w:rPr>
          <w:lang w:val="es-ES_tradnl"/>
        </w:rPr>
        <w:t xml:space="preserve">y agradece la información adicional proporcionada después del diálogo. </w:t>
      </w:r>
    </w:p>
    <w:p w14:paraId="7A77275B" w14:textId="54A948B6" w:rsidR="004A09B8" w:rsidRPr="00BA6A4F" w:rsidRDefault="004A09B8" w:rsidP="00AF48B7">
      <w:pPr>
        <w:pStyle w:val="H1G"/>
        <w:rPr>
          <w:lang w:val="es-ES_tradnl"/>
        </w:rPr>
      </w:pPr>
      <w:r w:rsidRPr="00BA6A4F">
        <w:rPr>
          <w:lang w:val="es-ES_tradnl"/>
        </w:rPr>
        <w:tab/>
        <w:t>B.</w:t>
      </w:r>
      <w:r w:rsidRPr="00BA6A4F">
        <w:rPr>
          <w:lang w:val="es-ES_tradnl"/>
        </w:rPr>
        <w:tab/>
        <w:t>Aspectos positivos</w:t>
      </w:r>
    </w:p>
    <w:p w14:paraId="482DCA97" w14:textId="406BEC7B" w:rsidR="004A09B8" w:rsidRPr="00BA6A4F" w:rsidRDefault="006560D5" w:rsidP="00584DFD">
      <w:pPr>
        <w:pStyle w:val="SingleTxtG"/>
        <w:rPr>
          <w:lang w:val="es-ES_tradnl"/>
        </w:rPr>
      </w:pPr>
      <w:r w:rsidRPr="00BA6A4F">
        <w:rPr>
          <w:lang w:val="es-ES_tradnl"/>
        </w:rPr>
        <w:t>3.</w:t>
      </w:r>
      <w:r w:rsidRPr="00BA6A4F">
        <w:rPr>
          <w:lang w:val="es-ES_tradnl"/>
        </w:rPr>
        <w:tab/>
      </w:r>
      <w:r w:rsidR="004A09B8" w:rsidRPr="00BA6A4F">
        <w:rPr>
          <w:lang w:val="es-ES_tradnl"/>
        </w:rPr>
        <w:t xml:space="preserve">El Comité acoge con beneplácito </w:t>
      </w:r>
      <w:r w:rsidR="00FA5AFD">
        <w:rPr>
          <w:lang w:val="es-ES_tradnl"/>
        </w:rPr>
        <w:t xml:space="preserve">los avances realizados por el Estado parte con relación a la lucha contra la discriminación racial, en particular celebra la adopción de las </w:t>
      </w:r>
      <w:r w:rsidR="007A174E">
        <w:rPr>
          <w:lang w:val="es-ES_tradnl"/>
        </w:rPr>
        <w:t>siguientes medidas legislativas</w:t>
      </w:r>
      <w:r w:rsidR="00FA5AFD">
        <w:rPr>
          <w:lang w:val="es-ES_tradnl"/>
        </w:rPr>
        <w:t>, institucionales</w:t>
      </w:r>
      <w:r w:rsidR="007A174E">
        <w:rPr>
          <w:lang w:val="es-ES_tradnl"/>
        </w:rPr>
        <w:t xml:space="preserve"> y de políticas públicas</w:t>
      </w:r>
      <w:r w:rsidR="004A09B8" w:rsidRPr="00BA6A4F">
        <w:rPr>
          <w:lang w:val="es-ES_tradnl"/>
        </w:rPr>
        <w:t>:</w:t>
      </w:r>
    </w:p>
    <w:p w14:paraId="1FC1D880" w14:textId="12542068" w:rsidR="00BB5585" w:rsidRPr="00BA6A4F" w:rsidRDefault="006560D5" w:rsidP="00584DFD">
      <w:pPr>
        <w:pStyle w:val="SingleTxtG"/>
        <w:ind w:firstLine="567"/>
        <w:rPr>
          <w:lang w:val="es-ES_tradnl"/>
        </w:rPr>
      </w:pPr>
      <w:r w:rsidRPr="00BA6A4F">
        <w:rPr>
          <w:lang w:val="es-ES_tradnl"/>
        </w:rPr>
        <w:t>a)</w:t>
      </w:r>
      <w:r w:rsidRPr="00BA6A4F">
        <w:rPr>
          <w:lang w:val="es-ES_tradnl"/>
        </w:rPr>
        <w:tab/>
      </w:r>
      <w:r w:rsidR="00FA5AFD">
        <w:rPr>
          <w:lang w:val="es-ES_tradnl"/>
        </w:rPr>
        <w:t>El</w:t>
      </w:r>
      <w:r w:rsidR="008F0E5D" w:rsidRPr="00BA6A4F">
        <w:rPr>
          <w:lang w:val="es-ES_tradnl"/>
        </w:rPr>
        <w:t xml:space="preserve"> reconocimiento constitucional de los pueblos y comunidades </w:t>
      </w:r>
      <w:proofErr w:type="spellStart"/>
      <w:r w:rsidR="00BB5585" w:rsidRPr="00BA6A4F">
        <w:rPr>
          <w:lang w:val="es-ES_tradnl"/>
        </w:rPr>
        <w:t>afromexicanas</w:t>
      </w:r>
      <w:proofErr w:type="spellEnd"/>
      <w:r w:rsidR="00BB5585" w:rsidRPr="00BA6A4F">
        <w:rPr>
          <w:lang w:val="es-ES_tradnl"/>
        </w:rPr>
        <w:t xml:space="preserve"> </w:t>
      </w:r>
      <w:r w:rsidR="00FA5AFD">
        <w:rPr>
          <w:lang w:val="es-ES_tradnl"/>
        </w:rPr>
        <w:t>en</w:t>
      </w:r>
      <w:r w:rsidR="00BB5585" w:rsidRPr="00BA6A4F">
        <w:rPr>
          <w:lang w:val="es-ES_tradnl"/>
        </w:rPr>
        <w:t xml:space="preserve"> 2019</w:t>
      </w:r>
      <w:r w:rsidR="004A09B8" w:rsidRPr="00BA6A4F">
        <w:rPr>
          <w:lang w:val="es-ES_tradnl"/>
        </w:rPr>
        <w:t>;</w:t>
      </w:r>
    </w:p>
    <w:p w14:paraId="61AB6D83" w14:textId="0FDA70DB" w:rsidR="007A174E" w:rsidRDefault="006560D5" w:rsidP="00584DFD">
      <w:pPr>
        <w:pStyle w:val="SingleTxtG"/>
        <w:ind w:firstLine="567"/>
        <w:rPr>
          <w:lang w:val="es-ES_tradnl"/>
        </w:rPr>
      </w:pPr>
      <w:r>
        <w:rPr>
          <w:lang w:val="es-ES_tradnl"/>
        </w:rPr>
        <w:t>b)</w:t>
      </w:r>
      <w:r>
        <w:rPr>
          <w:lang w:val="es-ES_tradnl"/>
        </w:rPr>
        <w:tab/>
      </w:r>
      <w:r w:rsidR="007A174E">
        <w:rPr>
          <w:lang w:val="es-ES_tradnl"/>
        </w:rPr>
        <w:t>La</w:t>
      </w:r>
      <w:r w:rsidR="00FA5AFD">
        <w:rPr>
          <w:lang w:val="es-ES_tradnl"/>
        </w:rPr>
        <w:t xml:space="preserve">s </w:t>
      </w:r>
      <w:r w:rsidR="007A174E">
        <w:rPr>
          <w:lang w:val="es-ES_tradnl"/>
        </w:rPr>
        <w:t>r</w:t>
      </w:r>
      <w:r w:rsidR="00BB5585" w:rsidRPr="00BA6A4F">
        <w:rPr>
          <w:lang w:val="es-ES_tradnl"/>
        </w:rPr>
        <w:t xml:space="preserve">eformas </w:t>
      </w:r>
      <w:r w:rsidR="00FA5AFD">
        <w:rPr>
          <w:lang w:val="es-ES_tradnl"/>
        </w:rPr>
        <w:t xml:space="preserve">realizadas </w:t>
      </w:r>
      <w:r w:rsidR="00BB5585" w:rsidRPr="00BA6A4F">
        <w:rPr>
          <w:lang w:val="es-ES_tradnl"/>
        </w:rPr>
        <w:t xml:space="preserve">a la Ley Federal para Prevenir y Eliminar la </w:t>
      </w:r>
      <w:r w:rsidR="003657CC">
        <w:rPr>
          <w:lang w:val="es-ES_tradnl"/>
        </w:rPr>
        <w:t>Discriminación de junio de 2018</w:t>
      </w:r>
      <w:r w:rsidR="007A174E">
        <w:rPr>
          <w:lang w:val="es-ES_tradnl"/>
        </w:rPr>
        <w:t>;</w:t>
      </w:r>
    </w:p>
    <w:p w14:paraId="34CA2903" w14:textId="7E029841" w:rsidR="00FA5AFD" w:rsidRDefault="006560D5" w:rsidP="00584DFD">
      <w:pPr>
        <w:pStyle w:val="SingleTxtG"/>
        <w:ind w:firstLine="567"/>
        <w:rPr>
          <w:lang w:val="es-ES_tradnl"/>
        </w:rPr>
      </w:pPr>
      <w:r>
        <w:rPr>
          <w:lang w:val="es-ES_tradnl"/>
        </w:rPr>
        <w:t>c)</w:t>
      </w:r>
      <w:r>
        <w:rPr>
          <w:lang w:val="es-ES_tradnl"/>
        </w:rPr>
        <w:tab/>
      </w:r>
      <w:r w:rsidR="00FA5AFD">
        <w:rPr>
          <w:lang w:val="es-ES_tradnl"/>
        </w:rPr>
        <w:t>La creación del Instituto Nacional de los Pueblos Indígenas</w:t>
      </w:r>
      <w:r w:rsidR="00FA5AFD" w:rsidRPr="00FA5AFD">
        <w:rPr>
          <w:lang w:val="es-ES_tradnl"/>
        </w:rPr>
        <w:t xml:space="preserve"> </w:t>
      </w:r>
      <w:r w:rsidR="00FA5AFD">
        <w:rPr>
          <w:lang w:val="es-ES_tradnl"/>
        </w:rPr>
        <w:t>en 2018;</w:t>
      </w:r>
    </w:p>
    <w:p w14:paraId="686114C1" w14:textId="46A9DFFC" w:rsidR="004A09B8" w:rsidRDefault="006560D5" w:rsidP="00584DFD">
      <w:pPr>
        <w:pStyle w:val="SingleTxtG"/>
        <w:ind w:firstLine="567"/>
        <w:rPr>
          <w:lang w:val="es-ES_tradnl"/>
        </w:rPr>
      </w:pPr>
      <w:r>
        <w:rPr>
          <w:lang w:val="es-ES_tradnl"/>
        </w:rPr>
        <w:t>d)</w:t>
      </w:r>
      <w:r>
        <w:rPr>
          <w:lang w:val="es-ES_tradnl"/>
        </w:rPr>
        <w:tab/>
      </w:r>
      <w:r w:rsidR="00FA5AFD">
        <w:rPr>
          <w:lang w:val="es-ES_tradnl"/>
        </w:rPr>
        <w:t xml:space="preserve">La aprobación del Programa Nacional de </w:t>
      </w:r>
      <w:r w:rsidR="005A372F">
        <w:rPr>
          <w:lang w:val="es-ES_tradnl"/>
        </w:rPr>
        <w:t>los Pueblos Indígenas 2018-2024;</w:t>
      </w:r>
    </w:p>
    <w:p w14:paraId="447B11F2" w14:textId="2BFC1A88" w:rsidR="00CB2543" w:rsidRPr="00DD1287" w:rsidRDefault="006560D5" w:rsidP="00584DFD">
      <w:pPr>
        <w:pStyle w:val="SingleTxtG"/>
        <w:ind w:firstLine="567"/>
      </w:pPr>
      <w:r w:rsidRPr="00DD1287">
        <w:t>e)</w:t>
      </w:r>
      <w:r w:rsidRPr="00DD1287">
        <w:tab/>
      </w:r>
      <w:r w:rsidR="00CB2543" w:rsidRPr="00DD1287">
        <w:rPr>
          <w:lang w:val="es-ES_tradnl"/>
        </w:rPr>
        <w:t xml:space="preserve">La realización de la </w:t>
      </w:r>
      <w:r w:rsidR="00CB2543" w:rsidRPr="00DD1287">
        <w:rPr>
          <w:rFonts w:hint="eastAsia"/>
        </w:rPr>
        <w:t xml:space="preserve">primera Encuesta Nacional sobre Discriminación </w:t>
      </w:r>
      <w:r w:rsidR="00F02A27" w:rsidRPr="00DD1287">
        <w:rPr>
          <w:rFonts w:hint="eastAsia"/>
        </w:rPr>
        <w:t xml:space="preserve">(ENADIS </w:t>
      </w:r>
      <w:r w:rsidR="00F02A27" w:rsidRPr="00DD1287">
        <w:rPr>
          <w:rFonts w:hint="eastAsia"/>
          <w:lang w:val="es-ES_tradnl"/>
        </w:rPr>
        <w:t>2017</w:t>
      </w:r>
      <w:r w:rsidR="00F02A27">
        <w:rPr>
          <w:lang w:val="es-ES_tradnl"/>
        </w:rPr>
        <w:t xml:space="preserve">), </w:t>
      </w:r>
      <w:r w:rsidR="00085108">
        <w:t>realizada por el Instituto Nacional de Estadística y Geografía</w:t>
      </w:r>
      <w:r w:rsidR="005A372F">
        <w:rPr>
          <w:rFonts w:hint="eastAsia"/>
        </w:rPr>
        <w:t>.</w:t>
      </w:r>
    </w:p>
    <w:p w14:paraId="3429D1F6" w14:textId="5E1BBCDA" w:rsidR="008D1F4B" w:rsidRPr="00BA6A4F" w:rsidRDefault="006560D5" w:rsidP="00584DFD">
      <w:pPr>
        <w:pStyle w:val="SingleTxtG"/>
        <w:rPr>
          <w:rFonts w:eastAsia="Times New Roman"/>
          <w:lang w:val="es-ES_tradnl" w:eastAsia="en-US"/>
        </w:rPr>
      </w:pPr>
      <w:r w:rsidRPr="00BA6A4F">
        <w:rPr>
          <w:rFonts w:eastAsia="Times New Roman"/>
          <w:lang w:val="es-ES_tradnl" w:eastAsia="en-US"/>
        </w:rPr>
        <w:t>4.</w:t>
      </w:r>
      <w:r w:rsidRPr="00BA6A4F">
        <w:rPr>
          <w:rFonts w:eastAsia="Times New Roman"/>
          <w:lang w:val="es-ES_tradnl" w:eastAsia="en-US"/>
        </w:rPr>
        <w:tab/>
      </w:r>
      <w:r w:rsidR="008D1F4B" w:rsidRPr="00BA6A4F">
        <w:rPr>
          <w:rFonts w:eastAsia="Times New Roman"/>
          <w:lang w:val="es-ES_tradnl" w:eastAsia="en-US"/>
        </w:rPr>
        <w:t xml:space="preserve">El </w:t>
      </w:r>
      <w:r w:rsidR="005D4482" w:rsidRPr="00BA6A4F">
        <w:rPr>
          <w:rFonts w:eastAsia="Times New Roman"/>
          <w:lang w:val="es-ES_tradnl" w:eastAsia="en-US"/>
        </w:rPr>
        <w:t>Comité</w:t>
      </w:r>
      <w:r w:rsidR="008D1F4B" w:rsidRPr="00BA6A4F">
        <w:rPr>
          <w:rFonts w:eastAsia="Times New Roman"/>
          <w:lang w:val="es-ES_tradnl" w:eastAsia="en-US"/>
        </w:rPr>
        <w:t xml:space="preserve"> acoge con </w:t>
      </w:r>
      <w:r w:rsidR="005D4482" w:rsidRPr="00BA6A4F">
        <w:rPr>
          <w:rFonts w:eastAsia="Times New Roman"/>
          <w:lang w:val="es-ES_tradnl" w:eastAsia="en-US"/>
        </w:rPr>
        <w:t>satisfacción</w:t>
      </w:r>
      <w:r w:rsidR="008D1F4B" w:rsidRPr="00BA6A4F">
        <w:rPr>
          <w:rFonts w:eastAsia="Times New Roman"/>
          <w:lang w:val="es-ES_tradnl" w:eastAsia="en-US"/>
        </w:rPr>
        <w:t xml:space="preserve"> que el Estado parte mantenga una </w:t>
      </w:r>
      <w:r w:rsidR="005D4482" w:rsidRPr="00BA6A4F">
        <w:rPr>
          <w:rFonts w:eastAsia="Times New Roman"/>
          <w:lang w:val="es-ES_tradnl" w:eastAsia="en-US"/>
        </w:rPr>
        <w:t>invitación</w:t>
      </w:r>
      <w:r w:rsidR="008D1F4B" w:rsidRPr="00BA6A4F">
        <w:rPr>
          <w:rFonts w:eastAsia="Times New Roman"/>
          <w:lang w:val="es-ES_tradnl" w:eastAsia="en-US"/>
        </w:rPr>
        <w:t xml:space="preserve"> abierta y permanente a los titulares de mandatos de </w:t>
      </w:r>
      <w:r w:rsidR="008D1F4B" w:rsidRPr="00BA6A4F">
        <w:rPr>
          <w:lang w:val="es-ES_tradnl"/>
        </w:rPr>
        <w:t>procedimientos</w:t>
      </w:r>
      <w:r w:rsidR="008D1F4B" w:rsidRPr="00BA6A4F">
        <w:rPr>
          <w:rFonts w:eastAsia="Times New Roman"/>
          <w:lang w:val="es-ES_tradnl" w:eastAsia="en-US"/>
        </w:rPr>
        <w:t xml:space="preserve"> especiales del Consejo de Derechos Humanos para que visiten el </w:t>
      </w:r>
      <w:r w:rsidR="005D4482" w:rsidRPr="00BA6A4F">
        <w:rPr>
          <w:rFonts w:eastAsia="Times New Roman"/>
          <w:lang w:val="es-ES_tradnl" w:eastAsia="en-US"/>
        </w:rPr>
        <w:t>país</w:t>
      </w:r>
      <w:r w:rsidR="008D1F4B" w:rsidRPr="00BA6A4F">
        <w:rPr>
          <w:rFonts w:eastAsia="Times New Roman"/>
          <w:lang w:val="es-ES_tradnl" w:eastAsia="en-US"/>
        </w:rPr>
        <w:t xml:space="preserve">. </w:t>
      </w:r>
      <w:r w:rsidR="00D46913" w:rsidRPr="00BA6A4F">
        <w:rPr>
          <w:lang w:val="es-ES_tradnl"/>
        </w:rPr>
        <w:t>En ese sentido, el Comité saluda que el Estado parte ha</w:t>
      </w:r>
      <w:r w:rsidR="005D4482">
        <w:rPr>
          <w:lang w:val="es-ES_tradnl"/>
        </w:rPr>
        <w:t>ya</w:t>
      </w:r>
      <w:r w:rsidR="00D46913" w:rsidRPr="00BA6A4F">
        <w:rPr>
          <w:lang w:val="es-ES_tradnl"/>
        </w:rPr>
        <w:t xml:space="preserve"> recibido un número importante de visitas de titulares de mandatos</w:t>
      </w:r>
      <w:r w:rsidR="005D4482">
        <w:rPr>
          <w:lang w:val="es-ES_tradnl"/>
        </w:rPr>
        <w:t xml:space="preserve"> en los últimos años</w:t>
      </w:r>
      <w:r w:rsidR="00A26634">
        <w:rPr>
          <w:lang w:val="es-ES_tradnl"/>
        </w:rPr>
        <w:t>. E</w:t>
      </w:r>
      <w:r w:rsidR="00D46913" w:rsidRPr="00BA6A4F">
        <w:rPr>
          <w:lang w:val="es-ES_tradnl"/>
        </w:rPr>
        <w:t>n particular</w:t>
      </w:r>
      <w:r w:rsidR="008B3E7F">
        <w:rPr>
          <w:lang w:val="es-ES_tradnl"/>
        </w:rPr>
        <w:t>,</w:t>
      </w:r>
      <w:r w:rsidR="00D46913" w:rsidRPr="00BA6A4F">
        <w:rPr>
          <w:lang w:val="es-ES_tradnl"/>
        </w:rPr>
        <w:t xml:space="preserve"> celebra la visita</w:t>
      </w:r>
      <w:r w:rsidR="00D46913" w:rsidRPr="00BA6A4F">
        <w:rPr>
          <w:rFonts w:eastAsia="Times New Roman"/>
          <w:lang w:val="es-ES_tradnl" w:eastAsia="en-US"/>
        </w:rPr>
        <w:t xml:space="preserve"> </w:t>
      </w:r>
      <w:r w:rsidR="008D1F4B" w:rsidRPr="00BA6A4F">
        <w:rPr>
          <w:rFonts w:eastAsia="Times New Roman"/>
          <w:lang w:val="es-ES_tradnl" w:eastAsia="en-US"/>
        </w:rPr>
        <w:t xml:space="preserve">de la Relatora Especial sobre los derechos de los pueblos </w:t>
      </w:r>
      <w:r w:rsidR="005D4482" w:rsidRPr="00BA6A4F">
        <w:rPr>
          <w:rFonts w:eastAsia="Times New Roman"/>
          <w:lang w:val="es-ES_tradnl" w:eastAsia="en-US"/>
        </w:rPr>
        <w:t>indígenas</w:t>
      </w:r>
      <w:r w:rsidR="008D1F4B" w:rsidRPr="00BA6A4F">
        <w:rPr>
          <w:rFonts w:eastAsia="Times New Roman"/>
          <w:lang w:val="es-ES_tradnl" w:eastAsia="en-US"/>
        </w:rPr>
        <w:t xml:space="preserve"> en </w:t>
      </w:r>
      <w:r w:rsidR="00115F22" w:rsidRPr="00BA6A4F">
        <w:rPr>
          <w:rFonts w:eastAsia="Times New Roman"/>
          <w:lang w:val="es-ES_tradnl" w:eastAsia="en-US"/>
        </w:rPr>
        <w:t>noviembre</w:t>
      </w:r>
      <w:r w:rsidR="008D1F4B" w:rsidRPr="00BA6A4F">
        <w:rPr>
          <w:rFonts w:eastAsia="Times New Roman"/>
          <w:lang w:val="es-ES_tradnl" w:eastAsia="en-US"/>
        </w:rPr>
        <w:t xml:space="preserve"> de 20</w:t>
      </w:r>
      <w:r w:rsidR="00115F22" w:rsidRPr="00BA6A4F">
        <w:rPr>
          <w:rFonts w:eastAsia="Times New Roman"/>
          <w:lang w:val="es-ES_tradnl" w:eastAsia="en-US"/>
        </w:rPr>
        <w:t>17</w:t>
      </w:r>
      <w:r w:rsidR="005D4482">
        <w:rPr>
          <w:rFonts w:eastAsia="Times New Roman"/>
          <w:lang w:val="es-ES_tradnl" w:eastAsia="en-US"/>
        </w:rPr>
        <w:t xml:space="preserve">, por lo que </w:t>
      </w:r>
      <w:r w:rsidR="00676E15">
        <w:rPr>
          <w:rFonts w:eastAsia="Times New Roman"/>
          <w:lang w:val="es-ES_tradnl" w:eastAsia="en-US"/>
        </w:rPr>
        <w:t xml:space="preserve">alienta </w:t>
      </w:r>
      <w:r w:rsidR="008D1F4B" w:rsidRPr="00BA6A4F">
        <w:rPr>
          <w:rFonts w:eastAsia="Times New Roman"/>
          <w:lang w:val="es-ES_tradnl" w:eastAsia="en-US"/>
        </w:rPr>
        <w:t>al Estado parte a asegurarse de que todas las recomendaciones que se encuentran en su i</w:t>
      </w:r>
      <w:r w:rsidR="00115F22" w:rsidRPr="00BA6A4F">
        <w:rPr>
          <w:rFonts w:eastAsia="Times New Roman"/>
          <w:lang w:val="es-ES_tradnl" w:eastAsia="en-US"/>
        </w:rPr>
        <w:t xml:space="preserve">nforme </w:t>
      </w:r>
      <w:r w:rsidR="005D4482" w:rsidRPr="00BA6A4F">
        <w:rPr>
          <w:rFonts w:eastAsia="Times New Roman"/>
          <w:lang w:val="es-ES_tradnl" w:eastAsia="en-US"/>
        </w:rPr>
        <w:t xml:space="preserve">sean debidamente aplicadas </w:t>
      </w:r>
      <w:r w:rsidR="00115F22" w:rsidRPr="00BA6A4F">
        <w:rPr>
          <w:rFonts w:eastAsia="Times New Roman"/>
          <w:lang w:val="es-ES_tradnl" w:eastAsia="en-US"/>
        </w:rPr>
        <w:t>(A/HRC/39/17/Add.2</w:t>
      </w:r>
      <w:r w:rsidR="008D1F4B" w:rsidRPr="00BA6A4F">
        <w:rPr>
          <w:rFonts w:eastAsia="Times New Roman"/>
          <w:lang w:val="es-ES_tradnl" w:eastAsia="en-US"/>
        </w:rPr>
        <w:t xml:space="preserve">). </w:t>
      </w:r>
    </w:p>
    <w:p w14:paraId="3E43EDD9" w14:textId="6928DFA5" w:rsidR="008D1F4B" w:rsidRPr="00BA6A4F" w:rsidRDefault="006560D5" w:rsidP="00584DFD">
      <w:pPr>
        <w:pStyle w:val="SingleTxtG"/>
        <w:rPr>
          <w:rFonts w:eastAsia="Times New Roman"/>
          <w:lang w:val="es-ES_tradnl" w:eastAsia="en-US"/>
        </w:rPr>
      </w:pPr>
      <w:r w:rsidRPr="00BA6A4F">
        <w:rPr>
          <w:rFonts w:eastAsia="Times New Roman"/>
          <w:lang w:val="es-ES_tradnl" w:eastAsia="en-US"/>
        </w:rPr>
        <w:lastRenderedPageBreak/>
        <w:t>5.</w:t>
      </w:r>
      <w:r w:rsidRPr="00BA6A4F">
        <w:rPr>
          <w:rFonts w:eastAsia="Times New Roman"/>
          <w:lang w:val="es-ES_tradnl" w:eastAsia="en-US"/>
        </w:rPr>
        <w:tab/>
      </w:r>
      <w:r w:rsidR="008D1F4B" w:rsidRPr="00BA6A4F">
        <w:rPr>
          <w:rFonts w:eastAsia="Times New Roman"/>
          <w:lang w:val="es-ES_tradnl" w:eastAsia="en-US"/>
        </w:rPr>
        <w:t xml:space="preserve">El </w:t>
      </w:r>
      <w:r w:rsidR="005D4482" w:rsidRPr="00BA6A4F">
        <w:rPr>
          <w:rFonts w:eastAsia="Times New Roman"/>
          <w:lang w:val="es-ES_tradnl" w:eastAsia="en-US"/>
        </w:rPr>
        <w:t>Comité</w:t>
      </w:r>
      <w:r w:rsidR="008D1F4B" w:rsidRPr="00BA6A4F">
        <w:rPr>
          <w:rFonts w:eastAsia="Times New Roman"/>
          <w:lang w:val="es-ES_tradnl" w:eastAsia="en-US"/>
        </w:rPr>
        <w:t xml:space="preserve"> celebra la </w:t>
      </w:r>
      <w:r w:rsidR="005D4482" w:rsidRPr="00BA6A4F">
        <w:rPr>
          <w:rFonts w:eastAsia="Times New Roman"/>
          <w:lang w:val="es-ES_tradnl" w:eastAsia="en-US"/>
        </w:rPr>
        <w:t>participación</w:t>
      </w:r>
      <w:r w:rsidR="008D1F4B" w:rsidRPr="00BA6A4F">
        <w:rPr>
          <w:rFonts w:eastAsia="Times New Roman"/>
          <w:lang w:val="es-ES_tradnl" w:eastAsia="en-US"/>
        </w:rPr>
        <w:t xml:space="preserve"> activa que han tenido las organizaciones de la sociedad civil </w:t>
      </w:r>
      <w:r w:rsidR="008D1F4B" w:rsidRPr="005E582A">
        <w:rPr>
          <w:lang w:val="es-ES_tradnl"/>
        </w:rPr>
        <w:t>mexicanas</w:t>
      </w:r>
      <w:r w:rsidR="008D1F4B" w:rsidRPr="00BA6A4F">
        <w:rPr>
          <w:rFonts w:eastAsia="Times New Roman"/>
          <w:lang w:val="es-ES_tradnl" w:eastAsia="en-US"/>
        </w:rPr>
        <w:t xml:space="preserve">, incluyendo autoridades y organizaciones de pueblos </w:t>
      </w:r>
      <w:r w:rsidR="005D4482" w:rsidRPr="00BA6A4F">
        <w:rPr>
          <w:rFonts w:eastAsia="Times New Roman"/>
          <w:lang w:val="es-ES_tradnl" w:eastAsia="en-US"/>
        </w:rPr>
        <w:t>indígenas</w:t>
      </w:r>
      <w:r w:rsidR="008D1F4B" w:rsidRPr="00BA6A4F">
        <w:rPr>
          <w:rFonts w:eastAsia="Times New Roman"/>
          <w:lang w:val="es-ES_tradnl" w:eastAsia="en-US"/>
        </w:rPr>
        <w:t xml:space="preserve"> y de afrodescendientes, </w:t>
      </w:r>
      <w:r w:rsidR="005D4482" w:rsidRPr="00BA6A4F">
        <w:rPr>
          <w:rFonts w:eastAsia="Times New Roman"/>
          <w:lang w:val="es-ES_tradnl" w:eastAsia="en-US"/>
        </w:rPr>
        <w:t>así</w:t>
      </w:r>
      <w:r w:rsidR="008D1F4B" w:rsidRPr="00BA6A4F">
        <w:rPr>
          <w:rFonts w:eastAsia="Times New Roman"/>
          <w:lang w:val="es-ES_tradnl" w:eastAsia="en-US"/>
        </w:rPr>
        <w:t xml:space="preserve"> como la </w:t>
      </w:r>
      <w:r w:rsidR="005D4482" w:rsidRPr="00BA6A4F">
        <w:rPr>
          <w:rFonts w:eastAsia="Times New Roman"/>
          <w:lang w:val="es-ES_tradnl" w:eastAsia="en-US"/>
        </w:rPr>
        <w:t>Comisión</w:t>
      </w:r>
      <w:r w:rsidR="008D1F4B" w:rsidRPr="00BA6A4F">
        <w:rPr>
          <w:rFonts w:eastAsia="Times New Roman"/>
          <w:lang w:val="es-ES_tradnl" w:eastAsia="en-US"/>
        </w:rPr>
        <w:t xml:space="preserve"> Nacional de Derechos Humanos en el proceso del examen de informes mediante la </w:t>
      </w:r>
      <w:r w:rsidR="005D4482" w:rsidRPr="00BA6A4F">
        <w:rPr>
          <w:rFonts w:eastAsia="Times New Roman"/>
          <w:lang w:val="es-ES_tradnl" w:eastAsia="en-US"/>
        </w:rPr>
        <w:t>presentación</w:t>
      </w:r>
      <w:r w:rsidR="008D1F4B" w:rsidRPr="00BA6A4F">
        <w:rPr>
          <w:rFonts w:eastAsia="Times New Roman"/>
          <w:lang w:val="es-ES_tradnl" w:eastAsia="en-US"/>
        </w:rPr>
        <w:t xml:space="preserve"> de </w:t>
      </w:r>
      <w:r w:rsidR="005D4482" w:rsidRPr="00BA6A4F">
        <w:rPr>
          <w:rFonts w:eastAsia="Times New Roman"/>
          <w:lang w:val="es-ES_tradnl" w:eastAsia="en-US"/>
        </w:rPr>
        <w:t>información</w:t>
      </w:r>
      <w:r w:rsidR="008D1F4B" w:rsidRPr="00BA6A4F">
        <w:rPr>
          <w:rFonts w:eastAsia="Times New Roman"/>
          <w:lang w:val="es-ES_tradnl" w:eastAsia="en-US"/>
        </w:rPr>
        <w:t xml:space="preserve"> escrita y oral ante el </w:t>
      </w:r>
      <w:r w:rsidR="005D4482" w:rsidRPr="00BA6A4F">
        <w:rPr>
          <w:rFonts w:eastAsia="Times New Roman"/>
          <w:lang w:val="es-ES_tradnl" w:eastAsia="en-US"/>
        </w:rPr>
        <w:t>Comité</w:t>
      </w:r>
      <w:r w:rsidR="008D1F4B" w:rsidRPr="00BA6A4F">
        <w:rPr>
          <w:rFonts w:eastAsia="Times New Roman"/>
          <w:lang w:val="es-ES_tradnl" w:eastAsia="en-US"/>
        </w:rPr>
        <w:t xml:space="preserve">. El </w:t>
      </w:r>
      <w:r w:rsidR="005D4482" w:rsidRPr="00BA6A4F">
        <w:rPr>
          <w:rFonts w:eastAsia="Times New Roman"/>
          <w:lang w:val="es-ES_tradnl" w:eastAsia="en-US"/>
        </w:rPr>
        <w:t>Comité</w:t>
      </w:r>
      <w:r w:rsidR="008D1F4B" w:rsidRPr="00BA6A4F">
        <w:rPr>
          <w:rFonts w:eastAsia="Times New Roman"/>
          <w:lang w:val="es-ES_tradnl" w:eastAsia="en-US"/>
        </w:rPr>
        <w:t xml:space="preserve"> </w:t>
      </w:r>
      <w:r w:rsidR="00AF3B22">
        <w:rPr>
          <w:rFonts w:eastAsia="Times New Roman"/>
          <w:lang w:val="es-ES_tradnl" w:eastAsia="en-US"/>
        </w:rPr>
        <w:t xml:space="preserve">alienta </w:t>
      </w:r>
      <w:r w:rsidR="008D1F4B" w:rsidRPr="00BA6A4F">
        <w:rPr>
          <w:rFonts w:eastAsia="Times New Roman"/>
          <w:lang w:val="es-ES_tradnl" w:eastAsia="en-US"/>
        </w:rPr>
        <w:t xml:space="preserve">al Estado parte a continuar favoreciendo espacios de </w:t>
      </w:r>
      <w:r w:rsidR="005D4482" w:rsidRPr="00BA6A4F">
        <w:rPr>
          <w:rFonts w:eastAsia="Times New Roman"/>
          <w:lang w:val="es-ES_tradnl" w:eastAsia="en-US"/>
        </w:rPr>
        <w:t>participación</w:t>
      </w:r>
      <w:r w:rsidR="008D1F4B" w:rsidRPr="00BA6A4F">
        <w:rPr>
          <w:rFonts w:eastAsia="Times New Roman"/>
          <w:lang w:val="es-ES_tradnl" w:eastAsia="en-US"/>
        </w:rPr>
        <w:t xml:space="preserve"> con la sociedad civil y a fortalecer su </w:t>
      </w:r>
      <w:r w:rsidR="00404EB7" w:rsidRPr="00BA6A4F">
        <w:rPr>
          <w:rFonts w:eastAsia="Times New Roman"/>
          <w:lang w:val="es-ES_tradnl" w:eastAsia="en-US"/>
        </w:rPr>
        <w:t>cooperación</w:t>
      </w:r>
      <w:r w:rsidR="008D1F4B" w:rsidRPr="00BA6A4F">
        <w:rPr>
          <w:rFonts w:eastAsia="Times New Roman"/>
          <w:lang w:val="es-ES_tradnl" w:eastAsia="en-US"/>
        </w:rPr>
        <w:t xml:space="preserve"> con la </w:t>
      </w:r>
      <w:r w:rsidR="005D4482" w:rsidRPr="00BA6A4F">
        <w:rPr>
          <w:rFonts w:eastAsia="Times New Roman"/>
          <w:lang w:val="es-ES_tradnl" w:eastAsia="en-US"/>
        </w:rPr>
        <w:t>Comisión</w:t>
      </w:r>
      <w:r w:rsidR="008D1F4B" w:rsidRPr="00BA6A4F">
        <w:rPr>
          <w:rFonts w:eastAsia="Times New Roman"/>
          <w:lang w:val="es-ES_tradnl" w:eastAsia="en-US"/>
        </w:rPr>
        <w:t xml:space="preserve"> Nacional de Derechos Humanos. </w:t>
      </w:r>
    </w:p>
    <w:p w14:paraId="6F660FB8" w14:textId="77777777" w:rsidR="004A09B8" w:rsidRPr="00BA6A4F" w:rsidRDefault="004A09B8" w:rsidP="004A09B8">
      <w:pPr>
        <w:pStyle w:val="H1G"/>
        <w:rPr>
          <w:lang w:val="es-ES_tradnl"/>
        </w:rPr>
      </w:pPr>
      <w:r w:rsidRPr="00BA6A4F">
        <w:rPr>
          <w:lang w:val="es-ES_tradnl"/>
        </w:rPr>
        <w:tab/>
      </w:r>
      <w:r w:rsidR="007D0A6D" w:rsidRPr="00BA6A4F">
        <w:rPr>
          <w:lang w:val="es-ES_tradnl"/>
        </w:rPr>
        <w:t>C</w:t>
      </w:r>
      <w:r w:rsidRPr="00BA6A4F">
        <w:rPr>
          <w:lang w:val="es-ES_tradnl"/>
        </w:rPr>
        <w:t>.</w:t>
      </w:r>
      <w:r w:rsidRPr="00BA6A4F">
        <w:rPr>
          <w:lang w:val="es-ES_tradnl"/>
        </w:rPr>
        <w:tab/>
        <w:t>Motivos de preocupación y recomendaciones</w:t>
      </w:r>
    </w:p>
    <w:p w14:paraId="3975FD5B" w14:textId="77777777" w:rsidR="004A09B8" w:rsidRPr="00BA6A4F" w:rsidRDefault="004A09B8" w:rsidP="004A09B8">
      <w:pPr>
        <w:pStyle w:val="H23G"/>
        <w:rPr>
          <w:lang w:val="es-ES_tradnl"/>
        </w:rPr>
      </w:pPr>
      <w:r w:rsidRPr="00BA6A4F">
        <w:rPr>
          <w:lang w:val="es-ES_tradnl"/>
        </w:rPr>
        <w:tab/>
      </w:r>
      <w:r w:rsidRPr="00BA6A4F">
        <w:rPr>
          <w:lang w:val="es-ES_tradnl"/>
        </w:rPr>
        <w:tab/>
        <w:t>Recopilación de datos</w:t>
      </w:r>
    </w:p>
    <w:p w14:paraId="7E855B1B" w14:textId="21222BDC" w:rsidR="001133C4" w:rsidRPr="00BA6A4F" w:rsidRDefault="006560D5" w:rsidP="00584DFD">
      <w:pPr>
        <w:pStyle w:val="SingleTxtG"/>
        <w:rPr>
          <w:lang w:val="es-ES_tradnl"/>
        </w:rPr>
      </w:pPr>
      <w:r w:rsidRPr="00BA6A4F">
        <w:rPr>
          <w:lang w:val="es-ES_tradnl"/>
        </w:rPr>
        <w:t>6.</w:t>
      </w:r>
      <w:r w:rsidRPr="00BA6A4F">
        <w:rPr>
          <w:lang w:val="es-ES_tradnl"/>
        </w:rPr>
        <w:tab/>
      </w:r>
      <w:r w:rsidR="00BB3F45" w:rsidRPr="00BA6A4F">
        <w:rPr>
          <w:lang w:val="es-ES_tradnl"/>
        </w:rPr>
        <w:t>Si bien el Comité toma nota de los esfuerzos realizados por el Estado parte en cuanto a</w:t>
      </w:r>
      <w:r w:rsidR="00FE704C">
        <w:rPr>
          <w:lang w:val="es-ES_tradnl"/>
        </w:rPr>
        <w:t>l fortalecimiento de</w:t>
      </w:r>
      <w:r w:rsidR="00BB3F45" w:rsidRPr="00BA6A4F">
        <w:rPr>
          <w:lang w:val="es-ES_tradnl"/>
        </w:rPr>
        <w:t xml:space="preserve"> la recopilación de datos, le preocupa que aún</w:t>
      </w:r>
      <w:r w:rsidR="0081481E" w:rsidRPr="00BA6A4F">
        <w:rPr>
          <w:lang w:val="es-ES_tradnl"/>
        </w:rPr>
        <w:t xml:space="preserve"> no se haya </w:t>
      </w:r>
      <w:r w:rsidR="00085108">
        <w:rPr>
          <w:lang w:val="es-ES_tradnl"/>
        </w:rPr>
        <w:t>adoptado</w:t>
      </w:r>
      <w:r w:rsidR="00085108" w:rsidRPr="00BA6A4F">
        <w:rPr>
          <w:lang w:val="es-ES_tradnl"/>
        </w:rPr>
        <w:t xml:space="preserve"> </w:t>
      </w:r>
      <w:r w:rsidR="0081481E" w:rsidRPr="00BA6A4F">
        <w:rPr>
          <w:lang w:val="es-ES_tradnl"/>
        </w:rPr>
        <w:t xml:space="preserve">un criterio </w:t>
      </w:r>
      <w:r w:rsidR="00085108">
        <w:rPr>
          <w:lang w:val="es-ES_tradnl"/>
        </w:rPr>
        <w:t xml:space="preserve">definitivo </w:t>
      </w:r>
      <w:r w:rsidR="00FE704C">
        <w:rPr>
          <w:lang w:val="es-ES_tradnl"/>
        </w:rPr>
        <w:t>para obtener información fiable sobre la composición étnica de la población</w:t>
      </w:r>
      <w:r w:rsidR="00CC0BAD">
        <w:rPr>
          <w:lang w:val="es-ES_tradnl"/>
        </w:rPr>
        <w:t xml:space="preserve">, </w:t>
      </w:r>
      <w:r w:rsidR="0081481E" w:rsidRPr="00BA6A4F">
        <w:rPr>
          <w:lang w:val="es-ES_tradnl"/>
        </w:rPr>
        <w:t xml:space="preserve">por lo que </w:t>
      </w:r>
      <w:r w:rsidR="00423863" w:rsidRPr="00BA6A4F">
        <w:rPr>
          <w:lang w:val="es-ES_tradnl"/>
        </w:rPr>
        <w:t>continúan existiendo graves</w:t>
      </w:r>
      <w:r w:rsidR="00BB3F45" w:rsidRPr="00BA6A4F">
        <w:rPr>
          <w:lang w:val="es-ES_tradnl"/>
        </w:rPr>
        <w:t xml:space="preserve"> discrepancias </w:t>
      </w:r>
      <w:r w:rsidR="0081481E" w:rsidRPr="00BA6A4F">
        <w:rPr>
          <w:lang w:val="es-ES_tradnl"/>
        </w:rPr>
        <w:t xml:space="preserve">en </w:t>
      </w:r>
      <w:r w:rsidR="00BB3F45" w:rsidRPr="00BA6A4F">
        <w:rPr>
          <w:lang w:val="es-ES_tradnl"/>
        </w:rPr>
        <w:t xml:space="preserve">los datos </w:t>
      </w:r>
      <w:r w:rsidR="00423863" w:rsidRPr="00BA6A4F">
        <w:rPr>
          <w:lang w:val="es-ES_tradnl"/>
        </w:rPr>
        <w:t>generados.</w:t>
      </w:r>
      <w:r w:rsidR="00CC0BAD">
        <w:rPr>
          <w:lang w:val="es-ES_tradnl"/>
        </w:rPr>
        <w:t xml:space="preserve"> </w:t>
      </w:r>
      <w:r w:rsidR="00CD6D9C">
        <w:rPr>
          <w:lang w:val="es-ES_tradnl"/>
        </w:rPr>
        <w:t xml:space="preserve">El Comité reconoce que </w:t>
      </w:r>
      <w:r w:rsidR="00CC0BAD">
        <w:rPr>
          <w:lang w:val="es-ES_tradnl"/>
        </w:rPr>
        <w:t>la E</w:t>
      </w:r>
      <w:r w:rsidR="001133C4" w:rsidRPr="00BA6A4F">
        <w:rPr>
          <w:lang w:val="es-ES_tradnl"/>
        </w:rPr>
        <w:t xml:space="preserve">ncuesta </w:t>
      </w:r>
      <w:r w:rsidR="00CC0BAD">
        <w:rPr>
          <w:lang w:val="es-ES_tradnl"/>
        </w:rPr>
        <w:t>I</w:t>
      </w:r>
      <w:r w:rsidR="001133C4" w:rsidRPr="00BA6A4F">
        <w:rPr>
          <w:lang w:val="es-ES_tradnl"/>
        </w:rPr>
        <w:t xml:space="preserve">ntercensal </w:t>
      </w:r>
      <w:r w:rsidR="00CC0BAD">
        <w:rPr>
          <w:lang w:val="es-ES_tradnl"/>
        </w:rPr>
        <w:t xml:space="preserve">llevada a cabo en </w:t>
      </w:r>
      <w:r w:rsidR="001133C4" w:rsidRPr="00BA6A4F">
        <w:rPr>
          <w:lang w:val="es-ES_tradnl"/>
        </w:rPr>
        <w:t xml:space="preserve">2015 incluyó el criterio de la </w:t>
      </w:r>
      <w:proofErr w:type="spellStart"/>
      <w:r w:rsidR="001133C4" w:rsidRPr="00BA6A4F">
        <w:rPr>
          <w:lang w:val="es-ES_tradnl"/>
        </w:rPr>
        <w:t>autoadscripción</w:t>
      </w:r>
      <w:proofErr w:type="spellEnd"/>
      <w:r w:rsidR="001133C4" w:rsidRPr="00BA6A4F">
        <w:rPr>
          <w:lang w:val="es-ES_tradnl"/>
        </w:rPr>
        <w:t xml:space="preserve"> para la población afrodescendiente</w:t>
      </w:r>
      <w:r w:rsidR="00AF3B22">
        <w:rPr>
          <w:lang w:val="es-ES_tradnl"/>
        </w:rPr>
        <w:t>. S</w:t>
      </w:r>
      <w:r w:rsidR="00CD6D9C">
        <w:rPr>
          <w:lang w:val="es-ES_tradnl"/>
        </w:rPr>
        <w:t xml:space="preserve">in embargo, le preocupa que </w:t>
      </w:r>
      <w:r w:rsidR="001133C4" w:rsidRPr="00BA6A4F">
        <w:rPr>
          <w:lang w:val="es-ES_tradnl"/>
        </w:rPr>
        <w:t xml:space="preserve">personas </w:t>
      </w:r>
      <w:proofErr w:type="spellStart"/>
      <w:r w:rsidR="009901A9">
        <w:rPr>
          <w:lang w:val="es-ES_tradnl"/>
        </w:rPr>
        <w:t>afromexicanas</w:t>
      </w:r>
      <w:proofErr w:type="spellEnd"/>
      <w:r w:rsidR="00DE38FE">
        <w:rPr>
          <w:lang w:val="es-ES_tradnl"/>
        </w:rPr>
        <w:t xml:space="preserve"> en algunas regiones </w:t>
      </w:r>
      <w:r w:rsidR="001133C4" w:rsidRPr="00BA6A4F">
        <w:rPr>
          <w:lang w:val="es-ES_tradnl"/>
        </w:rPr>
        <w:t xml:space="preserve">no se sintieron </w:t>
      </w:r>
      <w:r w:rsidR="00DE38FE">
        <w:rPr>
          <w:lang w:val="es-ES_tradnl"/>
        </w:rPr>
        <w:t xml:space="preserve">plenamente </w:t>
      </w:r>
      <w:r w:rsidR="001133C4" w:rsidRPr="00BA6A4F">
        <w:rPr>
          <w:lang w:val="es-ES_tradnl"/>
        </w:rPr>
        <w:t>identificad</w:t>
      </w:r>
      <w:r w:rsidR="00DE38FE">
        <w:rPr>
          <w:lang w:val="es-ES_tradnl"/>
        </w:rPr>
        <w:t>as con la terminología utilizada</w:t>
      </w:r>
      <w:r w:rsidR="004A0B4B">
        <w:rPr>
          <w:lang w:val="es-ES_tradnl"/>
        </w:rPr>
        <w:t>,</w:t>
      </w:r>
      <w:r w:rsidR="00DE38FE">
        <w:rPr>
          <w:lang w:val="es-ES_tradnl"/>
        </w:rPr>
        <w:t xml:space="preserve"> </w:t>
      </w:r>
      <w:r w:rsidR="00CD6D9C">
        <w:rPr>
          <w:lang w:val="es-ES_tradnl"/>
        </w:rPr>
        <w:t xml:space="preserve">lo cual limitó la obtención de información fiable respecto de esta población </w:t>
      </w:r>
      <w:r w:rsidR="001133C4" w:rsidRPr="00BA6A4F">
        <w:rPr>
          <w:lang w:val="es-ES_tradnl"/>
        </w:rPr>
        <w:t>(art.</w:t>
      </w:r>
      <w:r w:rsidR="005A372F">
        <w:rPr>
          <w:lang w:val="es-ES_tradnl"/>
        </w:rPr>
        <w:t> </w:t>
      </w:r>
      <w:r w:rsidR="001133C4" w:rsidRPr="00BA6A4F">
        <w:rPr>
          <w:lang w:val="es-ES_tradnl"/>
        </w:rPr>
        <w:t xml:space="preserve">2). </w:t>
      </w:r>
    </w:p>
    <w:p w14:paraId="5D050CD9" w14:textId="167EB37B" w:rsidR="00211539" w:rsidRPr="00BA6A4F" w:rsidRDefault="006560D5" w:rsidP="00584DFD">
      <w:pPr>
        <w:pStyle w:val="SingleTxtG"/>
        <w:rPr>
          <w:b/>
          <w:bCs/>
          <w:lang w:val="es-ES_tradnl"/>
        </w:rPr>
      </w:pPr>
      <w:r w:rsidRPr="00BA6A4F">
        <w:rPr>
          <w:bCs/>
          <w:lang w:val="es-ES_tradnl"/>
        </w:rPr>
        <w:t>7.</w:t>
      </w:r>
      <w:r w:rsidRPr="00BA6A4F">
        <w:rPr>
          <w:bCs/>
          <w:lang w:val="es-ES_tradnl"/>
        </w:rPr>
        <w:tab/>
      </w:r>
      <w:r w:rsidR="001133C4" w:rsidRPr="00BA6A4F">
        <w:rPr>
          <w:b/>
          <w:lang w:val="es-ES_tradnl"/>
        </w:rPr>
        <w:t xml:space="preserve">El Comité recomienda al Estado parte </w:t>
      </w:r>
      <w:r w:rsidR="005A121A">
        <w:rPr>
          <w:b/>
          <w:lang w:val="es-ES_tradnl"/>
        </w:rPr>
        <w:t>continuar sus esfuerzos en cuanto a fortalecer la recopilación sistemática de datos y l</w:t>
      </w:r>
      <w:r w:rsidR="001133C4" w:rsidRPr="00BA6A4F">
        <w:rPr>
          <w:b/>
          <w:lang w:val="es-ES_tradnl"/>
        </w:rPr>
        <w:t>lev</w:t>
      </w:r>
      <w:r w:rsidR="005A121A">
        <w:rPr>
          <w:b/>
          <w:lang w:val="es-ES_tradnl"/>
        </w:rPr>
        <w:t>ar</w:t>
      </w:r>
      <w:r w:rsidR="001133C4" w:rsidRPr="00BA6A4F">
        <w:rPr>
          <w:b/>
          <w:lang w:val="es-ES_tradnl"/>
        </w:rPr>
        <w:t xml:space="preserve"> a cabo una revisión de las categorías </w:t>
      </w:r>
      <w:r w:rsidR="00F11C5F" w:rsidRPr="00BA6A4F">
        <w:rPr>
          <w:b/>
          <w:lang w:val="es-ES_tradnl"/>
        </w:rPr>
        <w:t xml:space="preserve">y metodologías </w:t>
      </w:r>
      <w:r w:rsidR="001133C4" w:rsidRPr="00BA6A4F">
        <w:rPr>
          <w:b/>
          <w:lang w:val="es-ES_tradnl"/>
        </w:rPr>
        <w:t>utilizadas para la autoidentifica</w:t>
      </w:r>
      <w:r w:rsidR="00F11C5F" w:rsidRPr="00BA6A4F">
        <w:rPr>
          <w:b/>
          <w:lang w:val="es-ES_tradnl"/>
        </w:rPr>
        <w:t>ción en la recopilación</w:t>
      </w:r>
      <w:r w:rsidR="00475A38" w:rsidRPr="00BA6A4F">
        <w:rPr>
          <w:b/>
          <w:lang w:val="es-ES_tradnl"/>
        </w:rPr>
        <w:t xml:space="preserve"> sistemática</w:t>
      </w:r>
      <w:r w:rsidR="00F11C5F" w:rsidRPr="00BA6A4F">
        <w:rPr>
          <w:b/>
          <w:lang w:val="es-ES_tradnl"/>
        </w:rPr>
        <w:t xml:space="preserve"> </w:t>
      </w:r>
      <w:r w:rsidR="00475A38" w:rsidRPr="00BA6A4F">
        <w:rPr>
          <w:b/>
          <w:lang w:val="es-ES_tradnl"/>
        </w:rPr>
        <w:t>de</w:t>
      </w:r>
      <w:r w:rsidR="00F11C5F" w:rsidRPr="00BA6A4F">
        <w:rPr>
          <w:b/>
          <w:lang w:val="es-ES_tradnl"/>
        </w:rPr>
        <w:t xml:space="preserve"> datos</w:t>
      </w:r>
      <w:r w:rsidR="00DE2D75">
        <w:rPr>
          <w:b/>
          <w:lang w:val="es-ES_tradnl"/>
        </w:rPr>
        <w:t>,</w:t>
      </w:r>
      <w:r w:rsidR="001133C4" w:rsidRPr="00BA6A4F">
        <w:rPr>
          <w:b/>
          <w:lang w:val="es-ES_tradnl"/>
        </w:rPr>
        <w:t xml:space="preserve"> </w:t>
      </w:r>
      <w:r w:rsidR="005E2216">
        <w:rPr>
          <w:b/>
          <w:lang w:val="es-ES_tradnl"/>
        </w:rPr>
        <w:t xml:space="preserve">a </w:t>
      </w:r>
      <w:r w:rsidR="001133C4" w:rsidRPr="00BA6A4F">
        <w:rPr>
          <w:b/>
          <w:lang w:val="es-ES_tradnl"/>
        </w:rPr>
        <w:t xml:space="preserve">fin de poder </w:t>
      </w:r>
      <w:r w:rsidR="00F11C5F" w:rsidRPr="00BA6A4F">
        <w:rPr>
          <w:b/>
          <w:lang w:val="es-ES_tradnl"/>
        </w:rPr>
        <w:t xml:space="preserve">generar </w:t>
      </w:r>
      <w:r w:rsidR="001133C4" w:rsidRPr="00BA6A4F">
        <w:rPr>
          <w:b/>
          <w:lang w:val="es-ES_tradnl"/>
        </w:rPr>
        <w:t xml:space="preserve">información </w:t>
      </w:r>
      <w:r w:rsidR="00F11C5F" w:rsidRPr="00BA6A4F">
        <w:rPr>
          <w:b/>
          <w:lang w:val="es-ES_tradnl"/>
        </w:rPr>
        <w:t>fiable, actualizada</w:t>
      </w:r>
      <w:r w:rsidR="00840649">
        <w:rPr>
          <w:b/>
          <w:lang w:val="es-ES_tradnl"/>
        </w:rPr>
        <w:t>, des</w:t>
      </w:r>
      <w:r w:rsidR="00AF3B22">
        <w:rPr>
          <w:b/>
          <w:lang w:val="es-ES_tradnl"/>
        </w:rPr>
        <w:t xml:space="preserve">glosada </w:t>
      </w:r>
      <w:r w:rsidR="00F11C5F" w:rsidRPr="00BA6A4F">
        <w:rPr>
          <w:b/>
          <w:lang w:val="es-ES_tradnl"/>
        </w:rPr>
        <w:t xml:space="preserve">y completa </w:t>
      </w:r>
      <w:r w:rsidR="001133C4" w:rsidRPr="00BA6A4F">
        <w:rPr>
          <w:b/>
          <w:lang w:val="es-ES_tradnl"/>
        </w:rPr>
        <w:t xml:space="preserve">sobre </w:t>
      </w:r>
      <w:r w:rsidR="00F11C5F" w:rsidRPr="00BA6A4F">
        <w:rPr>
          <w:b/>
          <w:lang w:val="es-ES_tradnl"/>
        </w:rPr>
        <w:t>la composición étnic</w:t>
      </w:r>
      <w:r w:rsidR="00877429">
        <w:rPr>
          <w:b/>
          <w:lang w:val="es-ES_tradnl"/>
        </w:rPr>
        <w:t xml:space="preserve">a </w:t>
      </w:r>
      <w:r w:rsidR="00F11C5F" w:rsidRPr="00BA6A4F">
        <w:rPr>
          <w:b/>
          <w:lang w:val="es-ES_tradnl"/>
        </w:rPr>
        <w:t>de la población del Estado parte</w:t>
      </w:r>
      <w:r w:rsidR="00DE38FE">
        <w:rPr>
          <w:b/>
          <w:lang w:val="es-ES_tradnl"/>
        </w:rPr>
        <w:t xml:space="preserve">, así como </w:t>
      </w:r>
      <w:r w:rsidR="00F11C5F" w:rsidRPr="00BA6A4F">
        <w:rPr>
          <w:b/>
          <w:lang w:val="es-ES_tradnl"/>
        </w:rPr>
        <w:t>sobre su situación socioeconómica</w:t>
      </w:r>
      <w:r w:rsidR="00F763AD">
        <w:rPr>
          <w:b/>
          <w:lang w:val="es-ES_tradnl"/>
        </w:rPr>
        <w:t xml:space="preserve"> y que, entre otros, dé cuenta del acceso al trabajo, educación, servicios de salud y justicia</w:t>
      </w:r>
      <w:r w:rsidR="00DE38FE">
        <w:rPr>
          <w:b/>
          <w:lang w:val="es-ES_tradnl"/>
        </w:rPr>
        <w:t>.</w:t>
      </w:r>
      <w:r w:rsidR="00840649">
        <w:rPr>
          <w:b/>
          <w:lang w:val="es-ES_tradnl"/>
        </w:rPr>
        <w:t xml:space="preserve"> </w:t>
      </w:r>
      <w:r w:rsidR="00211539" w:rsidRPr="00BA6A4F">
        <w:rPr>
          <w:b/>
          <w:lang w:val="es-ES_tradnl"/>
        </w:rPr>
        <w:t>El</w:t>
      </w:r>
      <w:r w:rsidR="00F11C5F" w:rsidRPr="00BA6A4F">
        <w:rPr>
          <w:b/>
          <w:lang w:val="es-ES_tradnl"/>
        </w:rPr>
        <w:t xml:space="preserve"> Comité </w:t>
      </w:r>
      <w:r w:rsidR="00475A38" w:rsidRPr="00BA6A4F">
        <w:rPr>
          <w:b/>
          <w:lang w:val="es-ES_tradnl"/>
        </w:rPr>
        <w:t>alienta</w:t>
      </w:r>
      <w:r w:rsidR="00211539" w:rsidRPr="00BA6A4F">
        <w:rPr>
          <w:b/>
          <w:lang w:val="es-ES_tradnl"/>
        </w:rPr>
        <w:t xml:space="preserve"> al Estado parte a que, con la </w:t>
      </w:r>
      <w:r w:rsidR="00F11C5F" w:rsidRPr="00BA6A4F">
        <w:rPr>
          <w:b/>
          <w:lang w:val="es-ES_tradnl"/>
        </w:rPr>
        <w:t xml:space="preserve">participación activa de los pueblos indígenas, </w:t>
      </w:r>
      <w:r w:rsidR="00DE38FE">
        <w:rPr>
          <w:b/>
          <w:lang w:val="es-ES_tradnl"/>
        </w:rPr>
        <w:t xml:space="preserve">la población </w:t>
      </w:r>
      <w:proofErr w:type="spellStart"/>
      <w:r w:rsidR="00B566DD" w:rsidRPr="00BA6A4F">
        <w:rPr>
          <w:b/>
          <w:lang w:val="es-ES_tradnl"/>
        </w:rPr>
        <w:t>afro</w:t>
      </w:r>
      <w:r w:rsidR="00B566DD">
        <w:rPr>
          <w:b/>
          <w:lang w:val="es-ES_tradnl"/>
        </w:rPr>
        <w:t>mexicana</w:t>
      </w:r>
      <w:proofErr w:type="spellEnd"/>
      <w:r w:rsidR="00211539" w:rsidRPr="00BA6A4F">
        <w:rPr>
          <w:b/>
          <w:lang w:val="es-ES_tradnl"/>
        </w:rPr>
        <w:t xml:space="preserve">, </w:t>
      </w:r>
      <w:r w:rsidR="00DE38FE">
        <w:rPr>
          <w:b/>
          <w:lang w:val="es-ES_tradnl"/>
        </w:rPr>
        <w:t xml:space="preserve">otros </w:t>
      </w:r>
      <w:r w:rsidR="00F11C5F" w:rsidRPr="00BA6A4F">
        <w:rPr>
          <w:b/>
          <w:lang w:val="es-ES_tradnl"/>
        </w:rPr>
        <w:t>grupos étnicos</w:t>
      </w:r>
      <w:r w:rsidR="00211539" w:rsidRPr="00BA6A4F">
        <w:rPr>
          <w:b/>
          <w:lang w:val="es-ES_tradnl"/>
        </w:rPr>
        <w:t xml:space="preserve"> y las organizaciones de la sociedad civil,</w:t>
      </w:r>
      <w:r w:rsidR="00F11C5F" w:rsidRPr="00BA6A4F">
        <w:rPr>
          <w:b/>
          <w:lang w:val="es-ES_tradnl"/>
        </w:rPr>
        <w:t xml:space="preserve"> </w:t>
      </w:r>
      <w:r w:rsidR="00085108">
        <w:rPr>
          <w:b/>
          <w:lang w:val="es-ES_tradnl"/>
        </w:rPr>
        <w:t xml:space="preserve">continúe sus esfuerzos para adoptar </w:t>
      </w:r>
      <w:r w:rsidR="005A121A">
        <w:rPr>
          <w:b/>
          <w:lang w:val="es-ES_tradnl"/>
        </w:rPr>
        <w:t>una</w:t>
      </w:r>
      <w:r w:rsidR="00211539" w:rsidRPr="00BA6A4F">
        <w:rPr>
          <w:b/>
          <w:lang w:val="es-ES_tradnl"/>
        </w:rPr>
        <w:t xml:space="preserve"> </w:t>
      </w:r>
      <w:r w:rsidR="00F11C5F" w:rsidRPr="00BA6A4F">
        <w:rPr>
          <w:b/>
          <w:bCs/>
          <w:lang w:val="es-ES_tradnl"/>
        </w:rPr>
        <w:t>metodología</w:t>
      </w:r>
      <w:r w:rsidR="00211539" w:rsidRPr="00BA6A4F">
        <w:rPr>
          <w:b/>
          <w:bCs/>
          <w:lang w:val="es-ES_tradnl"/>
        </w:rPr>
        <w:t xml:space="preserve"> apropiada </w:t>
      </w:r>
      <w:r w:rsidR="005A121A">
        <w:rPr>
          <w:b/>
          <w:bCs/>
          <w:lang w:val="es-ES_tradnl"/>
        </w:rPr>
        <w:t>para</w:t>
      </w:r>
      <w:r w:rsidR="00211539" w:rsidRPr="00BA6A4F">
        <w:rPr>
          <w:b/>
          <w:lang w:val="es-ES_tradnl"/>
        </w:rPr>
        <w:t xml:space="preserve"> el Censo de Población y Vivienda de 2020</w:t>
      </w:r>
      <w:r w:rsidR="00211539" w:rsidRPr="00BA6A4F">
        <w:rPr>
          <w:b/>
          <w:bCs/>
          <w:lang w:val="es-ES_tradnl"/>
        </w:rPr>
        <w:t xml:space="preserve">, velando </w:t>
      </w:r>
      <w:r w:rsidR="00475A38" w:rsidRPr="00BA6A4F">
        <w:rPr>
          <w:b/>
          <w:bCs/>
          <w:lang w:val="es-ES_tradnl"/>
        </w:rPr>
        <w:t>por</w:t>
      </w:r>
      <w:r w:rsidR="00211539" w:rsidRPr="00BA6A4F">
        <w:rPr>
          <w:b/>
          <w:bCs/>
          <w:lang w:val="es-ES_tradnl"/>
        </w:rPr>
        <w:t xml:space="preserve"> la incorporación de crit</w:t>
      </w:r>
      <w:r w:rsidR="00DE38FE">
        <w:rPr>
          <w:b/>
          <w:bCs/>
          <w:lang w:val="es-ES_tradnl"/>
        </w:rPr>
        <w:t>erios adecuados que permitan la</w:t>
      </w:r>
      <w:r w:rsidR="00211539" w:rsidRPr="00BA6A4F">
        <w:rPr>
          <w:b/>
          <w:lang w:val="es-ES_tradnl"/>
        </w:rPr>
        <w:t xml:space="preserve"> </w:t>
      </w:r>
      <w:proofErr w:type="spellStart"/>
      <w:r w:rsidR="00211539" w:rsidRPr="00BA6A4F">
        <w:rPr>
          <w:b/>
          <w:lang w:val="es-ES_tradnl"/>
        </w:rPr>
        <w:t>autoadscripción</w:t>
      </w:r>
      <w:proofErr w:type="spellEnd"/>
      <w:r w:rsidR="00F11C5F" w:rsidRPr="00BA6A4F">
        <w:rPr>
          <w:b/>
          <w:lang w:val="es-ES_tradnl"/>
        </w:rPr>
        <w:t>.</w:t>
      </w:r>
      <w:r w:rsidR="00211539" w:rsidRPr="00BA6A4F">
        <w:rPr>
          <w:b/>
          <w:lang w:val="es-ES_tradnl"/>
        </w:rPr>
        <w:t xml:space="preserve"> El Comité remite al Estado parte a su recomendación general núm. 4 (1973) sobre la presentación de informes por los Estados partes, en cuanto a la composición demográfica de la población.</w:t>
      </w:r>
    </w:p>
    <w:p w14:paraId="25CACC5B" w14:textId="7BC5C81E" w:rsidR="0072333D" w:rsidRPr="00BA6A4F" w:rsidRDefault="005A372F" w:rsidP="005A372F">
      <w:pPr>
        <w:pStyle w:val="H23G"/>
        <w:rPr>
          <w:lang w:val="es-ES_tradnl"/>
        </w:rPr>
      </w:pPr>
      <w:r>
        <w:rPr>
          <w:lang w:val="es-ES_tradnl"/>
        </w:rPr>
        <w:tab/>
      </w:r>
      <w:r>
        <w:rPr>
          <w:lang w:val="es-ES_tradnl"/>
        </w:rPr>
        <w:tab/>
      </w:r>
      <w:r w:rsidR="00853557">
        <w:rPr>
          <w:lang w:val="es-ES_tradnl"/>
        </w:rPr>
        <w:t xml:space="preserve">Definición de discriminación racial </w:t>
      </w:r>
    </w:p>
    <w:p w14:paraId="700E8BA2" w14:textId="551B5B0C" w:rsidR="00D5703B" w:rsidRPr="00BA6A4F" w:rsidRDefault="006560D5" w:rsidP="00584DFD">
      <w:pPr>
        <w:pStyle w:val="SingleTxtG"/>
        <w:rPr>
          <w:lang w:val="es-ES_tradnl"/>
        </w:rPr>
      </w:pPr>
      <w:r w:rsidRPr="00BA6A4F">
        <w:rPr>
          <w:lang w:val="es-ES_tradnl"/>
        </w:rPr>
        <w:t>8.</w:t>
      </w:r>
      <w:r w:rsidRPr="00BA6A4F">
        <w:rPr>
          <w:lang w:val="es-ES_tradnl"/>
        </w:rPr>
        <w:tab/>
      </w:r>
      <w:r w:rsidR="00475A38" w:rsidRPr="00BA6A4F">
        <w:rPr>
          <w:lang w:val="es-ES_tradnl"/>
        </w:rPr>
        <w:t xml:space="preserve">Preocupa al Comité que, según </w:t>
      </w:r>
      <w:r w:rsidR="005A121A">
        <w:rPr>
          <w:lang w:val="es-ES_tradnl"/>
        </w:rPr>
        <w:t>la información proporcionada</w:t>
      </w:r>
      <w:r w:rsidR="00475A38" w:rsidRPr="00BA6A4F">
        <w:rPr>
          <w:lang w:val="es-ES_tradnl"/>
        </w:rPr>
        <w:t xml:space="preserve"> por la delegación, las legislaciones para la prevención y eliminación de la discriminación racial de las </w:t>
      </w:r>
      <w:r w:rsidR="00AA5968">
        <w:rPr>
          <w:lang w:val="es-ES_tradnl"/>
        </w:rPr>
        <w:t xml:space="preserve">32 </w:t>
      </w:r>
      <w:r w:rsidR="00475A38" w:rsidRPr="00BA6A4F">
        <w:rPr>
          <w:lang w:val="es-ES_tradnl"/>
        </w:rPr>
        <w:t xml:space="preserve">entidades federativas no incluyen de manera homogénea todos los elementos establecidos en el artículo </w:t>
      </w:r>
      <w:r w:rsidR="00AA5968">
        <w:rPr>
          <w:lang w:val="es-ES_tradnl"/>
        </w:rPr>
        <w:t xml:space="preserve">1 </w:t>
      </w:r>
      <w:r w:rsidR="00475A38" w:rsidRPr="00BA6A4F">
        <w:rPr>
          <w:lang w:val="es-ES_tradnl"/>
        </w:rPr>
        <w:t>de la Convención</w:t>
      </w:r>
      <w:r w:rsidR="0076662B">
        <w:rPr>
          <w:lang w:val="es-ES_tradnl"/>
        </w:rPr>
        <w:t xml:space="preserve"> </w:t>
      </w:r>
      <w:r w:rsidR="00D5703B" w:rsidRPr="00BA6A4F">
        <w:rPr>
          <w:lang w:val="es-ES_tradnl"/>
        </w:rPr>
        <w:t>(art. 1).</w:t>
      </w:r>
    </w:p>
    <w:p w14:paraId="4E0D9260" w14:textId="756CF798" w:rsidR="002634D9" w:rsidRDefault="006560D5" w:rsidP="00584DFD">
      <w:pPr>
        <w:pStyle w:val="SingleTxtG"/>
        <w:rPr>
          <w:b/>
          <w:lang w:val="es-ES_tradnl"/>
        </w:rPr>
      </w:pPr>
      <w:r>
        <w:rPr>
          <w:lang w:val="es-ES_tradnl"/>
        </w:rPr>
        <w:t>9.</w:t>
      </w:r>
      <w:r>
        <w:rPr>
          <w:lang w:val="es-ES_tradnl"/>
        </w:rPr>
        <w:tab/>
      </w:r>
      <w:r w:rsidR="00FA24E7" w:rsidRPr="00BA6A4F">
        <w:rPr>
          <w:b/>
          <w:lang w:val="es-ES_tradnl"/>
        </w:rPr>
        <w:t xml:space="preserve">El Comité recomienda al Estado parte que lleve a cabo una revisión de la legislación federal y de las entidades federativas a fin de asegurar que la definición y prohibición de </w:t>
      </w:r>
      <w:r w:rsidR="00DE2D75">
        <w:rPr>
          <w:b/>
          <w:lang w:val="es-ES_tradnl"/>
        </w:rPr>
        <w:t xml:space="preserve">la </w:t>
      </w:r>
      <w:r w:rsidR="00FA24E7" w:rsidRPr="00BA6A4F">
        <w:rPr>
          <w:b/>
          <w:lang w:val="es-ES_tradnl"/>
        </w:rPr>
        <w:t xml:space="preserve">discriminación racial contenga todos los elementos del artículo 1 de la Convención y que contemple los actos de discriminación directa e indirecta en todas las esferas del derecho y de la vida pública. </w:t>
      </w:r>
      <w:r w:rsidR="004605D7" w:rsidRPr="00BA6A4F">
        <w:rPr>
          <w:b/>
          <w:lang w:val="es-ES_tradnl"/>
        </w:rPr>
        <w:t>El Comité remite al Estado parte a su recomendaci</w:t>
      </w:r>
      <w:r w:rsidR="00E37537">
        <w:rPr>
          <w:b/>
          <w:lang w:val="es-ES_tradnl"/>
        </w:rPr>
        <w:t>ó</w:t>
      </w:r>
      <w:r w:rsidR="004605D7" w:rsidRPr="00BA6A4F">
        <w:rPr>
          <w:b/>
          <w:lang w:val="es-ES_tradnl"/>
        </w:rPr>
        <w:t>n general núm. 14 (1993)</w:t>
      </w:r>
      <w:r w:rsidR="004605D7">
        <w:rPr>
          <w:b/>
          <w:lang w:val="es-ES_tradnl"/>
        </w:rPr>
        <w:t xml:space="preserve"> </w:t>
      </w:r>
      <w:r w:rsidR="00AA5968">
        <w:rPr>
          <w:b/>
          <w:lang w:val="es-ES_tradnl"/>
        </w:rPr>
        <w:t xml:space="preserve">sobre el </w:t>
      </w:r>
      <w:r w:rsidR="004605D7" w:rsidRPr="00BA6A4F">
        <w:rPr>
          <w:b/>
          <w:lang w:val="es-ES_tradnl"/>
        </w:rPr>
        <w:t xml:space="preserve">párrafo 1 </w:t>
      </w:r>
      <w:r w:rsidR="004605D7">
        <w:rPr>
          <w:b/>
          <w:lang w:val="es-ES_tradnl"/>
        </w:rPr>
        <w:t xml:space="preserve">del artículo 1 </w:t>
      </w:r>
      <w:r w:rsidR="004605D7" w:rsidRPr="00BA6A4F">
        <w:rPr>
          <w:b/>
          <w:lang w:val="es-ES_tradnl"/>
        </w:rPr>
        <w:t>de la Convención</w:t>
      </w:r>
      <w:r w:rsidR="004605D7">
        <w:rPr>
          <w:b/>
          <w:lang w:val="es-ES_tradnl"/>
        </w:rPr>
        <w:t>.</w:t>
      </w:r>
    </w:p>
    <w:p w14:paraId="66186905" w14:textId="33CF0172" w:rsidR="002634D9" w:rsidRPr="00A7027B" w:rsidRDefault="005A372F" w:rsidP="005A372F">
      <w:pPr>
        <w:pStyle w:val="H23G"/>
        <w:rPr>
          <w:lang w:val="es-419"/>
        </w:rPr>
      </w:pPr>
      <w:r>
        <w:rPr>
          <w:lang w:val="es-ES_tradnl"/>
        </w:rPr>
        <w:tab/>
      </w:r>
      <w:r>
        <w:rPr>
          <w:lang w:val="es-ES_tradnl"/>
        </w:rPr>
        <w:tab/>
      </w:r>
      <w:r w:rsidR="0076662B" w:rsidRPr="00A7027B">
        <w:rPr>
          <w:lang w:val="es-419"/>
        </w:rPr>
        <w:t xml:space="preserve">Odio </w:t>
      </w:r>
      <w:r w:rsidR="0076662B" w:rsidRPr="00404EB7">
        <w:rPr>
          <w:lang w:val="es-ES_tradnl"/>
        </w:rPr>
        <w:t>racial</w:t>
      </w:r>
      <w:r w:rsidR="0076662B" w:rsidRPr="00A7027B">
        <w:rPr>
          <w:lang w:val="es-419"/>
        </w:rPr>
        <w:t xml:space="preserve"> e incitación a la </w:t>
      </w:r>
      <w:r w:rsidR="0076662B" w:rsidRPr="0076662B">
        <w:rPr>
          <w:lang w:val="es-419"/>
        </w:rPr>
        <w:t>discriminación</w:t>
      </w:r>
      <w:r w:rsidR="0076662B" w:rsidRPr="00A7027B">
        <w:rPr>
          <w:lang w:val="es-419"/>
        </w:rPr>
        <w:t xml:space="preserve"> racial </w:t>
      </w:r>
    </w:p>
    <w:p w14:paraId="34552515" w14:textId="70637BAD" w:rsidR="002634D9" w:rsidRDefault="006560D5" w:rsidP="00584DFD">
      <w:pPr>
        <w:pStyle w:val="SingleTxtG"/>
        <w:rPr>
          <w:b/>
          <w:lang w:val="es-ES_tradnl"/>
        </w:rPr>
      </w:pPr>
      <w:r>
        <w:rPr>
          <w:lang w:val="es-ES_tradnl"/>
        </w:rPr>
        <w:t>10.</w:t>
      </w:r>
      <w:r>
        <w:rPr>
          <w:lang w:val="es-ES_tradnl"/>
        </w:rPr>
        <w:tab/>
      </w:r>
      <w:r w:rsidR="002634D9" w:rsidRPr="00BA6A4F">
        <w:rPr>
          <w:lang w:val="es-ES_tradnl"/>
        </w:rPr>
        <w:t>El Comité</w:t>
      </w:r>
      <w:r w:rsidR="002634D9" w:rsidRPr="0036216F">
        <w:rPr>
          <w:lang w:val="es-ES_tradnl"/>
        </w:rPr>
        <w:t xml:space="preserve"> </w:t>
      </w:r>
      <w:r w:rsidR="002634D9" w:rsidRPr="00BA6A4F">
        <w:rPr>
          <w:lang w:val="es-ES_tradnl"/>
        </w:rPr>
        <w:t>reitera su preocupación anterior (CE</w:t>
      </w:r>
      <w:r w:rsidR="002634D9">
        <w:rPr>
          <w:lang w:val="es-ES_tradnl"/>
        </w:rPr>
        <w:t xml:space="preserve">RD/C/MEX/CO/16-17, párr. 11) </w:t>
      </w:r>
      <w:r w:rsidR="00236644">
        <w:rPr>
          <w:lang w:val="es-ES_tradnl"/>
        </w:rPr>
        <w:t xml:space="preserve">por </w:t>
      </w:r>
      <w:r w:rsidR="002634D9">
        <w:rPr>
          <w:lang w:val="es-ES_tradnl"/>
        </w:rPr>
        <w:t xml:space="preserve">la falta de legislación penal que tipifique </w:t>
      </w:r>
      <w:r w:rsidR="002634D9" w:rsidRPr="00BA6A4F">
        <w:rPr>
          <w:lang w:val="es-ES_tradnl"/>
        </w:rPr>
        <w:t>como acto</w:t>
      </w:r>
      <w:r w:rsidR="00456393">
        <w:rPr>
          <w:lang w:val="es-ES_tradnl"/>
        </w:rPr>
        <w:t>s</w:t>
      </w:r>
      <w:r w:rsidR="002634D9" w:rsidRPr="00BA6A4F">
        <w:rPr>
          <w:lang w:val="es-ES_tradnl"/>
        </w:rPr>
        <w:t xml:space="preserve"> punible</w:t>
      </w:r>
      <w:r w:rsidR="00456393">
        <w:rPr>
          <w:lang w:val="es-ES_tradnl"/>
        </w:rPr>
        <w:t>s</w:t>
      </w:r>
      <w:r w:rsidR="002634D9" w:rsidRPr="00BA6A4F">
        <w:rPr>
          <w:lang w:val="es-ES_tradnl"/>
        </w:rPr>
        <w:t xml:space="preserve"> todas las acciones mencionadas en el artículo 4 de la Convención</w:t>
      </w:r>
      <w:r w:rsidR="0076662B">
        <w:rPr>
          <w:lang w:val="es-ES_tradnl"/>
        </w:rPr>
        <w:t xml:space="preserve"> y que aún no se haya incorporado la circunstancia agravante cuando el delito es cometido por motivos raciales</w:t>
      </w:r>
      <w:r w:rsidR="004605D7">
        <w:rPr>
          <w:lang w:val="es-ES_tradnl"/>
        </w:rPr>
        <w:t xml:space="preserve"> (art. 4)</w:t>
      </w:r>
      <w:r w:rsidR="003D6976">
        <w:rPr>
          <w:lang w:val="es-ES_tradnl"/>
        </w:rPr>
        <w:t>.</w:t>
      </w:r>
    </w:p>
    <w:p w14:paraId="790FB81D" w14:textId="1A7C3F39" w:rsidR="007368D3" w:rsidRPr="00BA6A4F" w:rsidRDefault="006560D5" w:rsidP="00584DFD">
      <w:pPr>
        <w:pStyle w:val="SingleTxtG"/>
        <w:rPr>
          <w:b/>
          <w:lang w:val="es-ES_tradnl"/>
        </w:rPr>
      </w:pPr>
      <w:r w:rsidRPr="00BA6A4F">
        <w:rPr>
          <w:lang w:val="es-ES_tradnl"/>
        </w:rPr>
        <w:t>11.</w:t>
      </w:r>
      <w:r w:rsidRPr="00BA6A4F">
        <w:rPr>
          <w:lang w:val="es-ES_tradnl"/>
        </w:rPr>
        <w:tab/>
      </w:r>
      <w:r w:rsidR="00FA24E7" w:rsidRPr="00BA6A4F">
        <w:rPr>
          <w:b/>
          <w:lang w:val="es-ES_tradnl"/>
        </w:rPr>
        <w:t>El Comité exhorta al Estado parte a que</w:t>
      </w:r>
      <w:r w:rsidR="00DE362B">
        <w:rPr>
          <w:b/>
          <w:lang w:val="es-ES_tradnl"/>
        </w:rPr>
        <w:t>,</w:t>
      </w:r>
      <w:r w:rsidR="00FA24E7" w:rsidRPr="00BA6A4F">
        <w:rPr>
          <w:b/>
          <w:lang w:val="es-ES_tradnl"/>
        </w:rPr>
        <w:t xml:space="preserve"> </w:t>
      </w:r>
      <w:r w:rsidR="001F52EE" w:rsidRPr="00BA6A4F">
        <w:rPr>
          <w:b/>
          <w:lang w:val="es-ES_tradnl"/>
        </w:rPr>
        <w:t>en cumplimiento con las anteriores recomendaciones de este Comité y lo ordenado por la Suprem</w:t>
      </w:r>
      <w:r w:rsidR="0036216F">
        <w:rPr>
          <w:b/>
          <w:lang w:val="es-ES_tradnl"/>
        </w:rPr>
        <w:t xml:space="preserve">a Corte de Justicia en </w:t>
      </w:r>
      <w:r w:rsidR="003F381F">
        <w:rPr>
          <w:b/>
          <w:lang w:val="es-ES_tradnl"/>
        </w:rPr>
        <w:t xml:space="preserve">su </w:t>
      </w:r>
      <w:r w:rsidR="0036216F">
        <w:rPr>
          <w:b/>
          <w:lang w:val="es-ES_tradnl"/>
        </w:rPr>
        <w:lastRenderedPageBreak/>
        <w:t xml:space="preserve">sentencia 805/2018 de </w:t>
      </w:r>
      <w:r w:rsidR="0009016D">
        <w:rPr>
          <w:b/>
          <w:lang w:val="es-ES_tradnl"/>
        </w:rPr>
        <w:t xml:space="preserve">30 de </w:t>
      </w:r>
      <w:r w:rsidR="0036216F">
        <w:rPr>
          <w:b/>
          <w:lang w:val="es-ES_tradnl"/>
        </w:rPr>
        <w:t xml:space="preserve">enero de 2019, </w:t>
      </w:r>
      <w:r w:rsidR="00FA24E7" w:rsidRPr="00BA6A4F">
        <w:rPr>
          <w:b/>
          <w:lang w:val="es-ES_tradnl"/>
        </w:rPr>
        <w:t>tipifique como delitos los actos de discriminación racial y las acciones descritas en el artículo 4 de la Convención. Además, le recomienda que se asegure de que los motivos raciales se consideren como circunstancia agravante en las penas impuestas por un delito. El Comité remite al Estado parte a sus recomendaciones generales</w:t>
      </w:r>
      <w:r w:rsidR="004605D7">
        <w:rPr>
          <w:b/>
          <w:lang w:val="es-ES_tradnl"/>
        </w:rPr>
        <w:t xml:space="preserve"> </w:t>
      </w:r>
      <w:r w:rsidR="00AB69AA">
        <w:rPr>
          <w:b/>
          <w:lang w:val="es-ES_tradnl"/>
        </w:rPr>
        <w:t xml:space="preserve">núm. 15 (1993) </w:t>
      </w:r>
      <w:r w:rsidR="00FA3608">
        <w:rPr>
          <w:b/>
          <w:lang w:val="es-ES_tradnl"/>
        </w:rPr>
        <w:t xml:space="preserve">sobre el </w:t>
      </w:r>
      <w:r w:rsidR="00AB69AA">
        <w:rPr>
          <w:b/>
          <w:lang w:val="es-ES_tradnl"/>
        </w:rPr>
        <w:t>artículo 4 de la Convención</w:t>
      </w:r>
      <w:r w:rsidR="00FA3608">
        <w:rPr>
          <w:b/>
          <w:lang w:val="es-ES_tradnl"/>
        </w:rPr>
        <w:t>,</w:t>
      </w:r>
      <w:r w:rsidR="00AB69AA">
        <w:rPr>
          <w:b/>
          <w:lang w:val="es-ES_tradnl"/>
        </w:rPr>
        <w:t xml:space="preserve"> y núm.</w:t>
      </w:r>
      <w:r w:rsidR="009E624B">
        <w:rPr>
          <w:b/>
          <w:lang w:val="es-ES_tradnl"/>
        </w:rPr>
        <w:t xml:space="preserve"> </w:t>
      </w:r>
      <w:r w:rsidR="005B404D" w:rsidRPr="00BA6A4F">
        <w:rPr>
          <w:b/>
          <w:lang w:val="es-ES_tradnl"/>
        </w:rPr>
        <w:t>35 (2013) sobre la lucha contra el discurso de odio racista</w:t>
      </w:r>
      <w:r w:rsidR="00FA24E7" w:rsidRPr="00BA6A4F">
        <w:rPr>
          <w:b/>
          <w:lang w:val="es-ES_tradnl"/>
        </w:rPr>
        <w:t>.</w:t>
      </w:r>
      <w:r w:rsidR="00C97634" w:rsidRPr="00BA6A4F">
        <w:rPr>
          <w:b/>
          <w:lang w:val="es-ES_tradnl"/>
        </w:rPr>
        <w:t xml:space="preserve"> </w:t>
      </w:r>
    </w:p>
    <w:p w14:paraId="6B1730E3" w14:textId="3CFEC13F" w:rsidR="0072333D" w:rsidRPr="00BA6A4F" w:rsidRDefault="005A372F" w:rsidP="005A372F">
      <w:pPr>
        <w:pStyle w:val="H23G"/>
        <w:rPr>
          <w:lang w:val="es-ES_tradnl"/>
        </w:rPr>
      </w:pPr>
      <w:r>
        <w:rPr>
          <w:lang w:val="es-ES_tradnl"/>
        </w:rPr>
        <w:tab/>
      </w:r>
      <w:r>
        <w:rPr>
          <w:lang w:val="es-ES_tradnl"/>
        </w:rPr>
        <w:tab/>
      </w:r>
      <w:r w:rsidR="0072333D" w:rsidRPr="00BA6A4F">
        <w:rPr>
          <w:lang w:val="es-ES_tradnl"/>
        </w:rPr>
        <w:t xml:space="preserve">Institucionalidad </w:t>
      </w:r>
    </w:p>
    <w:p w14:paraId="73BB5425" w14:textId="7622DE9F" w:rsidR="0072333D" w:rsidRPr="00BA6A4F" w:rsidRDefault="006560D5" w:rsidP="00584DFD">
      <w:pPr>
        <w:pStyle w:val="SingleTxtG"/>
        <w:rPr>
          <w:lang w:val="es-ES_tradnl"/>
        </w:rPr>
      </w:pPr>
      <w:r w:rsidRPr="00BA6A4F">
        <w:rPr>
          <w:lang w:val="es-ES_tradnl"/>
        </w:rPr>
        <w:t>12.</w:t>
      </w:r>
      <w:r w:rsidRPr="00BA6A4F">
        <w:rPr>
          <w:lang w:val="es-ES_tradnl"/>
        </w:rPr>
        <w:tab/>
      </w:r>
      <w:r w:rsidR="00473A94">
        <w:rPr>
          <w:lang w:val="es-ES_tradnl"/>
        </w:rPr>
        <w:t>P</w:t>
      </w:r>
      <w:r w:rsidR="00494109" w:rsidRPr="00BA6A4F">
        <w:rPr>
          <w:lang w:val="es-ES_tradnl"/>
        </w:rPr>
        <w:t>r</w:t>
      </w:r>
      <w:r w:rsidR="00473A94">
        <w:rPr>
          <w:lang w:val="es-ES_tradnl"/>
        </w:rPr>
        <w:t>eocup</w:t>
      </w:r>
      <w:r w:rsidR="00494109" w:rsidRPr="00BA6A4F">
        <w:rPr>
          <w:lang w:val="es-ES_tradnl"/>
        </w:rPr>
        <w:t>a</w:t>
      </w:r>
      <w:r w:rsidR="00473A94">
        <w:rPr>
          <w:lang w:val="es-ES_tradnl"/>
        </w:rPr>
        <w:t xml:space="preserve"> al Comité que, a pesar de los esfuerzos realizados, </w:t>
      </w:r>
      <w:r w:rsidR="00840649" w:rsidRPr="00BA6A4F">
        <w:rPr>
          <w:lang w:val="es-ES_tradnl"/>
        </w:rPr>
        <w:t xml:space="preserve">el Consejo Nacional para Prevenir </w:t>
      </w:r>
      <w:r w:rsidR="00840649">
        <w:rPr>
          <w:lang w:val="es-ES_tradnl"/>
        </w:rPr>
        <w:t xml:space="preserve">la </w:t>
      </w:r>
      <w:r w:rsidR="00840649" w:rsidRPr="00BA6A4F">
        <w:rPr>
          <w:lang w:val="es-ES_tradnl"/>
        </w:rPr>
        <w:t>Discriminación (CONAPRED)</w:t>
      </w:r>
      <w:r w:rsidR="00840649">
        <w:rPr>
          <w:lang w:val="es-ES_tradnl"/>
        </w:rPr>
        <w:t xml:space="preserve"> no</w:t>
      </w:r>
      <w:r w:rsidR="00494109" w:rsidRPr="00BA6A4F">
        <w:rPr>
          <w:lang w:val="es-ES_tradnl"/>
        </w:rPr>
        <w:t xml:space="preserve"> cuente con los recursos financieros, humanos y técnicos suficientes para </w:t>
      </w:r>
      <w:r w:rsidR="0009016D">
        <w:rPr>
          <w:lang w:val="es-ES_tradnl"/>
        </w:rPr>
        <w:t xml:space="preserve">brindar una atención efectiva a todos los casos de discriminación racial en todo el territorio </w:t>
      </w:r>
      <w:r w:rsidR="00473A94">
        <w:rPr>
          <w:lang w:val="es-ES_tradnl"/>
        </w:rPr>
        <w:t xml:space="preserve">del Estado parte. </w:t>
      </w:r>
      <w:r w:rsidR="007F2D46">
        <w:rPr>
          <w:lang w:val="es-ES_tradnl"/>
        </w:rPr>
        <w:t>Además</w:t>
      </w:r>
      <w:r w:rsidR="00473A94">
        <w:rPr>
          <w:lang w:val="es-ES_tradnl"/>
        </w:rPr>
        <w:t>,</w:t>
      </w:r>
      <w:r w:rsidR="00494109" w:rsidRPr="00BA6A4F">
        <w:rPr>
          <w:lang w:val="es-ES_tradnl"/>
        </w:rPr>
        <w:t xml:space="preserve"> la mayoría de </w:t>
      </w:r>
      <w:r w:rsidR="008D620F">
        <w:rPr>
          <w:lang w:val="es-ES_tradnl"/>
        </w:rPr>
        <w:t xml:space="preserve">las </w:t>
      </w:r>
      <w:r w:rsidR="00494109" w:rsidRPr="00BA6A4F">
        <w:rPr>
          <w:lang w:val="es-ES_tradnl"/>
        </w:rPr>
        <w:t>entidades federativas no cuent</w:t>
      </w:r>
      <w:r w:rsidR="008D620F">
        <w:rPr>
          <w:lang w:val="es-ES_tradnl"/>
        </w:rPr>
        <w:t>a</w:t>
      </w:r>
      <w:r w:rsidR="00494109" w:rsidRPr="00BA6A4F">
        <w:rPr>
          <w:lang w:val="es-ES_tradnl"/>
        </w:rPr>
        <w:t>n co</w:t>
      </w:r>
      <w:r w:rsidR="00840649">
        <w:rPr>
          <w:lang w:val="es-ES_tradnl"/>
        </w:rPr>
        <w:t xml:space="preserve">n una instancia encargada de la prevención y eliminación de </w:t>
      </w:r>
      <w:r w:rsidR="00494109" w:rsidRPr="00BA6A4F">
        <w:rPr>
          <w:lang w:val="es-ES_tradnl"/>
        </w:rPr>
        <w:t>la discriminación</w:t>
      </w:r>
      <w:r w:rsidR="008D620F">
        <w:rPr>
          <w:lang w:val="es-ES_tradnl"/>
        </w:rPr>
        <w:t xml:space="preserve"> racial</w:t>
      </w:r>
      <w:r w:rsidR="00494109" w:rsidRPr="00BA6A4F">
        <w:rPr>
          <w:lang w:val="es-ES_tradnl"/>
        </w:rPr>
        <w:t xml:space="preserve"> (art. 2). </w:t>
      </w:r>
    </w:p>
    <w:p w14:paraId="74980DFE" w14:textId="3DDD8422" w:rsidR="00494109" w:rsidRPr="00BA6A4F" w:rsidRDefault="006560D5" w:rsidP="00584DFD">
      <w:pPr>
        <w:pStyle w:val="SingleTxtG"/>
        <w:rPr>
          <w:b/>
          <w:lang w:val="es-ES_tradnl"/>
        </w:rPr>
      </w:pPr>
      <w:r w:rsidRPr="00BA6A4F">
        <w:rPr>
          <w:lang w:val="es-ES_tradnl"/>
        </w:rPr>
        <w:t>13.</w:t>
      </w:r>
      <w:r w:rsidRPr="00BA6A4F">
        <w:rPr>
          <w:lang w:val="es-ES_tradnl"/>
        </w:rPr>
        <w:tab/>
      </w:r>
      <w:r w:rsidR="00494109" w:rsidRPr="00BA6A4F">
        <w:rPr>
          <w:b/>
          <w:lang w:val="es-ES_tradnl"/>
        </w:rPr>
        <w:t xml:space="preserve">El Comité recomienda al Estado parte que intensifique sus esfuerzos para dotar de los recursos humanos, financieros y técnicos adecuados al CONAPRED </w:t>
      </w:r>
      <w:r w:rsidR="00840649">
        <w:rPr>
          <w:b/>
          <w:lang w:val="es-ES_tradnl"/>
        </w:rPr>
        <w:t xml:space="preserve">a fin de que </w:t>
      </w:r>
      <w:r w:rsidR="00494109" w:rsidRPr="00BA6A4F">
        <w:rPr>
          <w:b/>
          <w:lang w:val="es-ES_tradnl"/>
        </w:rPr>
        <w:t>cumpla su mandato de manera efectiva</w:t>
      </w:r>
      <w:r w:rsidR="00473A94">
        <w:rPr>
          <w:b/>
          <w:lang w:val="es-ES_tradnl"/>
        </w:rPr>
        <w:t xml:space="preserve"> y que tome</w:t>
      </w:r>
      <w:r w:rsidR="00494109" w:rsidRPr="00BA6A4F">
        <w:rPr>
          <w:b/>
          <w:lang w:val="es-ES_tradnl"/>
        </w:rPr>
        <w:t xml:space="preserve"> las medidas adecuadas para asegurar que cada entidad federativa cuente con una instancia encargada de recibir quejas relativas a</w:t>
      </w:r>
      <w:r w:rsidR="00473A94">
        <w:rPr>
          <w:b/>
          <w:lang w:val="es-ES_tradnl"/>
        </w:rPr>
        <w:t xml:space="preserve"> la </w:t>
      </w:r>
      <w:r w:rsidR="00494109" w:rsidRPr="00BA6A4F">
        <w:rPr>
          <w:b/>
          <w:lang w:val="es-ES_tradnl"/>
        </w:rPr>
        <w:t>discriminación racial y de promover políticas y medidas tendientes a la eliminación de la discriminación racial</w:t>
      </w:r>
      <w:r w:rsidR="00473A94">
        <w:rPr>
          <w:b/>
          <w:lang w:val="es-ES_tradnl"/>
        </w:rPr>
        <w:t xml:space="preserve">. En ese sentido, le alienta a que establezca </w:t>
      </w:r>
      <w:r w:rsidR="00BE1A8B" w:rsidRPr="00BA6A4F">
        <w:rPr>
          <w:b/>
          <w:lang w:val="es-ES_tradnl"/>
        </w:rPr>
        <w:t xml:space="preserve">mecanismos adecuados de coordinación entre las mismas y el CONAPRED. </w:t>
      </w:r>
    </w:p>
    <w:p w14:paraId="4F6E53EA" w14:textId="33639AA4" w:rsidR="001006A6" w:rsidRDefault="005A372F" w:rsidP="005A372F">
      <w:pPr>
        <w:pStyle w:val="H23G"/>
        <w:rPr>
          <w:lang w:val="es-ES_tradnl"/>
        </w:rPr>
      </w:pPr>
      <w:r>
        <w:rPr>
          <w:lang w:val="es-ES_tradnl"/>
        </w:rPr>
        <w:tab/>
      </w:r>
      <w:r>
        <w:rPr>
          <w:lang w:val="es-ES_tradnl"/>
        </w:rPr>
        <w:tab/>
      </w:r>
      <w:r w:rsidR="001006A6">
        <w:rPr>
          <w:lang w:val="es-ES_tradnl"/>
        </w:rPr>
        <w:t xml:space="preserve">Lucha contra la discriminación </w:t>
      </w:r>
      <w:r w:rsidR="009758FE">
        <w:rPr>
          <w:lang w:val="es-ES_tradnl"/>
        </w:rPr>
        <w:t xml:space="preserve">racial </w:t>
      </w:r>
    </w:p>
    <w:p w14:paraId="360BE0AA" w14:textId="0AF04040" w:rsidR="00676AAC" w:rsidRPr="009758FE" w:rsidRDefault="006560D5" w:rsidP="00584DFD">
      <w:pPr>
        <w:pStyle w:val="SingleTxtG"/>
        <w:rPr>
          <w:noProof/>
          <w:lang w:val="es-ES_tradnl"/>
        </w:rPr>
      </w:pPr>
      <w:r w:rsidRPr="009758FE">
        <w:rPr>
          <w:noProof/>
          <w:lang w:val="es-ES_tradnl"/>
        </w:rPr>
        <w:t>14.</w:t>
      </w:r>
      <w:r w:rsidRPr="009758FE">
        <w:rPr>
          <w:noProof/>
          <w:lang w:val="es-ES_tradnl"/>
        </w:rPr>
        <w:tab/>
      </w:r>
      <w:r w:rsidR="00DB3B1A">
        <w:t>Aun cuando el Comité toma nota de la implementación del Programa Nacional por la Igualdad y no Discriminación, le p</w:t>
      </w:r>
      <w:r w:rsidR="009758FE">
        <w:t xml:space="preserve">reocupa que la discriminación racial estructural e histórica en contra de pueblos indígenas y </w:t>
      </w:r>
      <w:r w:rsidR="00DD1287">
        <w:t xml:space="preserve">la población </w:t>
      </w:r>
      <w:proofErr w:type="spellStart"/>
      <w:r w:rsidR="00DD1287">
        <w:t>afromexicana</w:t>
      </w:r>
      <w:proofErr w:type="spellEnd"/>
      <w:r w:rsidR="00DD1287">
        <w:t xml:space="preserve"> </w:t>
      </w:r>
      <w:r w:rsidR="009758FE">
        <w:t>continúe profundamente arraigada en el Estado</w:t>
      </w:r>
      <w:r w:rsidR="00E37537">
        <w:t xml:space="preserve"> parte</w:t>
      </w:r>
      <w:r w:rsidR="009758FE">
        <w:t xml:space="preserve"> </w:t>
      </w:r>
      <w:r w:rsidR="00CC6DB8">
        <w:rPr>
          <w:noProof/>
          <w:lang w:val="es-ES_tradnl"/>
        </w:rPr>
        <w:t xml:space="preserve">y </w:t>
      </w:r>
      <w:r w:rsidR="00B93AEF">
        <w:rPr>
          <w:noProof/>
          <w:lang w:val="es-ES_tradnl"/>
        </w:rPr>
        <w:t xml:space="preserve">constituya </w:t>
      </w:r>
      <w:r w:rsidR="009758FE">
        <w:rPr>
          <w:noProof/>
          <w:lang w:val="es-ES_tradnl"/>
        </w:rPr>
        <w:t xml:space="preserve">un obstáculo para la contrucción de una sociedad multicultural </w:t>
      </w:r>
      <w:r w:rsidR="008A405B">
        <w:rPr>
          <w:noProof/>
          <w:lang w:val="es-ES_tradnl"/>
        </w:rPr>
        <w:t>basada en la igualdad y en la equidad</w:t>
      </w:r>
      <w:r w:rsidR="00900EF7">
        <w:rPr>
          <w:noProof/>
          <w:lang w:val="es-ES_tradnl"/>
        </w:rPr>
        <w:t xml:space="preserve"> </w:t>
      </w:r>
      <w:r w:rsidR="009758FE">
        <w:rPr>
          <w:noProof/>
          <w:lang w:val="es-ES_tradnl"/>
        </w:rPr>
        <w:t>(art</w:t>
      </w:r>
      <w:r w:rsidR="00DB3B1A">
        <w:rPr>
          <w:noProof/>
          <w:lang w:val="es-ES_tradnl"/>
        </w:rPr>
        <w:t>s</w:t>
      </w:r>
      <w:r w:rsidR="009758FE">
        <w:rPr>
          <w:noProof/>
          <w:lang w:val="es-ES_tradnl"/>
        </w:rPr>
        <w:t>.</w:t>
      </w:r>
      <w:r w:rsidR="00DB3B1A">
        <w:rPr>
          <w:noProof/>
          <w:lang w:val="es-ES_tradnl"/>
        </w:rPr>
        <w:t xml:space="preserve"> </w:t>
      </w:r>
      <w:r w:rsidR="004605D7">
        <w:rPr>
          <w:noProof/>
          <w:lang w:val="es-ES_tradnl"/>
        </w:rPr>
        <w:t>2</w:t>
      </w:r>
      <w:r w:rsidR="00DB3B1A">
        <w:rPr>
          <w:noProof/>
          <w:lang w:val="es-ES_tradnl"/>
        </w:rPr>
        <w:t xml:space="preserve"> y</w:t>
      </w:r>
      <w:r w:rsidR="009758FE">
        <w:rPr>
          <w:noProof/>
          <w:lang w:val="es-ES_tradnl"/>
        </w:rPr>
        <w:t xml:space="preserve"> 7). </w:t>
      </w:r>
    </w:p>
    <w:p w14:paraId="2A350641" w14:textId="7FE18D22" w:rsidR="00473A94" w:rsidRPr="00DB3B1A" w:rsidRDefault="006560D5" w:rsidP="00584DFD">
      <w:pPr>
        <w:pStyle w:val="SingleTxtG"/>
        <w:rPr>
          <w:rFonts w:eastAsia="Times New Roman"/>
        </w:rPr>
      </w:pPr>
      <w:r w:rsidRPr="00DB3B1A">
        <w:rPr>
          <w:rFonts w:eastAsia="Times New Roman"/>
        </w:rPr>
        <w:t>15.</w:t>
      </w:r>
      <w:r w:rsidRPr="00DB3B1A">
        <w:rPr>
          <w:rFonts w:eastAsia="Times New Roman"/>
        </w:rPr>
        <w:tab/>
      </w:r>
      <w:r w:rsidR="00676AAC">
        <w:rPr>
          <w:b/>
        </w:rPr>
        <w:t xml:space="preserve">El Comité insta al Estado parte a elaborar una política nacional integral de lucha contra la discriminación racial que incluya la adopción de un plan nacional contra el racismo y la discriminación asegurando que tanto el proceso de elaboración como el de implementación se lleven a cabo con la participación efectiva de </w:t>
      </w:r>
      <w:r w:rsidR="00DB3B1A">
        <w:rPr>
          <w:b/>
        </w:rPr>
        <w:t xml:space="preserve">los pueblos indígenas, la población </w:t>
      </w:r>
      <w:proofErr w:type="spellStart"/>
      <w:r w:rsidR="00A62B07">
        <w:rPr>
          <w:b/>
        </w:rPr>
        <w:t>afromexicana</w:t>
      </w:r>
      <w:proofErr w:type="spellEnd"/>
      <w:r w:rsidR="00676AAC">
        <w:rPr>
          <w:b/>
        </w:rPr>
        <w:t xml:space="preserve">, así como de otros grupos minoritarios que continúan enfrentándose a la discriminación </w:t>
      </w:r>
      <w:r w:rsidR="0009016D">
        <w:rPr>
          <w:b/>
        </w:rPr>
        <w:t>racial</w:t>
      </w:r>
      <w:r w:rsidR="00676AAC">
        <w:rPr>
          <w:b/>
        </w:rPr>
        <w:t xml:space="preserve">. El Comité recomienda además que el Estado parte </w:t>
      </w:r>
      <w:r w:rsidR="00DB3B1A">
        <w:rPr>
          <w:b/>
        </w:rPr>
        <w:t xml:space="preserve">asigne </w:t>
      </w:r>
      <w:r w:rsidR="00676AAC">
        <w:rPr>
          <w:b/>
        </w:rPr>
        <w:t>los recursos humanos, técnicos y financieros necesarios</w:t>
      </w:r>
      <w:r w:rsidR="00DB3B1A">
        <w:rPr>
          <w:b/>
        </w:rPr>
        <w:t>, y establezca mecanismos de coordinación entre las instancias locales, estatales y federales a fin de asegurar la</w:t>
      </w:r>
      <w:r w:rsidR="00676AAC">
        <w:rPr>
          <w:b/>
        </w:rPr>
        <w:t xml:space="preserve"> implementación efectiva</w:t>
      </w:r>
      <w:r w:rsidR="00DB3B1A">
        <w:rPr>
          <w:b/>
        </w:rPr>
        <w:t xml:space="preserve"> de dicha política</w:t>
      </w:r>
      <w:r w:rsidR="00676AAC">
        <w:t xml:space="preserve">. </w:t>
      </w:r>
    </w:p>
    <w:p w14:paraId="085DC189" w14:textId="53A06F64" w:rsidR="00F6650C" w:rsidRPr="00BA6A4F" w:rsidRDefault="005A372F" w:rsidP="005A372F">
      <w:pPr>
        <w:pStyle w:val="H23G"/>
        <w:rPr>
          <w:lang w:val="es-ES_tradnl"/>
        </w:rPr>
      </w:pPr>
      <w:r>
        <w:rPr>
          <w:lang w:val="es-ES_tradnl"/>
        </w:rPr>
        <w:tab/>
      </w:r>
      <w:r>
        <w:rPr>
          <w:lang w:val="es-ES_tradnl"/>
        </w:rPr>
        <w:tab/>
      </w:r>
      <w:r w:rsidR="005A0328" w:rsidRPr="00BA6A4F">
        <w:rPr>
          <w:lang w:val="es-ES_tradnl"/>
        </w:rPr>
        <w:t xml:space="preserve">Discriminación </w:t>
      </w:r>
      <w:r w:rsidR="00BF0A09" w:rsidRPr="00BA6A4F">
        <w:rPr>
          <w:lang w:val="es-ES_tradnl"/>
        </w:rPr>
        <w:t>contra</w:t>
      </w:r>
      <w:r w:rsidR="00CB5D8F" w:rsidRPr="00BA6A4F">
        <w:rPr>
          <w:lang w:val="es-ES_tradnl"/>
        </w:rPr>
        <w:t xml:space="preserve"> </w:t>
      </w:r>
      <w:proofErr w:type="spellStart"/>
      <w:r w:rsidR="00A62B07">
        <w:rPr>
          <w:lang w:val="es-ES_tradnl"/>
        </w:rPr>
        <w:t>afromexicanos</w:t>
      </w:r>
      <w:proofErr w:type="spellEnd"/>
      <w:r w:rsidR="005A0328" w:rsidRPr="00BA6A4F">
        <w:rPr>
          <w:lang w:val="es-ES_tradnl"/>
        </w:rPr>
        <w:t xml:space="preserve"> </w:t>
      </w:r>
    </w:p>
    <w:p w14:paraId="0FD66CC7" w14:textId="162761D9" w:rsidR="005A0328" w:rsidRPr="00BA6A4F" w:rsidRDefault="006560D5" w:rsidP="00584DFD">
      <w:pPr>
        <w:pStyle w:val="SingleTxtG"/>
        <w:rPr>
          <w:lang w:val="es-ES_tradnl"/>
        </w:rPr>
      </w:pPr>
      <w:r w:rsidRPr="00BA6A4F">
        <w:rPr>
          <w:lang w:val="es-ES_tradnl"/>
        </w:rPr>
        <w:t>16.</w:t>
      </w:r>
      <w:r w:rsidRPr="00BA6A4F">
        <w:rPr>
          <w:lang w:val="es-ES_tradnl"/>
        </w:rPr>
        <w:tab/>
      </w:r>
      <w:r w:rsidR="00781E94">
        <w:rPr>
          <w:lang w:val="es-ES_tradnl"/>
        </w:rPr>
        <w:t xml:space="preserve">Si bien el Comité acoge los esfuerzos del Estado parte para dar mayor visibilidad a la población </w:t>
      </w:r>
      <w:proofErr w:type="spellStart"/>
      <w:r w:rsidR="00A62B07">
        <w:rPr>
          <w:lang w:val="es-ES_tradnl"/>
        </w:rPr>
        <w:t>afromexicana</w:t>
      </w:r>
      <w:proofErr w:type="spellEnd"/>
      <w:r w:rsidR="00781E94">
        <w:rPr>
          <w:lang w:val="es-ES_tradnl"/>
        </w:rPr>
        <w:t>, le preocupa la falta de información específica sobre las medidas concretas que el Estado parte está adoptando para asegurar</w:t>
      </w:r>
      <w:r w:rsidR="00F85E4C">
        <w:rPr>
          <w:lang w:val="es-ES_tradnl"/>
        </w:rPr>
        <w:t xml:space="preserve">le </w:t>
      </w:r>
      <w:r w:rsidR="00781E94">
        <w:rPr>
          <w:lang w:val="es-ES_tradnl"/>
        </w:rPr>
        <w:t>el</w:t>
      </w:r>
      <w:r w:rsidR="00F85E4C">
        <w:rPr>
          <w:lang w:val="es-ES_tradnl"/>
        </w:rPr>
        <w:t xml:space="preserve"> ejercicio y</w:t>
      </w:r>
      <w:r w:rsidR="00781E94">
        <w:rPr>
          <w:lang w:val="es-ES_tradnl"/>
        </w:rPr>
        <w:t xml:space="preserve"> goce efectivo de sus derechos. El Comité observa con preocupación que el pueblo y </w:t>
      </w:r>
      <w:r w:rsidR="007D6DE5">
        <w:rPr>
          <w:lang w:val="es-ES_tradnl"/>
        </w:rPr>
        <w:t xml:space="preserve">las </w:t>
      </w:r>
      <w:r w:rsidR="00781E94">
        <w:rPr>
          <w:lang w:val="es-ES_tradnl"/>
        </w:rPr>
        <w:t xml:space="preserve">comunidades </w:t>
      </w:r>
      <w:proofErr w:type="spellStart"/>
      <w:r w:rsidR="00A62B07">
        <w:rPr>
          <w:lang w:val="es-ES_tradnl"/>
        </w:rPr>
        <w:t>afromexicanas</w:t>
      </w:r>
      <w:proofErr w:type="spellEnd"/>
      <w:r w:rsidR="00781E94">
        <w:rPr>
          <w:lang w:val="es-ES_tradnl"/>
        </w:rPr>
        <w:t xml:space="preserve"> continúa</w:t>
      </w:r>
      <w:r w:rsidR="007D6DE5">
        <w:rPr>
          <w:lang w:val="es-ES_tradnl"/>
        </w:rPr>
        <w:t>n</w:t>
      </w:r>
      <w:r w:rsidR="00781E94">
        <w:rPr>
          <w:lang w:val="es-ES_tradnl"/>
        </w:rPr>
        <w:t xml:space="preserve"> siendo</w:t>
      </w:r>
      <w:r w:rsidR="0065080A">
        <w:rPr>
          <w:lang w:val="es-ES_tradnl"/>
        </w:rPr>
        <w:t xml:space="preserve"> objeto de discriminación, </w:t>
      </w:r>
      <w:r w:rsidR="00781E94">
        <w:rPr>
          <w:lang w:val="es-ES_tradnl"/>
        </w:rPr>
        <w:t xml:space="preserve">de un alto </w:t>
      </w:r>
      <w:r w:rsidR="00F85E4C">
        <w:rPr>
          <w:lang w:val="es-ES_tradnl"/>
        </w:rPr>
        <w:t xml:space="preserve">grado de marginación y exclusión social </w:t>
      </w:r>
      <w:r w:rsidR="00E37937" w:rsidRPr="00BA6A4F">
        <w:rPr>
          <w:lang w:val="es-ES_tradnl"/>
        </w:rPr>
        <w:t>(</w:t>
      </w:r>
      <w:r w:rsidR="00A41192" w:rsidRPr="00BA6A4F">
        <w:rPr>
          <w:lang w:val="es-ES_tradnl"/>
        </w:rPr>
        <w:t>a</w:t>
      </w:r>
      <w:r w:rsidR="00E37937" w:rsidRPr="00BA6A4F">
        <w:rPr>
          <w:lang w:val="es-ES_tradnl"/>
        </w:rPr>
        <w:t>rts. 1, 2 y 5).</w:t>
      </w:r>
    </w:p>
    <w:p w14:paraId="537FA5CE" w14:textId="2B923FC1" w:rsidR="00057E8D" w:rsidRDefault="006560D5" w:rsidP="00584DFD">
      <w:pPr>
        <w:pStyle w:val="SingleTxtG"/>
        <w:rPr>
          <w:b/>
          <w:lang w:val="es-ES_tradnl"/>
        </w:rPr>
      </w:pPr>
      <w:r>
        <w:rPr>
          <w:lang w:val="es-ES_tradnl"/>
        </w:rPr>
        <w:t>17.</w:t>
      </w:r>
      <w:r>
        <w:rPr>
          <w:lang w:val="es-ES_tradnl"/>
        </w:rPr>
        <w:tab/>
      </w:r>
      <w:r w:rsidR="00057E8D">
        <w:rPr>
          <w:b/>
          <w:lang w:val="es-ES_tradnl"/>
        </w:rPr>
        <w:t xml:space="preserve">Con base </w:t>
      </w:r>
      <w:r w:rsidR="00281328">
        <w:rPr>
          <w:b/>
          <w:lang w:val="es-ES_tradnl"/>
        </w:rPr>
        <w:t>en</w:t>
      </w:r>
      <w:r w:rsidR="00057E8D">
        <w:rPr>
          <w:b/>
          <w:lang w:val="es-ES_tradnl"/>
        </w:rPr>
        <w:t xml:space="preserve"> </w:t>
      </w:r>
      <w:r w:rsidR="00057E8D" w:rsidRPr="00BA6A4F">
        <w:rPr>
          <w:b/>
          <w:lang w:val="es-ES_tradnl"/>
        </w:rPr>
        <w:t xml:space="preserve">sus recomendaciones generales núm. 32 (2009) sobre el significado y alcance de las medidas especiales en la Convención y núm. 34 (2011) sobre discriminación </w:t>
      </w:r>
      <w:r w:rsidR="00057E8D">
        <w:rPr>
          <w:b/>
          <w:lang w:val="es-ES_tradnl"/>
        </w:rPr>
        <w:t>racial contra afrodescendientes</w:t>
      </w:r>
      <w:r w:rsidR="00FF0160">
        <w:rPr>
          <w:b/>
          <w:lang w:val="es-ES_tradnl"/>
        </w:rPr>
        <w:t xml:space="preserve">, con </w:t>
      </w:r>
      <w:r w:rsidR="00FF0160">
        <w:rPr>
          <w:b/>
          <w:lang w:val="es-ES_tradnl" w:eastAsia="en-US"/>
        </w:rPr>
        <w:t xml:space="preserve">la debida participación de la población </w:t>
      </w:r>
      <w:proofErr w:type="spellStart"/>
      <w:r w:rsidR="00A62B07">
        <w:rPr>
          <w:b/>
          <w:lang w:val="es-ES_tradnl" w:eastAsia="en-US"/>
        </w:rPr>
        <w:t>afromexicana</w:t>
      </w:r>
      <w:proofErr w:type="spellEnd"/>
      <w:r w:rsidR="00A62B07">
        <w:rPr>
          <w:b/>
          <w:lang w:val="es-ES_tradnl" w:eastAsia="en-US"/>
        </w:rPr>
        <w:t xml:space="preserve"> </w:t>
      </w:r>
      <w:r w:rsidR="00421F87">
        <w:rPr>
          <w:b/>
          <w:lang w:val="es-ES_tradnl"/>
        </w:rPr>
        <w:t xml:space="preserve">y teniendo en cuenta </w:t>
      </w:r>
      <w:r w:rsidR="00FF0160">
        <w:rPr>
          <w:b/>
          <w:lang w:val="es-ES_tradnl"/>
        </w:rPr>
        <w:t>sus</w:t>
      </w:r>
      <w:r w:rsidR="00421F87">
        <w:rPr>
          <w:b/>
          <w:lang w:val="es-ES_tradnl"/>
        </w:rPr>
        <w:t xml:space="preserve"> necesidades específicas</w:t>
      </w:r>
      <w:r w:rsidR="00057E8D">
        <w:rPr>
          <w:b/>
          <w:lang w:val="es-ES_tradnl"/>
        </w:rPr>
        <w:t>, e</w:t>
      </w:r>
      <w:r w:rsidR="00B62AC7" w:rsidRPr="00BA6A4F">
        <w:rPr>
          <w:b/>
          <w:lang w:val="es-ES_tradnl"/>
        </w:rPr>
        <w:t>l Comité recomienda al Estado parte</w:t>
      </w:r>
      <w:r w:rsidR="00057E8D">
        <w:rPr>
          <w:b/>
          <w:lang w:val="es-ES_tradnl"/>
        </w:rPr>
        <w:t xml:space="preserve"> que</w:t>
      </w:r>
      <w:r w:rsidR="00B93AEF">
        <w:rPr>
          <w:b/>
          <w:lang w:val="es-ES_tradnl"/>
        </w:rPr>
        <w:t>:</w:t>
      </w:r>
    </w:p>
    <w:p w14:paraId="1DA2D2BF" w14:textId="24A4A4FC" w:rsidR="0065080A" w:rsidRPr="005A372F" w:rsidRDefault="006560D5" w:rsidP="00584DFD">
      <w:pPr>
        <w:pStyle w:val="SingleTxtG"/>
        <w:ind w:firstLine="567"/>
        <w:rPr>
          <w:b/>
        </w:rPr>
      </w:pPr>
      <w:r w:rsidRPr="005A372F">
        <w:rPr>
          <w:b/>
        </w:rPr>
        <w:t>a)</w:t>
      </w:r>
      <w:r w:rsidRPr="005A372F">
        <w:rPr>
          <w:b/>
        </w:rPr>
        <w:tab/>
      </w:r>
      <w:r w:rsidR="0065080A" w:rsidRPr="005A372F">
        <w:rPr>
          <w:b/>
        </w:rPr>
        <w:t>Adopte las medidas especiales</w:t>
      </w:r>
      <w:r w:rsidR="00853557" w:rsidRPr="005A372F">
        <w:rPr>
          <w:b/>
        </w:rPr>
        <w:t xml:space="preserve"> </w:t>
      </w:r>
      <w:r w:rsidR="0076662B" w:rsidRPr="005A372F">
        <w:rPr>
          <w:b/>
        </w:rPr>
        <w:t>necesarias</w:t>
      </w:r>
      <w:r w:rsidR="0065080A" w:rsidRPr="005A372F">
        <w:rPr>
          <w:b/>
        </w:rPr>
        <w:t xml:space="preserve"> para garantizar el ejercicio y goce efectivo de los derechos civiles, políticos, económicos</w:t>
      </w:r>
      <w:r w:rsidR="00CF644B">
        <w:rPr>
          <w:b/>
        </w:rPr>
        <w:t>,</w:t>
      </w:r>
      <w:r w:rsidR="0065080A" w:rsidRPr="005A372F">
        <w:rPr>
          <w:b/>
        </w:rPr>
        <w:t xml:space="preserve"> sociales y culturales de la población </w:t>
      </w:r>
      <w:proofErr w:type="spellStart"/>
      <w:r w:rsidR="00A62B07" w:rsidRPr="005A372F">
        <w:rPr>
          <w:b/>
        </w:rPr>
        <w:t>afromexicana</w:t>
      </w:r>
      <w:proofErr w:type="spellEnd"/>
      <w:r w:rsidR="00CF644B">
        <w:rPr>
          <w:b/>
        </w:rPr>
        <w:t>,</w:t>
      </w:r>
      <w:r w:rsidR="0065080A" w:rsidRPr="005A372F">
        <w:rPr>
          <w:b/>
        </w:rPr>
        <w:t xml:space="preserve"> a fin de promover su inclusión social</w:t>
      </w:r>
      <w:r w:rsidR="0009016D" w:rsidRPr="005A372F">
        <w:rPr>
          <w:b/>
        </w:rPr>
        <w:t xml:space="preserve"> y su participación activa en la vida pública y política, incluyendo en cargos de toma de decisiones</w:t>
      </w:r>
      <w:r w:rsidR="00B93AEF" w:rsidRPr="005A372F">
        <w:rPr>
          <w:b/>
        </w:rPr>
        <w:t>;</w:t>
      </w:r>
    </w:p>
    <w:p w14:paraId="1E349212" w14:textId="27031725" w:rsidR="00A05A46" w:rsidRPr="0065080A" w:rsidRDefault="006560D5" w:rsidP="00584DFD">
      <w:pPr>
        <w:pStyle w:val="SingleTxtG"/>
        <w:ind w:firstLine="567"/>
        <w:rPr>
          <w:rFonts w:ascii="Times New Roman,Bold" w:hAnsi="Times New Roman,Bold" w:hint="eastAsia"/>
        </w:rPr>
      </w:pPr>
      <w:r w:rsidRPr="0065080A">
        <w:rPr>
          <w:rFonts w:ascii="Times New Roman,Bold" w:hAnsi="Times New Roman,Bold" w:hint="eastAsia"/>
          <w:b/>
        </w:rPr>
        <w:lastRenderedPageBreak/>
        <w:t>b)</w:t>
      </w:r>
      <w:r w:rsidRPr="0065080A">
        <w:rPr>
          <w:rFonts w:ascii="Times New Roman,Bold" w:hAnsi="Times New Roman,Bold" w:hint="eastAsia"/>
          <w:b/>
        </w:rPr>
        <w:tab/>
      </w:r>
      <w:r w:rsidR="00B93AEF" w:rsidRPr="005A372F">
        <w:rPr>
          <w:b/>
        </w:rPr>
        <w:t xml:space="preserve">Incremente </w:t>
      </w:r>
      <w:r w:rsidR="00057E8D" w:rsidRPr="005A372F">
        <w:rPr>
          <w:b/>
        </w:rPr>
        <w:t xml:space="preserve">sus esfuerzos para eliminar la discriminación racial </w:t>
      </w:r>
      <w:r w:rsidR="00302A24">
        <w:rPr>
          <w:b/>
        </w:rPr>
        <w:t xml:space="preserve">en contra de la población </w:t>
      </w:r>
      <w:proofErr w:type="spellStart"/>
      <w:r w:rsidR="00302A24">
        <w:rPr>
          <w:b/>
        </w:rPr>
        <w:t>afromexicana</w:t>
      </w:r>
      <w:proofErr w:type="spellEnd"/>
      <w:r w:rsidR="0076662B" w:rsidRPr="005A372F">
        <w:rPr>
          <w:b/>
        </w:rPr>
        <w:t xml:space="preserve"> </w:t>
      </w:r>
      <w:r w:rsidR="00421F87" w:rsidRPr="005A372F">
        <w:rPr>
          <w:b/>
        </w:rPr>
        <w:t>y garantice</w:t>
      </w:r>
      <w:r w:rsidR="00057E8D" w:rsidRPr="005A372F">
        <w:rPr>
          <w:b/>
        </w:rPr>
        <w:t xml:space="preserve"> su protección contra todo acto de discriminación por parte de organismos estatales y funcionarios públicos, así como de cualquier persona, grupo u organización</w:t>
      </w:r>
      <w:r w:rsidR="00057E8D">
        <w:rPr>
          <w:rFonts w:ascii="Times New Roman,Bold" w:hAnsi="Times New Roman,Bold"/>
        </w:rPr>
        <w:t>.</w:t>
      </w:r>
    </w:p>
    <w:p w14:paraId="4D920A74" w14:textId="199C2693" w:rsidR="00825EB6" w:rsidRPr="00BA6A4F" w:rsidRDefault="005A372F" w:rsidP="005A372F">
      <w:pPr>
        <w:pStyle w:val="H23G"/>
        <w:rPr>
          <w:lang w:val="es-ES_tradnl"/>
        </w:rPr>
      </w:pPr>
      <w:r>
        <w:rPr>
          <w:lang w:val="es-ES_tradnl"/>
        </w:rPr>
        <w:tab/>
      </w:r>
      <w:r>
        <w:rPr>
          <w:lang w:val="es-ES_tradnl"/>
        </w:rPr>
        <w:tab/>
      </w:r>
      <w:r w:rsidR="00825EB6" w:rsidRPr="00BA6A4F">
        <w:rPr>
          <w:lang w:val="es-ES_tradnl"/>
        </w:rPr>
        <w:t xml:space="preserve">Situación de pueblos indígenas </w:t>
      </w:r>
    </w:p>
    <w:p w14:paraId="64A552AB" w14:textId="65632158" w:rsidR="00825EB6" w:rsidRPr="00BA6A4F" w:rsidRDefault="006560D5" w:rsidP="00584DFD">
      <w:pPr>
        <w:pStyle w:val="SingleTxtG"/>
        <w:rPr>
          <w:lang w:val="es-ES_tradnl"/>
        </w:rPr>
      </w:pPr>
      <w:r w:rsidRPr="00BA6A4F">
        <w:rPr>
          <w:lang w:val="es-ES_tradnl"/>
        </w:rPr>
        <w:t>18.</w:t>
      </w:r>
      <w:r w:rsidRPr="00BA6A4F">
        <w:rPr>
          <w:lang w:val="es-ES_tradnl"/>
        </w:rPr>
        <w:tab/>
      </w:r>
      <w:r w:rsidR="00BF0A09" w:rsidRPr="00BA6A4F">
        <w:rPr>
          <w:lang w:val="es-ES_tradnl"/>
        </w:rPr>
        <w:t>Preocupa al Comité que, a pesar d</w:t>
      </w:r>
      <w:r w:rsidR="00B65365" w:rsidRPr="00BA6A4F">
        <w:rPr>
          <w:lang w:val="es-ES_tradnl"/>
        </w:rPr>
        <w:t>e las medidas adoptadas por el E</w:t>
      </w:r>
      <w:r w:rsidR="00BF0A09" w:rsidRPr="00BA6A4F">
        <w:rPr>
          <w:lang w:val="es-ES_tradnl"/>
        </w:rPr>
        <w:t>stado pa</w:t>
      </w:r>
      <w:r w:rsidR="00B65365" w:rsidRPr="00BA6A4F">
        <w:rPr>
          <w:lang w:val="es-ES_tradnl"/>
        </w:rPr>
        <w:t>rt</w:t>
      </w:r>
      <w:r w:rsidR="00BF0A09" w:rsidRPr="00BA6A4F">
        <w:rPr>
          <w:lang w:val="es-ES_tradnl"/>
        </w:rPr>
        <w:t>e</w:t>
      </w:r>
      <w:r w:rsidR="00B65365" w:rsidRPr="00BA6A4F">
        <w:rPr>
          <w:lang w:val="es-ES_tradnl"/>
        </w:rPr>
        <w:t xml:space="preserve">, </w:t>
      </w:r>
      <w:r w:rsidR="00BF0A09" w:rsidRPr="00BA6A4F">
        <w:rPr>
          <w:lang w:val="es-ES_tradnl"/>
        </w:rPr>
        <w:t>los pueblos indígenas</w:t>
      </w:r>
      <w:r w:rsidR="002A302E">
        <w:rPr>
          <w:lang w:val="es-ES_tradnl"/>
        </w:rPr>
        <w:t xml:space="preserve"> continúan siendo afectados </w:t>
      </w:r>
      <w:r w:rsidR="00993286">
        <w:rPr>
          <w:lang w:val="es-ES_tradnl"/>
        </w:rPr>
        <w:t>por la discriminación racial</w:t>
      </w:r>
      <w:r w:rsidR="00FA3608">
        <w:rPr>
          <w:lang w:val="es-ES_tradnl"/>
        </w:rPr>
        <w:t>,</w:t>
      </w:r>
      <w:r w:rsidR="00993286">
        <w:rPr>
          <w:lang w:val="es-ES_tradnl"/>
        </w:rPr>
        <w:t xml:space="preserve"> lo cual se manifiesta en </w:t>
      </w:r>
      <w:r w:rsidR="00B65365" w:rsidRPr="00BA6A4F">
        <w:rPr>
          <w:lang w:val="es-ES_tradnl"/>
        </w:rPr>
        <w:t>los altos í</w:t>
      </w:r>
      <w:r w:rsidR="00FF0160">
        <w:rPr>
          <w:lang w:val="es-ES_tradnl"/>
        </w:rPr>
        <w:t>ndices de pobreza y marginación</w:t>
      </w:r>
      <w:r w:rsidR="002A302E">
        <w:rPr>
          <w:lang w:val="es-ES_tradnl"/>
        </w:rPr>
        <w:t xml:space="preserve"> y </w:t>
      </w:r>
      <w:r w:rsidR="00404EB7">
        <w:rPr>
          <w:lang w:val="es-ES_tradnl"/>
        </w:rPr>
        <w:t xml:space="preserve">las </w:t>
      </w:r>
      <w:r w:rsidR="002A302E">
        <w:rPr>
          <w:lang w:val="es-ES_tradnl"/>
        </w:rPr>
        <w:t>dificultades</w:t>
      </w:r>
      <w:r w:rsidR="00404EB7">
        <w:rPr>
          <w:lang w:val="es-ES_tradnl"/>
        </w:rPr>
        <w:t xml:space="preserve"> que enfrentan</w:t>
      </w:r>
      <w:r w:rsidR="00FF0160">
        <w:rPr>
          <w:lang w:val="es-ES_tradnl"/>
        </w:rPr>
        <w:t xml:space="preserve"> para acceder al trabajo, educación y servicios de salud adecuados </w:t>
      </w:r>
      <w:r w:rsidR="00B65365" w:rsidRPr="00BA6A4F">
        <w:rPr>
          <w:lang w:val="es-ES_tradnl"/>
        </w:rPr>
        <w:t>(art</w:t>
      </w:r>
      <w:r w:rsidR="00D30E56">
        <w:rPr>
          <w:lang w:val="es-ES_tradnl"/>
        </w:rPr>
        <w:t>s</w:t>
      </w:r>
      <w:r w:rsidR="00B65365" w:rsidRPr="00BA6A4F">
        <w:rPr>
          <w:lang w:val="es-ES_tradnl"/>
        </w:rPr>
        <w:t xml:space="preserve">. </w:t>
      </w:r>
      <w:r w:rsidR="00A26B62" w:rsidRPr="00BA6A4F">
        <w:rPr>
          <w:lang w:val="es-ES_tradnl"/>
        </w:rPr>
        <w:t>1, 2 y 5).</w:t>
      </w:r>
    </w:p>
    <w:p w14:paraId="4E97CDBD" w14:textId="29516C40" w:rsidR="00A26B62" w:rsidRPr="00BA6A4F" w:rsidRDefault="006560D5" w:rsidP="00584DFD">
      <w:pPr>
        <w:pStyle w:val="SingleTxtG"/>
        <w:rPr>
          <w:lang w:val="es-ES_tradnl"/>
        </w:rPr>
      </w:pPr>
      <w:r w:rsidRPr="00BA6A4F">
        <w:rPr>
          <w:lang w:val="es-ES_tradnl"/>
        </w:rPr>
        <w:t>19.</w:t>
      </w:r>
      <w:r w:rsidRPr="00BA6A4F">
        <w:rPr>
          <w:lang w:val="es-ES_tradnl"/>
        </w:rPr>
        <w:tab/>
      </w:r>
      <w:r w:rsidR="00A26B62" w:rsidRPr="00BA6A4F">
        <w:rPr>
          <w:b/>
          <w:lang w:val="es-ES_tradnl"/>
        </w:rPr>
        <w:t>El Comité recomienda al Estado parte que</w:t>
      </w:r>
      <w:r w:rsidR="0065080A">
        <w:rPr>
          <w:b/>
          <w:lang w:val="es-ES_tradnl"/>
        </w:rPr>
        <w:t xml:space="preserve"> intensifique sus esfuerzos </w:t>
      </w:r>
      <w:r w:rsidR="00A26B62" w:rsidRPr="00BA6A4F">
        <w:rPr>
          <w:b/>
          <w:lang w:val="es-ES_tradnl"/>
        </w:rPr>
        <w:t xml:space="preserve">para </w:t>
      </w:r>
      <w:r w:rsidR="0065080A">
        <w:rPr>
          <w:b/>
          <w:lang w:val="es-ES_tradnl"/>
        </w:rPr>
        <w:t xml:space="preserve">eliminar </w:t>
      </w:r>
      <w:r w:rsidR="00A26B62" w:rsidRPr="00BA6A4F">
        <w:rPr>
          <w:b/>
          <w:lang w:val="es-ES_tradnl"/>
        </w:rPr>
        <w:t>la discriminación institucional y estructural en contra de los pueblos indígenas</w:t>
      </w:r>
      <w:r w:rsidR="002A302E">
        <w:rPr>
          <w:b/>
          <w:lang w:val="es-ES_tradnl"/>
        </w:rPr>
        <w:t xml:space="preserve"> y</w:t>
      </w:r>
      <w:r w:rsidR="003035A3" w:rsidRPr="00BA6A4F">
        <w:rPr>
          <w:b/>
          <w:lang w:val="es-ES_tradnl"/>
        </w:rPr>
        <w:t xml:space="preserve"> </w:t>
      </w:r>
      <w:r w:rsidR="0065080A">
        <w:rPr>
          <w:b/>
          <w:lang w:val="es-ES_tradnl"/>
        </w:rPr>
        <w:t xml:space="preserve">para </w:t>
      </w:r>
      <w:r w:rsidR="003035A3" w:rsidRPr="00BA6A4F">
        <w:rPr>
          <w:b/>
          <w:noProof/>
          <w:lang w:val="es-ES_tradnl"/>
        </w:rPr>
        <w:t>asegurar que</w:t>
      </w:r>
      <w:r w:rsidR="0009016D">
        <w:rPr>
          <w:b/>
          <w:noProof/>
          <w:lang w:val="es-ES_tradnl"/>
        </w:rPr>
        <w:t xml:space="preserve"> el Programa Nacional de los Pueblos Indígenas 2018</w:t>
      </w:r>
      <w:r w:rsidR="009E624B">
        <w:rPr>
          <w:b/>
          <w:noProof/>
          <w:lang w:val="es-ES_tradnl"/>
        </w:rPr>
        <w:t>-</w:t>
      </w:r>
      <w:r w:rsidR="0009016D">
        <w:rPr>
          <w:b/>
          <w:noProof/>
          <w:lang w:val="es-ES_tradnl"/>
        </w:rPr>
        <w:t xml:space="preserve">2024 y </w:t>
      </w:r>
      <w:r w:rsidR="00E45B6C">
        <w:rPr>
          <w:b/>
          <w:noProof/>
          <w:lang w:val="es-ES_tradnl"/>
        </w:rPr>
        <w:t>otras pol</w:t>
      </w:r>
      <w:r w:rsidR="00A672F6">
        <w:rPr>
          <w:b/>
          <w:noProof/>
          <w:lang w:val="es-ES_tradnl"/>
        </w:rPr>
        <w:t>í</w:t>
      </w:r>
      <w:r w:rsidR="00E45B6C">
        <w:rPr>
          <w:b/>
          <w:noProof/>
          <w:lang w:val="es-ES_tradnl"/>
        </w:rPr>
        <w:t xml:space="preserve">ticas con la misma finalidad </w:t>
      </w:r>
      <w:r w:rsidR="002A302E">
        <w:rPr>
          <w:b/>
          <w:noProof/>
          <w:lang w:val="es-ES_tradnl"/>
        </w:rPr>
        <w:t xml:space="preserve">sean </w:t>
      </w:r>
      <w:r w:rsidR="003035A3" w:rsidRPr="00BA6A4F">
        <w:rPr>
          <w:b/>
          <w:noProof/>
          <w:lang w:val="es-ES_tradnl"/>
        </w:rPr>
        <w:t xml:space="preserve">implementados de manera efectiva tomando en </w:t>
      </w:r>
      <w:r w:rsidR="003035A3" w:rsidRPr="00BA6A4F">
        <w:rPr>
          <w:b/>
          <w:lang w:val="es-ES_tradnl"/>
        </w:rPr>
        <w:t>cuenta la</w:t>
      </w:r>
      <w:r w:rsidR="002A302E">
        <w:rPr>
          <w:b/>
          <w:lang w:val="es-ES_tradnl"/>
        </w:rPr>
        <w:t>s brechas de desigualdad y sus</w:t>
      </w:r>
      <w:r w:rsidR="003035A3" w:rsidRPr="00BA6A4F">
        <w:rPr>
          <w:b/>
          <w:lang w:val="es-ES_tradnl"/>
        </w:rPr>
        <w:t xml:space="preserve"> necesidades concretas</w:t>
      </w:r>
      <w:r w:rsidR="003035A3" w:rsidRPr="00BA6A4F">
        <w:rPr>
          <w:b/>
          <w:noProof/>
          <w:lang w:val="es-ES_tradnl"/>
        </w:rPr>
        <w:t xml:space="preserve"> a fin de lograr resultados significativos en la disminución de la pobreza y de los niveles</w:t>
      </w:r>
      <w:r w:rsidR="00FF0160">
        <w:rPr>
          <w:b/>
          <w:noProof/>
          <w:lang w:val="es-ES_tradnl"/>
        </w:rPr>
        <w:t xml:space="preserve"> de desigualdad que les afectan</w:t>
      </w:r>
      <w:r w:rsidR="003035A3" w:rsidRPr="00BA6A4F">
        <w:rPr>
          <w:b/>
          <w:noProof/>
          <w:lang w:val="es-ES_tradnl"/>
        </w:rPr>
        <w:t>.</w:t>
      </w:r>
      <w:r w:rsidR="009E24A3" w:rsidRPr="00BA6A4F">
        <w:rPr>
          <w:b/>
          <w:noProof/>
          <w:lang w:val="es-ES_tradnl"/>
        </w:rPr>
        <w:t xml:space="preserve"> El Comité recomienda al Estado parte </w:t>
      </w:r>
      <w:r w:rsidR="00FF5F73">
        <w:rPr>
          <w:b/>
          <w:noProof/>
          <w:lang w:val="es-ES_tradnl"/>
        </w:rPr>
        <w:t xml:space="preserve">que </w:t>
      </w:r>
      <w:r w:rsidR="009E24A3" w:rsidRPr="00BA6A4F">
        <w:rPr>
          <w:b/>
          <w:noProof/>
          <w:lang w:val="es-ES_tradnl"/>
        </w:rPr>
        <w:t>asegure la efectiva participación de los pueblos indígenas en el diseño e implementación de los programas s</w:t>
      </w:r>
      <w:r w:rsidR="0009016D">
        <w:rPr>
          <w:b/>
          <w:noProof/>
          <w:lang w:val="es-ES_tradnl"/>
        </w:rPr>
        <w:t>ociales en su favor</w:t>
      </w:r>
      <w:r w:rsidR="009E24A3" w:rsidRPr="00BA6A4F">
        <w:rPr>
          <w:b/>
          <w:noProof/>
          <w:lang w:val="es-ES_tradnl"/>
        </w:rPr>
        <w:t xml:space="preserve">. </w:t>
      </w:r>
    </w:p>
    <w:p w14:paraId="32B97924" w14:textId="4CAD05FA" w:rsidR="00A35A1C" w:rsidRPr="00BA6A4F" w:rsidRDefault="005A372F" w:rsidP="005A372F">
      <w:pPr>
        <w:pStyle w:val="H23G"/>
        <w:rPr>
          <w:lang w:val="es-ES_tradnl"/>
        </w:rPr>
      </w:pPr>
      <w:r>
        <w:rPr>
          <w:lang w:val="es-ES_tradnl"/>
        </w:rPr>
        <w:tab/>
      </w:r>
      <w:r>
        <w:rPr>
          <w:lang w:val="es-ES_tradnl"/>
        </w:rPr>
        <w:tab/>
      </w:r>
      <w:r w:rsidR="00984D22" w:rsidRPr="00BA6A4F">
        <w:rPr>
          <w:lang w:val="es-ES_tradnl"/>
        </w:rPr>
        <w:t>Cons</w:t>
      </w:r>
      <w:r w:rsidR="00A35A1C" w:rsidRPr="00BA6A4F">
        <w:rPr>
          <w:lang w:val="es-ES_tradnl"/>
        </w:rPr>
        <w:t>entimiento</w:t>
      </w:r>
      <w:r w:rsidR="00984D22" w:rsidRPr="00BA6A4F">
        <w:rPr>
          <w:lang w:val="es-ES_tradnl"/>
        </w:rPr>
        <w:t xml:space="preserve"> </w:t>
      </w:r>
      <w:r w:rsidR="004B523B" w:rsidRPr="00BA6A4F">
        <w:rPr>
          <w:lang w:val="es-ES_tradnl"/>
        </w:rPr>
        <w:t xml:space="preserve">libre, </w:t>
      </w:r>
      <w:r w:rsidR="00984D22" w:rsidRPr="00BA6A4F">
        <w:rPr>
          <w:lang w:val="es-ES_tradnl"/>
        </w:rPr>
        <w:t>previ</w:t>
      </w:r>
      <w:r w:rsidR="00A35A1C" w:rsidRPr="00BA6A4F">
        <w:rPr>
          <w:lang w:val="es-ES_tradnl"/>
        </w:rPr>
        <w:t>o e informado</w:t>
      </w:r>
      <w:r w:rsidR="004B523B" w:rsidRPr="00BA6A4F">
        <w:rPr>
          <w:lang w:val="es-ES_tradnl"/>
        </w:rPr>
        <w:t xml:space="preserve"> </w:t>
      </w:r>
    </w:p>
    <w:p w14:paraId="3017D720" w14:textId="03C2D5D5" w:rsidR="00984D22" w:rsidRPr="00BA6A4F" w:rsidRDefault="006560D5" w:rsidP="00584DFD">
      <w:pPr>
        <w:pStyle w:val="SingleTxtG"/>
        <w:rPr>
          <w:lang w:val="es-ES_tradnl"/>
        </w:rPr>
      </w:pPr>
      <w:r w:rsidRPr="00BA6A4F">
        <w:rPr>
          <w:lang w:val="es-ES_tradnl"/>
        </w:rPr>
        <w:t>20.</w:t>
      </w:r>
      <w:r w:rsidRPr="00BA6A4F">
        <w:rPr>
          <w:lang w:val="es-ES_tradnl"/>
        </w:rPr>
        <w:tab/>
      </w:r>
      <w:r w:rsidR="00B543A7">
        <w:rPr>
          <w:lang w:val="es-ES_tradnl"/>
        </w:rPr>
        <w:t xml:space="preserve">Si bien el Comité toma nota </w:t>
      </w:r>
      <w:r w:rsidR="00FA3608">
        <w:rPr>
          <w:lang w:val="es-ES_tradnl"/>
        </w:rPr>
        <w:t xml:space="preserve">de </w:t>
      </w:r>
      <w:r w:rsidR="00B543A7">
        <w:rPr>
          <w:lang w:val="es-ES_tradnl"/>
        </w:rPr>
        <w:t xml:space="preserve">que el Estado parte reconoce el derecho de </w:t>
      </w:r>
      <w:r w:rsidR="00FA3608">
        <w:rPr>
          <w:lang w:val="es-ES_tradnl"/>
        </w:rPr>
        <w:t xml:space="preserve">los </w:t>
      </w:r>
      <w:r w:rsidR="00B543A7">
        <w:rPr>
          <w:lang w:val="es-ES_tradnl"/>
        </w:rPr>
        <w:t xml:space="preserve">pueblos indígenas a ser consultados no solo </w:t>
      </w:r>
      <w:r w:rsidR="00A672F6">
        <w:rPr>
          <w:lang w:val="es-ES_tradnl"/>
        </w:rPr>
        <w:t xml:space="preserve">de </w:t>
      </w:r>
      <w:r w:rsidR="00B543A7">
        <w:rPr>
          <w:lang w:val="es-ES_tradnl"/>
        </w:rPr>
        <w:t xml:space="preserve">manera libre, previa, informada sino además culturalmente adecuada, </w:t>
      </w:r>
      <w:r w:rsidR="00707D99" w:rsidRPr="00BA6A4F">
        <w:rPr>
          <w:lang w:val="es-ES_tradnl"/>
        </w:rPr>
        <w:t xml:space="preserve">toma nota </w:t>
      </w:r>
      <w:r w:rsidR="00DE7B4A">
        <w:rPr>
          <w:lang w:val="es-ES_tradnl"/>
        </w:rPr>
        <w:t xml:space="preserve">con preocupación </w:t>
      </w:r>
      <w:r w:rsidR="00FA3608">
        <w:rPr>
          <w:lang w:val="es-ES_tradnl"/>
        </w:rPr>
        <w:t xml:space="preserve">de </w:t>
      </w:r>
      <w:r w:rsidR="00707D99" w:rsidRPr="00BA6A4F">
        <w:rPr>
          <w:lang w:val="es-ES_tradnl"/>
        </w:rPr>
        <w:t xml:space="preserve">que </w:t>
      </w:r>
      <w:r w:rsidR="0065080A" w:rsidRPr="00BA6A4F">
        <w:rPr>
          <w:lang w:val="es-ES_tradnl"/>
        </w:rPr>
        <w:t>aún</w:t>
      </w:r>
      <w:r w:rsidR="00707D99" w:rsidRPr="00BA6A4F">
        <w:rPr>
          <w:lang w:val="es-ES_tradnl"/>
        </w:rPr>
        <w:t xml:space="preserve"> existen seri</w:t>
      </w:r>
      <w:r w:rsidR="00FA3608">
        <w:rPr>
          <w:lang w:val="es-ES_tradnl"/>
        </w:rPr>
        <w:t>a</w:t>
      </w:r>
      <w:r w:rsidR="00707D99" w:rsidRPr="00BA6A4F">
        <w:rPr>
          <w:lang w:val="es-ES_tradnl"/>
        </w:rPr>
        <w:t xml:space="preserve">s </w:t>
      </w:r>
      <w:r w:rsidR="00FA3608">
        <w:rPr>
          <w:lang w:val="es-ES_tradnl"/>
        </w:rPr>
        <w:t xml:space="preserve">lagunas </w:t>
      </w:r>
      <w:r w:rsidR="00707D99" w:rsidRPr="00BA6A4F">
        <w:rPr>
          <w:lang w:val="es-ES_tradnl"/>
        </w:rPr>
        <w:t>en los procesos de consulta</w:t>
      </w:r>
      <w:r w:rsidR="00D36479">
        <w:rPr>
          <w:lang w:val="es-ES_tradnl"/>
        </w:rPr>
        <w:t>. Según la información recibida, en la mayoría de casos, l</w:t>
      </w:r>
      <w:r w:rsidR="00377AFB">
        <w:rPr>
          <w:lang w:val="es-ES_tradnl"/>
        </w:rPr>
        <w:t>os procesos de</w:t>
      </w:r>
      <w:r w:rsidR="00D36479">
        <w:rPr>
          <w:lang w:val="es-ES_tradnl"/>
        </w:rPr>
        <w:t xml:space="preserve"> consultas </w:t>
      </w:r>
      <w:r w:rsidR="00B543A7" w:rsidRPr="00BA6A4F">
        <w:rPr>
          <w:lang w:val="es-ES_tradnl"/>
        </w:rPr>
        <w:t>con miras a obtener el consentimiento libre, previo e informado</w:t>
      </w:r>
      <w:r w:rsidR="00B543A7">
        <w:rPr>
          <w:lang w:val="es-ES_tradnl"/>
        </w:rPr>
        <w:t xml:space="preserve"> </w:t>
      </w:r>
      <w:r w:rsidR="00D36479">
        <w:rPr>
          <w:lang w:val="es-ES_tradnl"/>
        </w:rPr>
        <w:t>no son realizad</w:t>
      </w:r>
      <w:r w:rsidR="005D3B06">
        <w:rPr>
          <w:lang w:val="es-ES_tradnl"/>
        </w:rPr>
        <w:t>os</w:t>
      </w:r>
      <w:r w:rsidR="00D36479">
        <w:rPr>
          <w:lang w:val="es-ES_tradnl"/>
        </w:rPr>
        <w:t xml:space="preserve"> de manera previa, no </w:t>
      </w:r>
      <w:r w:rsidR="00377AFB">
        <w:rPr>
          <w:lang w:val="es-ES_tradnl"/>
        </w:rPr>
        <w:t>toman</w:t>
      </w:r>
      <w:r w:rsidR="00D36479">
        <w:rPr>
          <w:lang w:val="es-ES_tradnl"/>
        </w:rPr>
        <w:t xml:space="preserve"> en cuenta los usos, costumbres</w:t>
      </w:r>
      <w:r w:rsidR="0090575F">
        <w:rPr>
          <w:lang w:val="es-ES_tradnl"/>
        </w:rPr>
        <w:t xml:space="preserve">, </w:t>
      </w:r>
      <w:r w:rsidR="00D36479">
        <w:rPr>
          <w:lang w:val="es-ES_tradnl"/>
        </w:rPr>
        <w:t xml:space="preserve">cultura </w:t>
      </w:r>
      <w:r w:rsidR="0090575F">
        <w:rPr>
          <w:lang w:val="es-ES_tradnl"/>
        </w:rPr>
        <w:t xml:space="preserve">y debida representación </w:t>
      </w:r>
      <w:r w:rsidR="00D36479">
        <w:rPr>
          <w:lang w:val="es-ES_tradnl"/>
        </w:rPr>
        <w:t>de los pueblos afectados, n</w:t>
      </w:r>
      <w:r w:rsidR="0090575F">
        <w:rPr>
          <w:lang w:val="es-ES_tradnl"/>
        </w:rPr>
        <w:t>o se</w:t>
      </w:r>
      <w:r w:rsidR="00D36479">
        <w:rPr>
          <w:lang w:val="es-ES_tradnl"/>
        </w:rPr>
        <w:t xml:space="preserve"> </w:t>
      </w:r>
      <w:r w:rsidR="0090575F">
        <w:rPr>
          <w:lang w:val="es-ES_tradnl"/>
        </w:rPr>
        <w:t>proporciona</w:t>
      </w:r>
      <w:r w:rsidR="00EA15AD" w:rsidRPr="00BA6A4F">
        <w:rPr>
          <w:lang w:val="es-ES_tradnl"/>
        </w:rPr>
        <w:t xml:space="preserve"> información</w:t>
      </w:r>
      <w:r w:rsidR="00D36479">
        <w:rPr>
          <w:lang w:val="es-ES_tradnl"/>
        </w:rPr>
        <w:t xml:space="preserve"> clara</w:t>
      </w:r>
      <w:r w:rsidR="00F763AD">
        <w:rPr>
          <w:lang w:val="es-ES_tradnl"/>
        </w:rPr>
        <w:t>,</w:t>
      </w:r>
      <w:r w:rsidR="00D36479">
        <w:rPr>
          <w:lang w:val="es-ES_tradnl"/>
        </w:rPr>
        <w:t xml:space="preserve"> precisa</w:t>
      </w:r>
      <w:r w:rsidR="00F763AD" w:rsidRPr="00F763AD">
        <w:rPr>
          <w:lang w:val="es-ES_tradnl"/>
        </w:rPr>
        <w:t xml:space="preserve"> </w:t>
      </w:r>
      <w:r w:rsidR="00F763AD">
        <w:rPr>
          <w:lang w:val="es-ES_tradnl"/>
        </w:rPr>
        <w:t xml:space="preserve">y culturalmente adecuada, </w:t>
      </w:r>
      <w:r w:rsidR="0090575F">
        <w:rPr>
          <w:lang w:val="es-ES_tradnl"/>
        </w:rPr>
        <w:t xml:space="preserve">y </w:t>
      </w:r>
      <w:r w:rsidR="00D36479">
        <w:rPr>
          <w:lang w:val="es-ES_tradnl"/>
        </w:rPr>
        <w:t>además</w:t>
      </w:r>
      <w:r w:rsidR="000E2F6B">
        <w:rPr>
          <w:lang w:val="es-ES_tradnl"/>
        </w:rPr>
        <w:t>, con frecuencia,</w:t>
      </w:r>
      <w:r w:rsidR="00D36479">
        <w:rPr>
          <w:lang w:val="es-ES_tradnl"/>
        </w:rPr>
        <w:t xml:space="preserve"> son llevados a cabo</w:t>
      </w:r>
      <w:r w:rsidR="00EA15AD" w:rsidRPr="00BA6A4F">
        <w:rPr>
          <w:lang w:val="es-ES_tradnl"/>
        </w:rPr>
        <w:t xml:space="preserve"> en contextos de amenazas, criminaliz</w:t>
      </w:r>
      <w:r w:rsidR="00D36479">
        <w:rPr>
          <w:lang w:val="es-ES_tradnl"/>
        </w:rPr>
        <w:t xml:space="preserve">ación y hostigamiento, </w:t>
      </w:r>
      <w:r w:rsidR="00377AFB">
        <w:rPr>
          <w:lang w:val="es-ES_tradnl"/>
        </w:rPr>
        <w:t>perjudicando</w:t>
      </w:r>
      <w:r w:rsidR="00EA15AD" w:rsidRPr="00BA6A4F">
        <w:rPr>
          <w:lang w:val="es-ES_tradnl"/>
        </w:rPr>
        <w:t xml:space="preserve"> </w:t>
      </w:r>
      <w:r w:rsidR="0090575F">
        <w:rPr>
          <w:lang w:val="es-ES_tradnl"/>
        </w:rPr>
        <w:t>su</w:t>
      </w:r>
      <w:r w:rsidR="00EA15AD" w:rsidRPr="00BA6A4F">
        <w:rPr>
          <w:lang w:val="es-ES_tradnl"/>
        </w:rPr>
        <w:t xml:space="preserve"> carácter</w:t>
      </w:r>
      <w:r w:rsidR="000F3C5D" w:rsidRPr="00BA6A4F">
        <w:rPr>
          <w:lang w:val="es-ES_tradnl"/>
        </w:rPr>
        <w:t xml:space="preserve"> libre.</w:t>
      </w:r>
      <w:r w:rsidR="00A672F6">
        <w:rPr>
          <w:lang w:val="es-ES_tradnl"/>
        </w:rPr>
        <w:t xml:space="preserve"> En ese sentido,</w:t>
      </w:r>
      <w:r w:rsidR="000F3C5D" w:rsidRPr="00BA6A4F">
        <w:rPr>
          <w:lang w:val="es-ES_tradnl"/>
        </w:rPr>
        <w:t xml:space="preserve"> </w:t>
      </w:r>
      <w:r w:rsidR="00A672F6">
        <w:rPr>
          <w:lang w:val="es-ES_tradnl"/>
        </w:rPr>
        <w:t xml:space="preserve">el </w:t>
      </w:r>
      <w:r w:rsidR="000F3C5D" w:rsidRPr="00BA6A4F">
        <w:rPr>
          <w:lang w:val="es-ES_tradnl"/>
        </w:rPr>
        <w:t>Comité</w:t>
      </w:r>
      <w:r w:rsidR="0090575F">
        <w:rPr>
          <w:lang w:val="es-ES_tradnl"/>
        </w:rPr>
        <w:t xml:space="preserve"> </w:t>
      </w:r>
      <w:r w:rsidR="00A672F6">
        <w:rPr>
          <w:lang w:val="es-ES_tradnl"/>
        </w:rPr>
        <w:t xml:space="preserve">toma </w:t>
      </w:r>
      <w:r w:rsidR="000F3C5D" w:rsidRPr="00BA6A4F">
        <w:rPr>
          <w:lang w:val="es-ES_tradnl"/>
        </w:rPr>
        <w:t xml:space="preserve">nota con preocupación </w:t>
      </w:r>
      <w:r w:rsidR="00A672F6">
        <w:rPr>
          <w:lang w:val="es-ES_tradnl"/>
        </w:rPr>
        <w:t xml:space="preserve">de </w:t>
      </w:r>
      <w:r w:rsidR="000F3C5D" w:rsidRPr="00BA6A4F">
        <w:rPr>
          <w:lang w:val="es-ES_tradnl"/>
        </w:rPr>
        <w:t>la información recibida</w:t>
      </w:r>
      <w:r w:rsidR="009E24A3" w:rsidRPr="00BA6A4F">
        <w:rPr>
          <w:lang w:val="es-ES_tradnl"/>
        </w:rPr>
        <w:t xml:space="preserve"> </w:t>
      </w:r>
      <w:r w:rsidR="0090575F">
        <w:rPr>
          <w:lang w:val="es-ES_tradnl"/>
        </w:rPr>
        <w:t>sobre</w:t>
      </w:r>
      <w:r w:rsidR="000F3C5D" w:rsidRPr="00BA6A4F">
        <w:rPr>
          <w:lang w:val="es-ES_tradnl"/>
        </w:rPr>
        <w:t xml:space="preserve"> la realización de consultas ciudadanas</w:t>
      </w:r>
      <w:r w:rsidR="00377AFB">
        <w:rPr>
          <w:lang w:val="es-ES_tradnl"/>
        </w:rPr>
        <w:t xml:space="preserve"> </w:t>
      </w:r>
      <w:r w:rsidR="0090575F">
        <w:rPr>
          <w:lang w:val="es-ES_tradnl"/>
        </w:rPr>
        <w:t>respecto de</w:t>
      </w:r>
      <w:r w:rsidR="00377AFB">
        <w:rPr>
          <w:lang w:val="es-ES_tradnl"/>
        </w:rPr>
        <w:t xml:space="preserve"> la</w:t>
      </w:r>
      <w:r w:rsidR="0090575F">
        <w:rPr>
          <w:lang w:val="es-ES_tradnl"/>
        </w:rPr>
        <w:t xml:space="preserve"> ejecución de </w:t>
      </w:r>
      <w:r w:rsidR="00377AFB">
        <w:rPr>
          <w:lang w:val="es-ES_tradnl"/>
        </w:rPr>
        <w:t xml:space="preserve">grandes proyectos de inversión </w:t>
      </w:r>
      <w:r w:rsidR="0090575F">
        <w:rPr>
          <w:lang w:val="es-ES_tradnl"/>
        </w:rPr>
        <w:t>como el tren maya y el corredor transí</w:t>
      </w:r>
      <w:r w:rsidR="00FA3608">
        <w:rPr>
          <w:lang w:val="es-ES_tradnl"/>
        </w:rPr>
        <w:t>t</w:t>
      </w:r>
      <w:r w:rsidR="0090575F">
        <w:rPr>
          <w:lang w:val="es-ES_tradnl"/>
        </w:rPr>
        <w:t>smico</w:t>
      </w:r>
      <w:r w:rsidR="00A672F6">
        <w:rPr>
          <w:lang w:val="es-ES_tradnl"/>
        </w:rPr>
        <w:t xml:space="preserve"> </w:t>
      </w:r>
      <w:r w:rsidR="00377AFB">
        <w:rPr>
          <w:lang w:val="es-ES_tradnl"/>
        </w:rPr>
        <w:t>que podrían afectar territorios de pueblos indígenas</w:t>
      </w:r>
      <w:r w:rsidR="001C3CF0">
        <w:rPr>
          <w:lang w:val="es-ES_tradnl"/>
        </w:rPr>
        <w:t>,</w:t>
      </w:r>
      <w:r w:rsidR="004F33D9" w:rsidRPr="004F33D9">
        <w:rPr>
          <w:lang w:val="es-ES_tradnl"/>
        </w:rPr>
        <w:t xml:space="preserve"> </w:t>
      </w:r>
      <w:r w:rsidR="004F33D9">
        <w:rPr>
          <w:lang w:val="es-ES_tradnl"/>
        </w:rPr>
        <w:t xml:space="preserve">en las que no se ha tenido en cuenta a las comunidades de los pueblos indígenas ni se han respetado las exigencias del Convenio </w:t>
      </w:r>
      <w:r w:rsidR="00DF0C0C">
        <w:rPr>
          <w:lang w:val="es-ES_tradnl"/>
        </w:rPr>
        <w:t xml:space="preserve">sobre Pueblos Indígenas y Tribales, 1989 (núm. </w:t>
      </w:r>
      <w:r w:rsidR="004F33D9">
        <w:rPr>
          <w:lang w:val="es-ES_tradnl"/>
        </w:rPr>
        <w:t>169</w:t>
      </w:r>
      <w:r w:rsidR="00DF0C0C">
        <w:rPr>
          <w:lang w:val="es-ES_tradnl"/>
        </w:rPr>
        <w:t xml:space="preserve">) </w:t>
      </w:r>
      <w:r w:rsidR="004F33D9">
        <w:rPr>
          <w:lang w:val="es-ES_tradnl"/>
        </w:rPr>
        <w:t>de la O</w:t>
      </w:r>
      <w:r w:rsidR="00DF0C0C">
        <w:rPr>
          <w:lang w:val="es-ES_tradnl"/>
        </w:rPr>
        <w:t>rganización Internacional del Trabajo</w:t>
      </w:r>
      <w:r w:rsidR="00900EF7">
        <w:rPr>
          <w:lang w:val="es-ES_tradnl"/>
        </w:rPr>
        <w:t xml:space="preserve"> (OIT)</w:t>
      </w:r>
      <w:r w:rsidR="00DF0C0C">
        <w:rPr>
          <w:lang w:val="es-ES_tradnl"/>
        </w:rPr>
        <w:t xml:space="preserve"> </w:t>
      </w:r>
      <w:r w:rsidR="00D1018D">
        <w:rPr>
          <w:lang w:val="es-ES_tradnl"/>
        </w:rPr>
        <w:t>(arts.</w:t>
      </w:r>
      <w:r w:rsidR="009E624B">
        <w:rPr>
          <w:lang w:val="es-ES_tradnl"/>
        </w:rPr>
        <w:t xml:space="preserve"> </w:t>
      </w:r>
      <w:r w:rsidR="0090575F">
        <w:rPr>
          <w:lang w:val="es-ES_tradnl"/>
        </w:rPr>
        <w:t>2 y 5)</w:t>
      </w:r>
      <w:r w:rsidR="00C73AE9" w:rsidRPr="00BA6A4F">
        <w:rPr>
          <w:lang w:val="es-ES_tradnl"/>
        </w:rPr>
        <w:t xml:space="preserve">. </w:t>
      </w:r>
    </w:p>
    <w:p w14:paraId="3CD81553" w14:textId="46F49834" w:rsidR="00100512" w:rsidRPr="00BA6A4F" w:rsidRDefault="006560D5" w:rsidP="00584DFD">
      <w:pPr>
        <w:pStyle w:val="SingleTxtG"/>
        <w:rPr>
          <w:noProof/>
          <w:lang w:val="es-ES_tradnl"/>
        </w:rPr>
      </w:pPr>
      <w:r w:rsidRPr="00BA6A4F">
        <w:rPr>
          <w:noProof/>
          <w:lang w:val="es-ES_tradnl"/>
        </w:rPr>
        <w:t>21.</w:t>
      </w:r>
      <w:r w:rsidRPr="00BA6A4F">
        <w:rPr>
          <w:noProof/>
          <w:lang w:val="es-ES_tradnl"/>
        </w:rPr>
        <w:tab/>
      </w:r>
      <w:r w:rsidR="00100512" w:rsidRPr="00BA6A4F">
        <w:rPr>
          <w:b/>
          <w:lang w:val="es-ES_tradnl"/>
        </w:rPr>
        <w:t>El Comité recomienda al Estado parte</w:t>
      </w:r>
      <w:r w:rsidR="00100512" w:rsidRPr="00BA6A4F">
        <w:rPr>
          <w:b/>
          <w:noProof/>
          <w:lang w:val="es-ES_tradnl"/>
        </w:rPr>
        <w:t xml:space="preserve">: </w:t>
      </w:r>
    </w:p>
    <w:p w14:paraId="2A95F8A4" w14:textId="45634716" w:rsidR="00100512" w:rsidRPr="00D1018D" w:rsidRDefault="006560D5" w:rsidP="00584DFD">
      <w:pPr>
        <w:pStyle w:val="SingleTxtG"/>
        <w:ind w:firstLine="567"/>
        <w:rPr>
          <w:b/>
        </w:rPr>
      </w:pPr>
      <w:r w:rsidRPr="00D1018D">
        <w:rPr>
          <w:b/>
        </w:rPr>
        <w:t>a)</w:t>
      </w:r>
      <w:r w:rsidRPr="00D1018D">
        <w:rPr>
          <w:b/>
        </w:rPr>
        <w:tab/>
      </w:r>
      <w:r w:rsidR="00100512" w:rsidRPr="00D1018D">
        <w:rPr>
          <w:b/>
        </w:rPr>
        <w:t>Diseñar y adoptar</w:t>
      </w:r>
      <w:r w:rsidR="004F33D9">
        <w:rPr>
          <w:b/>
        </w:rPr>
        <w:t xml:space="preserve"> </w:t>
      </w:r>
      <w:r w:rsidR="004F33D9" w:rsidRPr="00D1018D">
        <w:rPr>
          <w:b/>
        </w:rPr>
        <w:t xml:space="preserve">un procedimiento legal basado en una metodología que permita garantizar el derecho que tienen </w:t>
      </w:r>
      <w:r w:rsidR="001C3CF0">
        <w:rPr>
          <w:b/>
        </w:rPr>
        <w:t xml:space="preserve">los pueblos indígenas </w:t>
      </w:r>
      <w:r w:rsidR="004F33D9" w:rsidRPr="00D1018D">
        <w:rPr>
          <w:b/>
        </w:rPr>
        <w:t xml:space="preserve">a ser consultados respecto de cualquier medida legislativa o administrativa susceptible de afectar sus derechos, con miras a obtener </w:t>
      </w:r>
      <w:r w:rsidR="001C3CF0">
        <w:rPr>
          <w:b/>
        </w:rPr>
        <w:t xml:space="preserve">su </w:t>
      </w:r>
      <w:r w:rsidR="004F33D9" w:rsidRPr="00D1018D">
        <w:rPr>
          <w:b/>
        </w:rPr>
        <w:t>consentimiento libre, previo e informado</w:t>
      </w:r>
      <w:r w:rsidR="00100512" w:rsidRPr="00D1018D">
        <w:rPr>
          <w:b/>
        </w:rPr>
        <w:t xml:space="preserve">, en </w:t>
      </w:r>
      <w:r w:rsidR="00553AF4" w:rsidRPr="00D1018D">
        <w:rPr>
          <w:b/>
        </w:rPr>
        <w:t xml:space="preserve">armonía con </w:t>
      </w:r>
      <w:r w:rsidR="00B543A7" w:rsidRPr="00D1018D">
        <w:rPr>
          <w:b/>
        </w:rPr>
        <w:t>los estándares internacionales</w:t>
      </w:r>
      <w:r w:rsidR="00553AF4" w:rsidRPr="00D1018D">
        <w:rPr>
          <w:b/>
        </w:rPr>
        <w:t xml:space="preserve">, en </w:t>
      </w:r>
      <w:r w:rsidR="00100512" w:rsidRPr="00D1018D">
        <w:rPr>
          <w:b/>
        </w:rPr>
        <w:t>consulta con los pueblos indígenas</w:t>
      </w:r>
      <w:r w:rsidR="009B72D5" w:rsidRPr="00D1018D">
        <w:rPr>
          <w:b/>
        </w:rPr>
        <w:t xml:space="preserve"> y tomando en cuenta sus tradiciones y características culturales</w:t>
      </w:r>
      <w:r w:rsidR="00100512" w:rsidRPr="00D1018D">
        <w:rPr>
          <w:b/>
        </w:rPr>
        <w:t>;</w:t>
      </w:r>
    </w:p>
    <w:p w14:paraId="1D30C385" w14:textId="0CAB0118" w:rsidR="009B72D5" w:rsidRPr="00D1018D" w:rsidRDefault="006560D5" w:rsidP="00584DFD">
      <w:pPr>
        <w:pStyle w:val="SingleTxtG"/>
        <w:ind w:firstLine="567"/>
        <w:rPr>
          <w:b/>
        </w:rPr>
      </w:pPr>
      <w:r w:rsidRPr="00D1018D">
        <w:rPr>
          <w:b/>
        </w:rPr>
        <w:t>b)</w:t>
      </w:r>
      <w:r w:rsidRPr="00D1018D">
        <w:rPr>
          <w:b/>
        </w:rPr>
        <w:tab/>
      </w:r>
      <w:r w:rsidR="00100512" w:rsidRPr="00D1018D">
        <w:rPr>
          <w:b/>
        </w:rPr>
        <w:t>Garantizar que</w:t>
      </w:r>
      <w:r w:rsidR="009B72D5" w:rsidRPr="00D1018D">
        <w:rPr>
          <w:b/>
        </w:rPr>
        <w:t>,</w:t>
      </w:r>
      <w:r w:rsidR="00100512" w:rsidRPr="00D1018D">
        <w:rPr>
          <w:b/>
        </w:rPr>
        <w:t xml:space="preserve"> </w:t>
      </w:r>
      <w:r w:rsidR="009B72D5" w:rsidRPr="00D1018D">
        <w:rPr>
          <w:b/>
        </w:rPr>
        <w:t>previo al o</w:t>
      </w:r>
      <w:r w:rsidR="00952AE4" w:rsidRPr="00D1018D">
        <w:rPr>
          <w:b/>
        </w:rPr>
        <w:t>torgamiento de licencias y</w:t>
      </w:r>
      <w:r w:rsidR="007D6DE5">
        <w:rPr>
          <w:b/>
        </w:rPr>
        <w:t xml:space="preserve"> desde el diseño hasta</w:t>
      </w:r>
      <w:r w:rsidR="00952AE4" w:rsidRPr="00D1018D">
        <w:rPr>
          <w:b/>
        </w:rPr>
        <w:t xml:space="preserve"> la</w:t>
      </w:r>
      <w:r w:rsidR="009B72D5" w:rsidRPr="00D1018D">
        <w:rPr>
          <w:b/>
        </w:rPr>
        <w:t xml:space="preserve"> ejecución de proyectos de desarrollo económico, energéticos, turísticos, de infraestructura y de explotación de recursos naturales</w:t>
      </w:r>
      <w:r w:rsidR="00952AE4" w:rsidRPr="00D1018D">
        <w:rPr>
          <w:b/>
        </w:rPr>
        <w:t>, s</w:t>
      </w:r>
      <w:r w:rsidR="00100512" w:rsidRPr="00D1018D">
        <w:rPr>
          <w:b/>
        </w:rPr>
        <w:t xml:space="preserve">e respete debidamente el derecho </w:t>
      </w:r>
      <w:r w:rsidR="00952AE4" w:rsidRPr="00D1018D">
        <w:rPr>
          <w:b/>
        </w:rPr>
        <w:t xml:space="preserve">que tienen los pueblos indígenas </w:t>
      </w:r>
      <w:r w:rsidR="007D6DE5" w:rsidRPr="00D1018D">
        <w:rPr>
          <w:b/>
        </w:rPr>
        <w:t>cuy</w:t>
      </w:r>
      <w:r w:rsidR="007D6DE5">
        <w:rPr>
          <w:b/>
        </w:rPr>
        <w:t>o</w:t>
      </w:r>
      <w:r w:rsidR="007D6DE5" w:rsidRPr="00D1018D">
        <w:rPr>
          <w:b/>
        </w:rPr>
        <w:t>s</w:t>
      </w:r>
      <w:r w:rsidR="007D6DE5">
        <w:rPr>
          <w:b/>
        </w:rPr>
        <w:t xml:space="preserve"> derechos,</w:t>
      </w:r>
      <w:r w:rsidR="007D6DE5" w:rsidRPr="00D1018D">
        <w:rPr>
          <w:b/>
        </w:rPr>
        <w:t xml:space="preserve"> </w:t>
      </w:r>
      <w:r w:rsidR="00952AE4" w:rsidRPr="00D1018D">
        <w:rPr>
          <w:b/>
        </w:rPr>
        <w:t>tierras, territorios y recursos puedan ser afectados</w:t>
      </w:r>
      <w:r w:rsidR="00100512" w:rsidRPr="00D1018D">
        <w:rPr>
          <w:b/>
        </w:rPr>
        <w:t xml:space="preserve"> a ser consultados con miras a obtener </w:t>
      </w:r>
      <w:r w:rsidR="00B2159A" w:rsidRPr="00D1018D">
        <w:rPr>
          <w:b/>
        </w:rPr>
        <w:t xml:space="preserve">su </w:t>
      </w:r>
      <w:r w:rsidR="00100512" w:rsidRPr="00D1018D">
        <w:rPr>
          <w:b/>
        </w:rPr>
        <w:t>consentim</w:t>
      </w:r>
      <w:r w:rsidR="009B72D5" w:rsidRPr="00D1018D">
        <w:rPr>
          <w:b/>
        </w:rPr>
        <w:t>iento libre, previo e informado</w:t>
      </w:r>
      <w:r w:rsidR="00952AE4" w:rsidRPr="00D1018D">
        <w:rPr>
          <w:b/>
        </w:rPr>
        <w:t xml:space="preserve">; </w:t>
      </w:r>
    </w:p>
    <w:p w14:paraId="30FE221F" w14:textId="68E953C2" w:rsidR="00100512" w:rsidRPr="00D1018D" w:rsidRDefault="006560D5" w:rsidP="00584DFD">
      <w:pPr>
        <w:pStyle w:val="SingleTxtG"/>
        <w:ind w:firstLine="567"/>
        <w:rPr>
          <w:b/>
        </w:rPr>
      </w:pPr>
      <w:r w:rsidRPr="00D1018D">
        <w:rPr>
          <w:b/>
        </w:rPr>
        <w:t>c)</w:t>
      </w:r>
      <w:r w:rsidRPr="00D1018D">
        <w:rPr>
          <w:b/>
        </w:rPr>
        <w:tab/>
      </w:r>
      <w:r w:rsidR="009B72D5" w:rsidRPr="00D1018D">
        <w:rPr>
          <w:b/>
        </w:rPr>
        <w:t>Asegur</w:t>
      </w:r>
      <w:r w:rsidR="001C3CF0">
        <w:rPr>
          <w:b/>
        </w:rPr>
        <w:t>ar</w:t>
      </w:r>
      <w:r w:rsidR="009B72D5" w:rsidRPr="00D1018D">
        <w:rPr>
          <w:b/>
        </w:rPr>
        <w:t xml:space="preserve"> que los procesos de </w:t>
      </w:r>
      <w:r w:rsidR="00100512" w:rsidRPr="00D1018D">
        <w:rPr>
          <w:b/>
        </w:rPr>
        <w:t xml:space="preserve">consultas se lleven a cabo de manera sistemática, oportuna, transparente, de buena fe, </w:t>
      </w:r>
      <w:r w:rsidR="00784638">
        <w:rPr>
          <w:b/>
        </w:rPr>
        <w:t xml:space="preserve">culturalmente adecuada, </w:t>
      </w:r>
      <w:r w:rsidR="00100512" w:rsidRPr="00D1018D">
        <w:rPr>
          <w:b/>
        </w:rPr>
        <w:t>en condiciones de seguridad y con la debida representación de los pueblos afectados</w:t>
      </w:r>
      <w:r w:rsidR="009B72D5" w:rsidRPr="00D1018D">
        <w:rPr>
          <w:b/>
        </w:rPr>
        <w:t>, respetando los estándares internacionales de los derechos de los pueblos indígenas</w:t>
      </w:r>
      <w:r w:rsidR="00C45C4E">
        <w:rPr>
          <w:b/>
        </w:rPr>
        <w:t>,</w:t>
      </w:r>
      <w:r w:rsidR="00952AE4" w:rsidRPr="00D1018D">
        <w:rPr>
          <w:b/>
        </w:rPr>
        <w:t xml:space="preserve"> y que como parte integral de tales procesos se realicen estudios independientes e imparciales sobre el impacto ambiental y </w:t>
      </w:r>
      <w:r w:rsidR="007D6DE5">
        <w:rPr>
          <w:b/>
        </w:rPr>
        <w:t>sobre los derechos humanos</w:t>
      </w:r>
      <w:r w:rsidR="007D6DE5" w:rsidRPr="00D1018D">
        <w:rPr>
          <w:b/>
        </w:rPr>
        <w:t xml:space="preserve"> </w:t>
      </w:r>
      <w:r w:rsidR="00952AE4" w:rsidRPr="00D1018D">
        <w:rPr>
          <w:b/>
        </w:rPr>
        <w:t>que puedan tener los proyectos de desarrollo en territorios de pueblos indígenas</w:t>
      </w:r>
      <w:r w:rsidR="00100512" w:rsidRPr="00D1018D">
        <w:rPr>
          <w:b/>
        </w:rPr>
        <w:t>;</w:t>
      </w:r>
    </w:p>
    <w:p w14:paraId="7A9EEA4B" w14:textId="5A3F2EAA" w:rsidR="00100512" w:rsidRPr="00D1018D" w:rsidRDefault="006560D5" w:rsidP="00584DFD">
      <w:pPr>
        <w:pStyle w:val="SingleTxtG"/>
        <w:ind w:firstLine="567"/>
        <w:rPr>
          <w:b/>
        </w:rPr>
      </w:pPr>
      <w:r w:rsidRPr="00D1018D">
        <w:rPr>
          <w:b/>
        </w:rPr>
        <w:lastRenderedPageBreak/>
        <w:t>d)</w:t>
      </w:r>
      <w:r w:rsidRPr="00D1018D">
        <w:rPr>
          <w:b/>
        </w:rPr>
        <w:tab/>
      </w:r>
      <w:r w:rsidR="00100512" w:rsidRPr="00D1018D">
        <w:rPr>
          <w:b/>
        </w:rPr>
        <w:t>Tener debidamente en consideración las recomendaciones realizadas por la Relatora Especial sobre los derechos de los pueblos indígenas en lo relativo a la consulta previa</w:t>
      </w:r>
      <w:r w:rsidR="004C7DA1" w:rsidRPr="00D1018D">
        <w:rPr>
          <w:b/>
        </w:rPr>
        <w:t xml:space="preserve"> tanto en su informe (A/HRC/39/17/Add.2), como en la </w:t>
      </w:r>
      <w:r w:rsidR="00B13021">
        <w:rPr>
          <w:b/>
        </w:rPr>
        <w:t>n</w:t>
      </w:r>
      <w:r w:rsidR="004C7DA1" w:rsidRPr="00D1018D">
        <w:rPr>
          <w:b/>
        </w:rPr>
        <w:t>ota técnica sobre la consulta y el consentimiento libre, previo e informado de los pueblos indígenas en México de febrero de 2019</w:t>
      </w:r>
      <w:r w:rsidR="00100512" w:rsidRPr="00D1018D">
        <w:rPr>
          <w:b/>
        </w:rPr>
        <w:t xml:space="preserve">. </w:t>
      </w:r>
    </w:p>
    <w:p w14:paraId="77F087B7" w14:textId="0F3DAC5E" w:rsidR="00100512" w:rsidRPr="00BA6A4F" w:rsidRDefault="00D1018D" w:rsidP="00D1018D">
      <w:pPr>
        <w:pStyle w:val="H23G"/>
        <w:rPr>
          <w:lang w:val="es-ES_tradnl"/>
        </w:rPr>
      </w:pPr>
      <w:r>
        <w:rPr>
          <w:lang w:val="es-ES_tradnl"/>
        </w:rPr>
        <w:tab/>
      </w:r>
      <w:r>
        <w:rPr>
          <w:lang w:val="es-ES_tradnl"/>
        </w:rPr>
        <w:tab/>
      </w:r>
      <w:r w:rsidR="00825EB6" w:rsidRPr="00BA6A4F">
        <w:rPr>
          <w:lang w:val="es-ES_tradnl"/>
        </w:rPr>
        <w:t>Tierras, territorios y recursos de</w:t>
      </w:r>
      <w:r w:rsidR="00784638">
        <w:rPr>
          <w:lang w:val="es-ES_tradnl"/>
        </w:rPr>
        <w:t xml:space="preserve"> los</w:t>
      </w:r>
      <w:r w:rsidR="00825EB6" w:rsidRPr="00BA6A4F">
        <w:rPr>
          <w:lang w:val="es-ES_tradnl"/>
        </w:rPr>
        <w:t xml:space="preserve"> pueblos indígenas</w:t>
      </w:r>
    </w:p>
    <w:p w14:paraId="7C597DE6" w14:textId="4C113E31" w:rsidR="00E5537D" w:rsidRPr="00BA6A4F" w:rsidRDefault="006560D5" w:rsidP="00584DFD">
      <w:pPr>
        <w:pStyle w:val="SingleTxtG"/>
        <w:rPr>
          <w:lang w:val="es-ES_tradnl"/>
        </w:rPr>
      </w:pPr>
      <w:r w:rsidRPr="00BA6A4F">
        <w:rPr>
          <w:lang w:val="es-ES_tradnl"/>
        </w:rPr>
        <w:t>22.</w:t>
      </w:r>
      <w:r w:rsidRPr="00BA6A4F">
        <w:rPr>
          <w:lang w:val="es-ES_tradnl"/>
        </w:rPr>
        <w:tab/>
      </w:r>
      <w:r w:rsidR="00FC5564">
        <w:rPr>
          <w:lang w:val="es-ES_tradnl"/>
        </w:rPr>
        <w:t>El Comité nota con preocupación que el Estado parte no cuenta con mecanismos adecuados para la protección, preservación</w:t>
      </w:r>
      <w:r w:rsidR="004C3192">
        <w:rPr>
          <w:lang w:val="es-ES_tradnl"/>
        </w:rPr>
        <w:t xml:space="preserve">, reclamación </w:t>
      </w:r>
      <w:r w:rsidR="00FC5564">
        <w:rPr>
          <w:lang w:val="es-ES_tradnl"/>
        </w:rPr>
        <w:t xml:space="preserve">y restitución de las tierras, territorios y recursos tradicionalmente ocupados por </w:t>
      </w:r>
      <w:r w:rsidR="00C61042">
        <w:rPr>
          <w:lang w:val="es-ES_tradnl"/>
        </w:rPr>
        <w:t>pueblos ind</w:t>
      </w:r>
      <w:r w:rsidR="00FC5564">
        <w:rPr>
          <w:lang w:val="es-ES_tradnl"/>
        </w:rPr>
        <w:t>ígenas. Esta situación</w:t>
      </w:r>
      <w:r w:rsidR="00683950">
        <w:rPr>
          <w:lang w:val="es-ES_tradnl"/>
        </w:rPr>
        <w:t xml:space="preserve">, </w:t>
      </w:r>
      <w:r w:rsidR="00FC5564" w:rsidRPr="00B93AEF">
        <w:rPr>
          <w:lang w:val="es-ES_tradnl"/>
        </w:rPr>
        <w:t>aunada</w:t>
      </w:r>
      <w:r w:rsidR="004C3192" w:rsidRPr="00B93AEF">
        <w:rPr>
          <w:lang w:val="es-ES_tradnl"/>
        </w:rPr>
        <w:t xml:space="preserve"> a </w:t>
      </w:r>
      <w:r w:rsidR="00B93AEF">
        <w:rPr>
          <w:lang w:val="es-ES_tradnl"/>
        </w:rPr>
        <w:t>otro</w:t>
      </w:r>
      <w:r w:rsidR="00B93AEF" w:rsidRPr="00B93AEF">
        <w:rPr>
          <w:lang w:val="es-ES_tradnl"/>
        </w:rPr>
        <w:t>s</w:t>
      </w:r>
      <w:r w:rsidR="00B93AEF">
        <w:rPr>
          <w:lang w:val="es-ES_tradnl"/>
        </w:rPr>
        <w:t xml:space="preserve"> </w:t>
      </w:r>
      <w:r w:rsidR="004C3192">
        <w:rPr>
          <w:lang w:val="es-ES_tradnl"/>
        </w:rPr>
        <w:t xml:space="preserve">factores, incluyendo </w:t>
      </w:r>
      <w:r w:rsidR="00FC5564">
        <w:rPr>
          <w:lang w:val="es-ES_tradnl"/>
        </w:rPr>
        <w:t>la realización de proyectos de inversión y desarrollo ha generado el desplazamiento forz</w:t>
      </w:r>
      <w:r w:rsidR="004C3192">
        <w:rPr>
          <w:lang w:val="es-ES_tradnl"/>
        </w:rPr>
        <w:t xml:space="preserve">oso </w:t>
      </w:r>
      <w:r w:rsidR="00FC5564">
        <w:rPr>
          <w:lang w:val="es-ES_tradnl"/>
        </w:rPr>
        <w:t>de los pueblos indígenas</w:t>
      </w:r>
      <w:r w:rsidR="00683950">
        <w:rPr>
          <w:lang w:val="es-ES_tradnl"/>
        </w:rPr>
        <w:t>,</w:t>
      </w:r>
      <w:r w:rsidR="00CF644B">
        <w:rPr>
          <w:lang w:val="es-ES_tradnl"/>
        </w:rPr>
        <w:t xml:space="preserve"> y</w:t>
      </w:r>
      <w:r w:rsidR="00E5537D" w:rsidRPr="00BA6A4F">
        <w:rPr>
          <w:lang w:val="es-ES_tradnl"/>
        </w:rPr>
        <w:t xml:space="preserve"> </w:t>
      </w:r>
      <w:r w:rsidR="00EF5399" w:rsidRPr="00BA6A4F">
        <w:rPr>
          <w:lang w:val="es-ES_tradnl"/>
        </w:rPr>
        <w:t xml:space="preserve">afecta de manera </w:t>
      </w:r>
      <w:r w:rsidR="00C61042" w:rsidRPr="00BA6A4F">
        <w:rPr>
          <w:lang w:val="es-ES_tradnl"/>
        </w:rPr>
        <w:t>desproporcionada</w:t>
      </w:r>
      <w:r w:rsidR="00EF5399" w:rsidRPr="00BA6A4F">
        <w:rPr>
          <w:lang w:val="es-ES_tradnl"/>
        </w:rPr>
        <w:t xml:space="preserve"> sus formas tradicionales de vida y de subsistencia.</w:t>
      </w:r>
      <w:r w:rsidR="003657CC">
        <w:rPr>
          <w:lang w:val="es-ES_tradnl"/>
        </w:rPr>
        <w:t xml:space="preserve"> A</w:t>
      </w:r>
      <w:r w:rsidR="00A84795">
        <w:rPr>
          <w:lang w:val="es-ES_tradnl"/>
        </w:rPr>
        <w:t>demás</w:t>
      </w:r>
      <w:r w:rsidR="00B74788">
        <w:rPr>
          <w:lang w:val="es-ES_tradnl"/>
        </w:rPr>
        <w:t>, preocupa al Comité que efectos de</w:t>
      </w:r>
      <w:r w:rsidR="00CF644B">
        <w:rPr>
          <w:lang w:val="es-ES_tradnl"/>
        </w:rPr>
        <w:t xml:space="preserve"> </w:t>
      </w:r>
      <w:r w:rsidR="00B74788">
        <w:rPr>
          <w:lang w:val="es-ES_tradnl"/>
        </w:rPr>
        <w:t>l</w:t>
      </w:r>
      <w:r w:rsidR="00CF644B">
        <w:rPr>
          <w:lang w:val="es-ES_tradnl"/>
        </w:rPr>
        <w:t>a</w:t>
      </w:r>
      <w:r w:rsidR="00B74788">
        <w:rPr>
          <w:lang w:val="es-ES_tradnl"/>
        </w:rPr>
        <w:t xml:space="preserve"> c</w:t>
      </w:r>
      <w:r w:rsidR="00784638">
        <w:rPr>
          <w:lang w:val="es-ES_tradnl"/>
        </w:rPr>
        <w:t>risis</w:t>
      </w:r>
      <w:r w:rsidR="00B74788">
        <w:rPr>
          <w:lang w:val="es-ES_tradnl"/>
        </w:rPr>
        <w:t xml:space="preserve"> climátic</w:t>
      </w:r>
      <w:r w:rsidR="00784638">
        <w:rPr>
          <w:lang w:val="es-ES_tradnl"/>
        </w:rPr>
        <w:t>a</w:t>
      </w:r>
      <w:r w:rsidR="00B13021">
        <w:rPr>
          <w:lang w:val="es-ES_tradnl"/>
        </w:rPr>
        <w:t>,</w:t>
      </w:r>
      <w:r w:rsidR="00B74788">
        <w:rPr>
          <w:lang w:val="es-ES_tradnl"/>
        </w:rPr>
        <w:t xml:space="preserve"> tales como la degradación de la tierra y las afectaciones a los recursos hídricos</w:t>
      </w:r>
      <w:r w:rsidR="00B13021">
        <w:rPr>
          <w:lang w:val="es-ES_tradnl"/>
        </w:rPr>
        <w:t>,</w:t>
      </w:r>
      <w:r w:rsidR="00B74788">
        <w:rPr>
          <w:lang w:val="es-ES_tradnl"/>
        </w:rPr>
        <w:t xml:space="preserve"> impacten de manera desproporcionada </w:t>
      </w:r>
      <w:r w:rsidR="00B13021">
        <w:rPr>
          <w:lang w:val="es-ES_tradnl"/>
        </w:rPr>
        <w:t>en</w:t>
      </w:r>
      <w:r w:rsidR="00B74788">
        <w:rPr>
          <w:lang w:val="es-ES_tradnl"/>
        </w:rPr>
        <w:t xml:space="preserve"> los pueblos indígenas (</w:t>
      </w:r>
      <w:r w:rsidR="00D1018D">
        <w:rPr>
          <w:lang w:val="es-ES_tradnl"/>
        </w:rPr>
        <w:t>arts. </w:t>
      </w:r>
      <w:r w:rsidR="00B74788">
        <w:rPr>
          <w:lang w:val="es-ES_tradnl"/>
        </w:rPr>
        <w:t xml:space="preserve">2 y 5). </w:t>
      </w:r>
    </w:p>
    <w:p w14:paraId="31CF93DD" w14:textId="27CE97B7" w:rsidR="00EF5399" w:rsidRPr="00BA6A4F" w:rsidRDefault="006560D5" w:rsidP="00584DFD">
      <w:pPr>
        <w:pStyle w:val="SingleTxtG"/>
        <w:rPr>
          <w:b/>
          <w:noProof/>
          <w:lang w:val="es-ES_tradnl"/>
        </w:rPr>
      </w:pPr>
      <w:r w:rsidRPr="00BA6A4F">
        <w:rPr>
          <w:noProof/>
          <w:lang w:val="es-ES_tradnl"/>
        </w:rPr>
        <w:t>23.</w:t>
      </w:r>
      <w:r w:rsidRPr="00BA6A4F">
        <w:rPr>
          <w:noProof/>
          <w:lang w:val="es-ES_tradnl"/>
        </w:rPr>
        <w:tab/>
      </w:r>
      <w:r w:rsidR="00347A9F">
        <w:rPr>
          <w:b/>
          <w:noProof/>
          <w:lang w:val="es-ES_tradnl"/>
        </w:rPr>
        <w:t xml:space="preserve">Con base </w:t>
      </w:r>
      <w:r w:rsidR="00C45C4E">
        <w:rPr>
          <w:b/>
          <w:noProof/>
          <w:lang w:val="es-ES_tradnl"/>
        </w:rPr>
        <w:t>en</w:t>
      </w:r>
      <w:r w:rsidR="00347A9F">
        <w:rPr>
          <w:b/>
          <w:noProof/>
          <w:lang w:val="es-ES_tradnl"/>
        </w:rPr>
        <w:t xml:space="preserve"> la recomendación general núm. 23 (1997) </w:t>
      </w:r>
      <w:r w:rsidR="00B13021">
        <w:rPr>
          <w:b/>
          <w:noProof/>
          <w:lang w:val="es-ES_tradnl"/>
        </w:rPr>
        <w:t xml:space="preserve">sobre </w:t>
      </w:r>
      <w:r w:rsidR="00347A9F">
        <w:rPr>
          <w:b/>
          <w:noProof/>
          <w:lang w:val="es-ES_tradnl"/>
        </w:rPr>
        <w:t>los derechos de los pueblos indígenas</w:t>
      </w:r>
      <w:r w:rsidR="00EF5399" w:rsidRPr="00BA6A4F">
        <w:rPr>
          <w:b/>
          <w:bCs/>
          <w:noProof/>
          <w:lang w:val="es-ES_tradnl"/>
        </w:rPr>
        <w:t xml:space="preserve">, </w:t>
      </w:r>
      <w:r w:rsidR="00EF5399" w:rsidRPr="00BA6A4F">
        <w:rPr>
          <w:b/>
          <w:noProof/>
          <w:lang w:val="es-ES_tradnl"/>
        </w:rPr>
        <w:t>el Comité insta al Estado parte a:</w:t>
      </w:r>
    </w:p>
    <w:p w14:paraId="0604AADA" w14:textId="26A5999C" w:rsidR="00EF5399" w:rsidRPr="00D1018D" w:rsidRDefault="006560D5" w:rsidP="00584DFD">
      <w:pPr>
        <w:pStyle w:val="SingleTxtG"/>
        <w:ind w:firstLine="567"/>
        <w:rPr>
          <w:b/>
        </w:rPr>
      </w:pPr>
      <w:r w:rsidRPr="00D1018D">
        <w:rPr>
          <w:b/>
        </w:rPr>
        <w:t>a)</w:t>
      </w:r>
      <w:r w:rsidRPr="00D1018D">
        <w:rPr>
          <w:b/>
        </w:rPr>
        <w:tab/>
      </w:r>
      <w:r w:rsidR="00475BB7" w:rsidRPr="00D1018D">
        <w:rPr>
          <w:b/>
        </w:rPr>
        <w:t xml:space="preserve">Establecer </w:t>
      </w:r>
      <w:r w:rsidR="00EF5399" w:rsidRPr="00D1018D">
        <w:rPr>
          <w:b/>
        </w:rPr>
        <w:t xml:space="preserve">un mecanismo adecuado y eficaz, en coordinación con las autoridades judiciales, agrarias y otras instituciones relevantes, que permita la reclamación y restitución de tierras y territorios ancestrales, asegurando que cuente con los recursos humanos, técnicos y financieros adecuados; </w:t>
      </w:r>
    </w:p>
    <w:p w14:paraId="2FCC9700" w14:textId="7CBAD5B6" w:rsidR="00EF5399" w:rsidRPr="00D1018D" w:rsidRDefault="006560D5" w:rsidP="00584DFD">
      <w:pPr>
        <w:pStyle w:val="SingleTxtG"/>
        <w:ind w:firstLine="567"/>
        <w:rPr>
          <w:b/>
        </w:rPr>
      </w:pPr>
      <w:r w:rsidRPr="00D1018D">
        <w:rPr>
          <w:b/>
        </w:rPr>
        <w:t>b)</w:t>
      </w:r>
      <w:r w:rsidRPr="00D1018D">
        <w:rPr>
          <w:b/>
        </w:rPr>
        <w:tab/>
      </w:r>
      <w:r w:rsidR="00475BB7" w:rsidRPr="00D1018D">
        <w:rPr>
          <w:b/>
        </w:rPr>
        <w:t>Garantizar</w:t>
      </w:r>
      <w:r w:rsidR="00EF5399" w:rsidRPr="00D1018D">
        <w:rPr>
          <w:b/>
        </w:rPr>
        <w:t xml:space="preserve"> la protección de los derechos que tienen los pueblos indígenas a poseer, utilizar, desarrollar y controlar con plena seguridad sus tierras, territorios y recursos, incluso mediante el reconocimiento legal y la protección jurídica necesarios de conformidad con </w:t>
      </w:r>
      <w:r w:rsidR="00952AE4" w:rsidRPr="00D1018D">
        <w:rPr>
          <w:b/>
        </w:rPr>
        <w:t>los estándares internacionales;</w:t>
      </w:r>
      <w:r w:rsidR="00EF5399" w:rsidRPr="00D1018D">
        <w:rPr>
          <w:b/>
        </w:rPr>
        <w:t xml:space="preserve"> </w:t>
      </w:r>
    </w:p>
    <w:p w14:paraId="4DECD520" w14:textId="03B2C84D" w:rsidR="003D454D" w:rsidRDefault="006560D5" w:rsidP="00584DFD">
      <w:pPr>
        <w:pStyle w:val="SingleTxtG"/>
        <w:ind w:firstLine="567"/>
        <w:rPr>
          <w:b/>
        </w:rPr>
      </w:pPr>
      <w:r>
        <w:rPr>
          <w:b/>
        </w:rPr>
        <w:t>c)</w:t>
      </w:r>
      <w:r>
        <w:rPr>
          <w:b/>
        </w:rPr>
        <w:tab/>
      </w:r>
      <w:r w:rsidR="003D454D" w:rsidRPr="00D1018D">
        <w:rPr>
          <w:b/>
        </w:rPr>
        <w:t>Asegur</w:t>
      </w:r>
      <w:r w:rsidR="00475BB7" w:rsidRPr="00D1018D">
        <w:rPr>
          <w:b/>
        </w:rPr>
        <w:t>ar</w:t>
      </w:r>
      <w:r w:rsidR="003D454D" w:rsidRPr="00D1018D">
        <w:rPr>
          <w:b/>
        </w:rPr>
        <w:t xml:space="preserve"> una protección adecuada contra el desplazamiento forzoso, respetando los derechos, las costumbres, tradiciones y cultura de los pueblos indígenas, teniendo en cuenta lo dispuesto en el artículo 10 de la Declaración de las Naciones Unidas sobre los Derechos de los Pueblos Indígenas</w:t>
      </w:r>
      <w:r w:rsidR="00F763AD">
        <w:rPr>
          <w:b/>
        </w:rPr>
        <w:t xml:space="preserve"> y garantizar, cuando sea posible</w:t>
      </w:r>
      <w:r w:rsidR="00F763AD" w:rsidRPr="003A7083">
        <w:rPr>
          <w:b/>
        </w:rPr>
        <w:t>, la opción del regreso</w:t>
      </w:r>
      <w:r w:rsidR="003D454D" w:rsidRPr="00D1018D">
        <w:rPr>
          <w:b/>
        </w:rPr>
        <w:t xml:space="preserve">; </w:t>
      </w:r>
    </w:p>
    <w:p w14:paraId="5D4A6ECB" w14:textId="7566A7A8" w:rsidR="00BF0A09" w:rsidRPr="00BA6A4F" w:rsidRDefault="006560D5" w:rsidP="00584DFD">
      <w:pPr>
        <w:pStyle w:val="SingleTxtG"/>
        <w:ind w:firstLine="567"/>
        <w:rPr>
          <w:noProof/>
          <w:lang w:val="es-ES_tradnl"/>
        </w:rPr>
      </w:pPr>
      <w:r w:rsidRPr="00BA6A4F">
        <w:rPr>
          <w:b/>
          <w:noProof/>
          <w:lang w:val="es-ES_tradnl"/>
        </w:rPr>
        <w:t>d)</w:t>
      </w:r>
      <w:r w:rsidRPr="00BA6A4F">
        <w:rPr>
          <w:b/>
          <w:noProof/>
          <w:lang w:val="es-ES_tradnl"/>
        </w:rPr>
        <w:tab/>
      </w:r>
      <w:r w:rsidR="00EF5399" w:rsidRPr="00D1018D">
        <w:rPr>
          <w:b/>
        </w:rPr>
        <w:t xml:space="preserve">Definir, en consulta con los pueblos indígenas, </w:t>
      </w:r>
      <w:r w:rsidR="00D76B3A">
        <w:rPr>
          <w:b/>
          <w:noProof/>
          <w:lang w:val="es-ES_tradnl"/>
        </w:rPr>
        <w:t>medidas de mitigación, compensa</w:t>
      </w:r>
      <w:r w:rsidR="00E37537">
        <w:rPr>
          <w:b/>
          <w:noProof/>
          <w:lang w:val="es-ES_tradnl"/>
        </w:rPr>
        <w:t>c</w:t>
      </w:r>
      <w:r w:rsidR="00D76B3A">
        <w:rPr>
          <w:b/>
          <w:noProof/>
          <w:lang w:val="es-ES_tradnl"/>
        </w:rPr>
        <w:t xml:space="preserve">ión </w:t>
      </w:r>
      <w:r w:rsidR="00D76B3A" w:rsidRPr="00492111">
        <w:rPr>
          <w:b/>
          <w:noProof/>
          <w:lang w:val="es-ES_tradnl"/>
        </w:rPr>
        <w:t xml:space="preserve">por daños o pérdidas sufridas y </w:t>
      </w:r>
      <w:r w:rsidR="00D76B3A">
        <w:rPr>
          <w:b/>
          <w:noProof/>
          <w:lang w:val="es-ES_tradnl"/>
        </w:rPr>
        <w:t>de</w:t>
      </w:r>
      <w:r w:rsidR="00D76B3A" w:rsidRPr="00492111">
        <w:rPr>
          <w:b/>
          <w:noProof/>
          <w:lang w:val="es-ES_tradnl"/>
        </w:rPr>
        <w:t xml:space="preserve"> participación en los beneficios obtenidos de dichas actividades</w:t>
      </w:r>
      <w:r w:rsidR="003F17FF">
        <w:rPr>
          <w:b/>
          <w:noProof/>
          <w:lang w:val="es-ES_tradnl"/>
        </w:rPr>
        <w:t>,</w:t>
      </w:r>
      <w:r w:rsidR="00D76B3A">
        <w:rPr>
          <w:b/>
        </w:rPr>
        <w:t xml:space="preserve"> así como </w:t>
      </w:r>
      <w:r w:rsidR="00EF5399" w:rsidRPr="00D1018D">
        <w:rPr>
          <w:b/>
        </w:rPr>
        <w:t>medidas de mitigación</w:t>
      </w:r>
      <w:r w:rsidR="002E1438" w:rsidRPr="00D1018D">
        <w:rPr>
          <w:b/>
        </w:rPr>
        <w:t xml:space="preserve"> respecto de los efectos de</w:t>
      </w:r>
      <w:r w:rsidR="00CF644B">
        <w:rPr>
          <w:b/>
        </w:rPr>
        <w:t xml:space="preserve"> </w:t>
      </w:r>
      <w:r w:rsidR="002E1438" w:rsidRPr="00D1018D">
        <w:rPr>
          <w:b/>
        </w:rPr>
        <w:t>l</w:t>
      </w:r>
      <w:r w:rsidR="00CF644B">
        <w:rPr>
          <w:b/>
        </w:rPr>
        <w:t>a</w:t>
      </w:r>
      <w:r w:rsidR="002E1438" w:rsidRPr="00D1018D">
        <w:rPr>
          <w:b/>
        </w:rPr>
        <w:t xml:space="preserve"> </w:t>
      </w:r>
      <w:r w:rsidR="00AC49A8">
        <w:rPr>
          <w:b/>
        </w:rPr>
        <w:t>crisis</w:t>
      </w:r>
      <w:r w:rsidR="00AC49A8" w:rsidRPr="00D1018D">
        <w:rPr>
          <w:b/>
        </w:rPr>
        <w:t xml:space="preserve"> </w:t>
      </w:r>
      <w:r w:rsidR="002E1438" w:rsidRPr="00D1018D">
        <w:rPr>
          <w:b/>
        </w:rPr>
        <w:t>climátic</w:t>
      </w:r>
      <w:r w:rsidR="00AC49A8">
        <w:rPr>
          <w:b/>
        </w:rPr>
        <w:t>a</w:t>
      </w:r>
      <w:r w:rsidR="002E1438" w:rsidRPr="00D1018D">
        <w:rPr>
          <w:b/>
        </w:rPr>
        <w:t xml:space="preserve"> en sus tierras, territorios y recursos a fin de proteger sus formas tradicionales de vida y de subsistencia</w:t>
      </w:r>
      <w:r w:rsidR="00EF5399" w:rsidRPr="00BA6A4F">
        <w:rPr>
          <w:noProof/>
          <w:lang w:val="es-ES_tradnl"/>
        </w:rPr>
        <w:t>.</w:t>
      </w:r>
    </w:p>
    <w:p w14:paraId="1B955A94" w14:textId="6ED2AD62" w:rsidR="000B5103" w:rsidRPr="00BA6A4F" w:rsidRDefault="00D1018D" w:rsidP="00D1018D">
      <w:pPr>
        <w:pStyle w:val="H23G"/>
        <w:rPr>
          <w:lang w:val="es-ES_tradnl"/>
        </w:rPr>
      </w:pPr>
      <w:r>
        <w:rPr>
          <w:lang w:val="es-ES_tradnl"/>
        </w:rPr>
        <w:tab/>
      </w:r>
      <w:r>
        <w:rPr>
          <w:lang w:val="es-ES_tradnl"/>
        </w:rPr>
        <w:tab/>
      </w:r>
      <w:r w:rsidR="001D448E" w:rsidRPr="00BA6A4F">
        <w:rPr>
          <w:lang w:val="es-ES_tradnl"/>
        </w:rPr>
        <w:t xml:space="preserve">Múltiples formas de discriminación </w:t>
      </w:r>
    </w:p>
    <w:p w14:paraId="735A363C" w14:textId="2F1C6EDC" w:rsidR="001D448E" w:rsidRPr="00BA6A4F" w:rsidRDefault="006560D5" w:rsidP="00584DFD">
      <w:pPr>
        <w:pStyle w:val="SingleTxtG"/>
        <w:rPr>
          <w:lang w:val="es-ES_tradnl"/>
        </w:rPr>
      </w:pPr>
      <w:r w:rsidRPr="00BA6A4F">
        <w:rPr>
          <w:lang w:val="es-ES_tradnl"/>
        </w:rPr>
        <w:t>24.</w:t>
      </w:r>
      <w:r w:rsidRPr="00BA6A4F">
        <w:rPr>
          <w:lang w:val="es-ES_tradnl"/>
        </w:rPr>
        <w:tab/>
      </w:r>
      <w:r w:rsidR="005C5CF3" w:rsidRPr="00BA6A4F">
        <w:rPr>
          <w:lang w:val="es-ES_tradnl"/>
        </w:rPr>
        <w:t xml:space="preserve">El Comité está preocupado por las múltiples formas de discriminación que afectan a las mujeres indígenas y </w:t>
      </w:r>
      <w:proofErr w:type="spellStart"/>
      <w:r w:rsidR="00A62B07">
        <w:rPr>
          <w:lang w:val="es-ES_tradnl"/>
        </w:rPr>
        <w:t>afromexicanas</w:t>
      </w:r>
      <w:proofErr w:type="spellEnd"/>
      <w:r w:rsidR="002C3E82" w:rsidRPr="00BA6A4F">
        <w:rPr>
          <w:lang w:val="es-ES_tradnl"/>
        </w:rPr>
        <w:t xml:space="preserve">, </w:t>
      </w:r>
      <w:r w:rsidR="00B70E22">
        <w:rPr>
          <w:lang w:val="es-ES_tradnl"/>
        </w:rPr>
        <w:t xml:space="preserve">que comprometen el </w:t>
      </w:r>
      <w:r w:rsidR="002C3E82" w:rsidRPr="00BA6A4F">
        <w:rPr>
          <w:lang w:val="es-ES_tradnl"/>
        </w:rPr>
        <w:t xml:space="preserve">acceso a la educación, al trabajo, a la salud culturalmente adecuada, así como </w:t>
      </w:r>
      <w:r w:rsidR="00B70E22">
        <w:rPr>
          <w:lang w:val="es-ES_tradnl"/>
        </w:rPr>
        <w:t xml:space="preserve">la </w:t>
      </w:r>
      <w:r w:rsidR="002C3E82" w:rsidRPr="00BA6A4F">
        <w:rPr>
          <w:lang w:val="es-ES_tradnl"/>
        </w:rPr>
        <w:t>participación en la vida pública y toma de decisiones.</w:t>
      </w:r>
      <w:r w:rsidR="005C5CF3" w:rsidRPr="00BA6A4F">
        <w:rPr>
          <w:lang w:val="es-ES_tradnl"/>
        </w:rPr>
        <w:t xml:space="preserve"> </w:t>
      </w:r>
      <w:r w:rsidR="002C3E82" w:rsidRPr="00BA6A4F">
        <w:rPr>
          <w:lang w:val="es-ES_tradnl"/>
        </w:rPr>
        <w:t xml:space="preserve">Además, le preocupa seriamente </w:t>
      </w:r>
      <w:r w:rsidR="00E1685B">
        <w:rPr>
          <w:lang w:val="es-ES_tradnl"/>
        </w:rPr>
        <w:t>la información que da cuenta de prácticas discriminatorias y de violencia en contra de mujeres indígenas por parte de personal médico en las instituciones de salud pública al momento de acceder a servicios de salud sexual y reproductiva</w:t>
      </w:r>
      <w:r w:rsidR="00475BB7">
        <w:rPr>
          <w:lang w:val="es-ES_tradnl"/>
        </w:rPr>
        <w:t xml:space="preserve">, que en algunos casos ha conllevado esterilizaciones </w:t>
      </w:r>
      <w:r w:rsidR="00F763AD">
        <w:rPr>
          <w:lang w:val="es-ES_tradnl"/>
        </w:rPr>
        <w:t xml:space="preserve">sin el consentimiento libre e informado </w:t>
      </w:r>
      <w:r w:rsidR="005148C0">
        <w:rPr>
          <w:lang w:val="es-ES_tradnl"/>
        </w:rPr>
        <w:t>(art</w:t>
      </w:r>
      <w:r w:rsidR="00D30E56">
        <w:rPr>
          <w:lang w:val="es-ES_tradnl"/>
        </w:rPr>
        <w:t>s</w:t>
      </w:r>
      <w:r w:rsidR="005148C0">
        <w:rPr>
          <w:lang w:val="es-ES_tradnl"/>
        </w:rPr>
        <w:t>.</w:t>
      </w:r>
      <w:r w:rsidR="00D1018D">
        <w:rPr>
          <w:lang w:val="es-ES_tradnl"/>
        </w:rPr>
        <w:t> </w:t>
      </w:r>
      <w:r w:rsidR="005148C0">
        <w:rPr>
          <w:lang w:val="es-ES_tradnl"/>
        </w:rPr>
        <w:t>1 y 5).</w:t>
      </w:r>
    </w:p>
    <w:p w14:paraId="03273400" w14:textId="70D5C12A" w:rsidR="007A5032" w:rsidRPr="00BA6A4F" w:rsidRDefault="006560D5" w:rsidP="00584DFD">
      <w:pPr>
        <w:pStyle w:val="SingleTxtG"/>
        <w:rPr>
          <w:rFonts w:eastAsia="Times New Roman"/>
          <w:lang w:val="es-ES_tradnl" w:eastAsia="en-US"/>
        </w:rPr>
      </w:pPr>
      <w:r w:rsidRPr="00BA6A4F">
        <w:rPr>
          <w:rFonts w:eastAsia="Times New Roman"/>
          <w:lang w:val="es-ES_tradnl" w:eastAsia="en-US"/>
        </w:rPr>
        <w:t>25.</w:t>
      </w:r>
      <w:r w:rsidRPr="00BA6A4F">
        <w:rPr>
          <w:rFonts w:eastAsia="Times New Roman"/>
          <w:lang w:val="es-ES_tradnl" w:eastAsia="en-US"/>
        </w:rPr>
        <w:tab/>
      </w:r>
      <w:r w:rsidR="007A5032" w:rsidRPr="00BA6A4F">
        <w:rPr>
          <w:rFonts w:ascii="TimesNewRomanPS" w:eastAsia="Times New Roman" w:hAnsi="TimesNewRomanPS"/>
          <w:b/>
          <w:bCs/>
          <w:lang w:val="es-ES_tradnl" w:eastAsia="en-US"/>
        </w:rPr>
        <w:t xml:space="preserve">A la luz de su </w:t>
      </w:r>
      <w:r w:rsidR="00603AEA" w:rsidRPr="00BA6A4F">
        <w:rPr>
          <w:rFonts w:ascii="TimesNewRomanPS" w:eastAsia="Times New Roman" w:hAnsi="TimesNewRomanPS"/>
          <w:b/>
          <w:bCs/>
          <w:lang w:val="es-ES_tradnl" w:eastAsia="en-US"/>
        </w:rPr>
        <w:t>recomendación</w:t>
      </w:r>
      <w:r w:rsidR="007A5032" w:rsidRPr="00BA6A4F">
        <w:rPr>
          <w:rFonts w:ascii="TimesNewRomanPS" w:eastAsia="Times New Roman" w:hAnsi="TimesNewRomanPS"/>
          <w:b/>
          <w:bCs/>
          <w:lang w:val="es-ES_tradnl" w:eastAsia="en-US"/>
        </w:rPr>
        <w:t xml:space="preserve"> general </w:t>
      </w:r>
      <w:r w:rsidR="00603AEA" w:rsidRPr="00BA6A4F">
        <w:rPr>
          <w:rFonts w:ascii="TimesNewRomanPS" w:eastAsia="Times New Roman" w:hAnsi="TimesNewRomanPS"/>
          <w:b/>
          <w:bCs/>
          <w:lang w:val="es-ES_tradnl" w:eastAsia="en-US"/>
        </w:rPr>
        <w:t>núm.</w:t>
      </w:r>
      <w:r w:rsidR="007A5032" w:rsidRPr="00BA6A4F">
        <w:rPr>
          <w:rFonts w:ascii="TimesNewRomanPS" w:eastAsia="Times New Roman" w:hAnsi="TimesNewRomanPS"/>
          <w:b/>
          <w:bCs/>
          <w:lang w:val="es-ES_tradnl" w:eastAsia="en-US"/>
        </w:rPr>
        <w:t xml:space="preserve"> 25 (200</w:t>
      </w:r>
      <w:r w:rsidR="00817DB0">
        <w:rPr>
          <w:rFonts w:ascii="TimesNewRomanPS" w:eastAsia="Times New Roman" w:hAnsi="TimesNewRomanPS"/>
          <w:b/>
          <w:bCs/>
          <w:lang w:val="es-ES_tradnl" w:eastAsia="en-US"/>
        </w:rPr>
        <w:t>0</w:t>
      </w:r>
      <w:r w:rsidR="007A5032" w:rsidRPr="00BA6A4F">
        <w:rPr>
          <w:rFonts w:ascii="TimesNewRomanPS" w:eastAsia="Times New Roman" w:hAnsi="TimesNewRomanPS"/>
          <w:b/>
          <w:bCs/>
          <w:lang w:val="es-ES_tradnl" w:eastAsia="en-US"/>
        </w:rPr>
        <w:t xml:space="preserve">) sobre las dimensiones de la </w:t>
      </w:r>
      <w:r w:rsidR="00603AEA" w:rsidRPr="00BA6A4F">
        <w:rPr>
          <w:rFonts w:ascii="TimesNewRomanPS" w:eastAsia="Times New Roman" w:hAnsi="TimesNewRomanPS"/>
          <w:b/>
          <w:bCs/>
          <w:lang w:val="es-ES_tradnl" w:eastAsia="en-US"/>
        </w:rPr>
        <w:t>discriminación</w:t>
      </w:r>
      <w:r w:rsidR="007A5032" w:rsidRPr="00BA6A4F">
        <w:rPr>
          <w:rFonts w:ascii="TimesNewRomanPS" w:eastAsia="Times New Roman" w:hAnsi="TimesNewRomanPS"/>
          <w:b/>
          <w:bCs/>
          <w:lang w:val="es-ES_tradnl" w:eastAsia="en-US"/>
        </w:rPr>
        <w:t xml:space="preserve"> racial relacionadas con el </w:t>
      </w:r>
      <w:r w:rsidR="00603AEA" w:rsidRPr="00BA6A4F">
        <w:rPr>
          <w:rFonts w:ascii="TimesNewRomanPS" w:eastAsia="Times New Roman" w:hAnsi="TimesNewRomanPS"/>
          <w:b/>
          <w:bCs/>
          <w:lang w:val="es-ES_tradnl" w:eastAsia="en-US"/>
        </w:rPr>
        <w:t>género</w:t>
      </w:r>
      <w:r w:rsidR="007A5032" w:rsidRPr="00BA6A4F">
        <w:rPr>
          <w:rFonts w:ascii="TimesNewRomanPS" w:eastAsia="Times New Roman" w:hAnsi="TimesNewRomanPS"/>
          <w:b/>
          <w:bCs/>
          <w:lang w:val="es-ES_tradnl" w:eastAsia="en-US"/>
        </w:rPr>
        <w:t xml:space="preserve">, el </w:t>
      </w:r>
      <w:r w:rsidR="00603AEA" w:rsidRPr="00BA6A4F">
        <w:rPr>
          <w:rFonts w:ascii="TimesNewRomanPS" w:eastAsia="Times New Roman" w:hAnsi="TimesNewRomanPS"/>
          <w:b/>
          <w:bCs/>
          <w:lang w:val="es-ES_tradnl" w:eastAsia="en-US"/>
        </w:rPr>
        <w:t>Comité</w:t>
      </w:r>
      <w:r w:rsidR="007A5032" w:rsidRPr="00BA6A4F">
        <w:rPr>
          <w:rFonts w:ascii="TimesNewRomanPS" w:eastAsia="Times New Roman" w:hAnsi="TimesNewRomanPS"/>
          <w:b/>
          <w:bCs/>
          <w:lang w:val="es-ES_tradnl" w:eastAsia="en-US"/>
        </w:rPr>
        <w:t xml:space="preserve"> insta al Estado parte a: </w:t>
      </w:r>
    </w:p>
    <w:p w14:paraId="06748C47" w14:textId="56CD05D2" w:rsidR="007A5032" w:rsidRPr="00D1018D" w:rsidRDefault="006560D5" w:rsidP="00584DFD">
      <w:pPr>
        <w:pStyle w:val="SingleTxtG"/>
        <w:ind w:firstLine="567"/>
        <w:rPr>
          <w:b/>
        </w:rPr>
      </w:pPr>
      <w:r w:rsidRPr="00D1018D">
        <w:rPr>
          <w:b/>
        </w:rPr>
        <w:t>a)</w:t>
      </w:r>
      <w:r w:rsidRPr="00D1018D">
        <w:rPr>
          <w:b/>
        </w:rPr>
        <w:tab/>
      </w:r>
      <w:r w:rsidR="007A5032" w:rsidRPr="00D1018D">
        <w:rPr>
          <w:b/>
        </w:rPr>
        <w:t xml:space="preserve">Intensificar sus esfuerzos para combatir las formas </w:t>
      </w:r>
      <w:r w:rsidR="00603AEA" w:rsidRPr="00D1018D">
        <w:rPr>
          <w:b/>
        </w:rPr>
        <w:t>múltiples</w:t>
      </w:r>
      <w:r w:rsidR="007A5032" w:rsidRPr="00D1018D">
        <w:rPr>
          <w:b/>
        </w:rPr>
        <w:t xml:space="preserve"> de </w:t>
      </w:r>
      <w:r w:rsidR="00603AEA" w:rsidRPr="00D1018D">
        <w:rPr>
          <w:b/>
        </w:rPr>
        <w:t>discriminación</w:t>
      </w:r>
      <w:r w:rsidR="007A5032" w:rsidRPr="00D1018D">
        <w:rPr>
          <w:b/>
        </w:rPr>
        <w:t xml:space="preserve"> que enfrentan las mujeres </w:t>
      </w:r>
      <w:r w:rsidR="00603AEA" w:rsidRPr="00D1018D">
        <w:rPr>
          <w:b/>
        </w:rPr>
        <w:t>indígenas</w:t>
      </w:r>
      <w:r w:rsidR="007A5032" w:rsidRPr="00D1018D">
        <w:rPr>
          <w:b/>
        </w:rPr>
        <w:t xml:space="preserve"> y </w:t>
      </w:r>
      <w:proofErr w:type="spellStart"/>
      <w:r w:rsidR="00A62B07" w:rsidRPr="00D1018D">
        <w:rPr>
          <w:b/>
        </w:rPr>
        <w:t>afromexicanas</w:t>
      </w:r>
      <w:proofErr w:type="spellEnd"/>
      <w:r w:rsidR="00E1685B" w:rsidRPr="00D1018D">
        <w:rPr>
          <w:b/>
        </w:rPr>
        <w:t xml:space="preserve">, a fin de asegurar </w:t>
      </w:r>
      <w:r w:rsidR="007A5032" w:rsidRPr="00D1018D">
        <w:rPr>
          <w:b/>
        </w:rPr>
        <w:t xml:space="preserve">que tengan acceso </w:t>
      </w:r>
      <w:r w:rsidR="00603AEA" w:rsidRPr="00D1018D">
        <w:rPr>
          <w:b/>
        </w:rPr>
        <w:t xml:space="preserve">efectivo y adecuado </w:t>
      </w:r>
      <w:r w:rsidR="007A5032" w:rsidRPr="00D1018D">
        <w:rPr>
          <w:b/>
        </w:rPr>
        <w:t>a</w:t>
      </w:r>
      <w:r w:rsidR="00603AEA" w:rsidRPr="00D1018D">
        <w:rPr>
          <w:b/>
        </w:rPr>
        <w:t xml:space="preserve"> </w:t>
      </w:r>
      <w:r w:rsidR="007A5032" w:rsidRPr="00D1018D">
        <w:rPr>
          <w:b/>
        </w:rPr>
        <w:t>empleo</w:t>
      </w:r>
      <w:r w:rsidR="00603AEA" w:rsidRPr="00D1018D">
        <w:rPr>
          <w:b/>
        </w:rPr>
        <w:t xml:space="preserve">, educación </w:t>
      </w:r>
      <w:r w:rsidR="007A5032" w:rsidRPr="00D1018D">
        <w:rPr>
          <w:b/>
        </w:rPr>
        <w:t xml:space="preserve">y salud, </w:t>
      </w:r>
      <w:r w:rsidR="00DE7B4A" w:rsidRPr="00D1018D">
        <w:rPr>
          <w:b/>
        </w:rPr>
        <w:t xml:space="preserve">así como a su plena participación en los asuntos públicos, </w:t>
      </w:r>
      <w:r w:rsidR="007A5032" w:rsidRPr="00D1018D">
        <w:rPr>
          <w:b/>
        </w:rPr>
        <w:t xml:space="preserve">tomando </w:t>
      </w:r>
      <w:r w:rsidR="00DE7B4A" w:rsidRPr="00D1018D">
        <w:rPr>
          <w:b/>
        </w:rPr>
        <w:t xml:space="preserve">debidamente </w:t>
      </w:r>
      <w:r w:rsidR="007A5032" w:rsidRPr="00D1018D">
        <w:rPr>
          <w:b/>
        </w:rPr>
        <w:t xml:space="preserve">en cuenta las diferencias culturales y </w:t>
      </w:r>
      <w:r w:rsidR="00603AEA" w:rsidRPr="00D1018D">
        <w:rPr>
          <w:b/>
        </w:rPr>
        <w:t>lingüísticas</w:t>
      </w:r>
      <w:r w:rsidR="007A5032" w:rsidRPr="00D1018D">
        <w:rPr>
          <w:b/>
        </w:rPr>
        <w:t xml:space="preserve">; </w:t>
      </w:r>
    </w:p>
    <w:p w14:paraId="40363059" w14:textId="24C774FA" w:rsidR="007A5032" w:rsidRPr="00D1018D" w:rsidRDefault="006560D5" w:rsidP="00584DFD">
      <w:pPr>
        <w:pStyle w:val="SingleTxtG"/>
        <w:ind w:firstLine="567"/>
        <w:rPr>
          <w:b/>
        </w:rPr>
      </w:pPr>
      <w:r w:rsidRPr="00D1018D">
        <w:rPr>
          <w:b/>
        </w:rPr>
        <w:lastRenderedPageBreak/>
        <w:t>b)</w:t>
      </w:r>
      <w:r w:rsidRPr="00D1018D">
        <w:rPr>
          <w:b/>
        </w:rPr>
        <w:tab/>
      </w:r>
      <w:r w:rsidR="007A5032" w:rsidRPr="00D1018D">
        <w:rPr>
          <w:b/>
        </w:rPr>
        <w:t xml:space="preserve">Garantizar el acceso a la salud sexual y reproductiva de las mujeres </w:t>
      </w:r>
      <w:r w:rsidR="00603AEA" w:rsidRPr="00D1018D">
        <w:rPr>
          <w:b/>
        </w:rPr>
        <w:t>indígenas</w:t>
      </w:r>
      <w:r w:rsidR="005148C0" w:rsidRPr="00D1018D">
        <w:rPr>
          <w:b/>
        </w:rPr>
        <w:t xml:space="preserve"> y </w:t>
      </w:r>
      <w:proofErr w:type="spellStart"/>
      <w:r w:rsidR="00A62B07" w:rsidRPr="00D1018D">
        <w:rPr>
          <w:b/>
        </w:rPr>
        <w:t>afromexicanas</w:t>
      </w:r>
      <w:proofErr w:type="spellEnd"/>
      <w:r w:rsidR="00603AEA" w:rsidRPr="00D1018D">
        <w:rPr>
          <w:b/>
        </w:rPr>
        <w:t xml:space="preserve"> con pertinencia cultural,</w:t>
      </w:r>
      <w:r w:rsidR="00E1685B" w:rsidRPr="00D1018D">
        <w:rPr>
          <w:b/>
        </w:rPr>
        <w:t xml:space="preserve"> entre otros mediante el </w:t>
      </w:r>
      <w:r w:rsidR="00E1685B" w:rsidRPr="00D1018D">
        <w:rPr>
          <w:rFonts w:hint="eastAsia"/>
          <w:b/>
        </w:rPr>
        <w:t>fortalecimiento</w:t>
      </w:r>
      <w:r w:rsidR="00E1685B" w:rsidRPr="00D1018D">
        <w:rPr>
          <w:b/>
        </w:rPr>
        <w:t xml:space="preserve"> del Modelo de </w:t>
      </w:r>
      <w:r w:rsidR="00CF2B11">
        <w:rPr>
          <w:b/>
        </w:rPr>
        <w:t>a</w:t>
      </w:r>
      <w:r w:rsidR="00E1685B" w:rsidRPr="00D1018D">
        <w:rPr>
          <w:b/>
        </w:rPr>
        <w:t xml:space="preserve">tención </w:t>
      </w:r>
      <w:r w:rsidR="005148C0" w:rsidRPr="00D1018D">
        <w:rPr>
          <w:b/>
        </w:rPr>
        <w:t xml:space="preserve">a las </w:t>
      </w:r>
      <w:r w:rsidR="00CF2B11">
        <w:rPr>
          <w:b/>
        </w:rPr>
        <w:t>m</w:t>
      </w:r>
      <w:r w:rsidR="005148C0" w:rsidRPr="00D1018D">
        <w:rPr>
          <w:b/>
        </w:rPr>
        <w:t xml:space="preserve">ujeres </w:t>
      </w:r>
      <w:r w:rsidR="00CF2B11">
        <w:rPr>
          <w:b/>
        </w:rPr>
        <w:t xml:space="preserve">en </w:t>
      </w:r>
      <w:r w:rsidR="005148C0" w:rsidRPr="00D1018D">
        <w:rPr>
          <w:b/>
        </w:rPr>
        <w:t xml:space="preserve">el </w:t>
      </w:r>
      <w:r w:rsidR="00CF2B11">
        <w:rPr>
          <w:b/>
        </w:rPr>
        <w:t>e</w:t>
      </w:r>
      <w:r w:rsidR="005148C0" w:rsidRPr="00D1018D">
        <w:rPr>
          <w:b/>
        </w:rPr>
        <w:t xml:space="preserve">mbarazo, </w:t>
      </w:r>
      <w:r w:rsidR="00CF2B11">
        <w:rPr>
          <w:b/>
        </w:rPr>
        <w:t>p</w:t>
      </w:r>
      <w:r w:rsidR="005148C0" w:rsidRPr="00D1018D">
        <w:rPr>
          <w:b/>
        </w:rPr>
        <w:t xml:space="preserve">arto y </w:t>
      </w:r>
      <w:r w:rsidR="00AC5FCF">
        <w:rPr>
          <w:b/>
        </w:rPr>
        <w:t>p</w:t>
      </w:r>
      <w:r w:rsidR="005148C0" w:rsidRPr="00D1018D">
        <w:rPr>
          <w:b/>
        </w:rPr>
        <w:t xml:space="preserve">uerperio con </w:t>
      </w:r>
      <w:r w:rsidR="00AC5FCF">
        <w:rPr>
          <w:b/>
        </w:rPr>
        <w:t>e</w:t>
      </w:r>
      <w:r w:rsidR="005148C0" w:rsidRPr="00D1018D">
        <w:rPr>
          <w:b/>
        </w:rPr>
        <w:t xml:space="preserve">nfoque </w:t>
      </w:r>
      <w:r w:rsidR="00AC5FCF">
        <w:rPr>
          <w:b/>
        </w:rPr>
        <w:t>h</w:t>
      </w:r>
      <w:r w:rsidR="005148C0" w:rsidRPr="00D1018D">
        <w:rPr>
          <w:b/>
        </w:rPr>
        <w:t>umanizado</w:t>
      </w:r>
      <w:r w:rsidR="00AC5FCF">
        <w:rPr>
          <w:b/>
        </w:rPr>
        <w:t>,</w:t>
      </w:r>
      <w:r w:rsidR="005148C0" w:rsidRPr="00D1018D">
        <w:rPr>
          <w:b/>
        </w:rPr>
        <w:t xml:space="preserve"> </w:t>
      </w:r>
      <w:r w:rsidR="00AC5FCF">
        <w:rPr>
          <w:b/>
        </w:rPr>
        <w:t>i</w:t>
      </w:r>
      <w:r w:rsidR="005148C0" w:rsidRPr="00D1018D">
        <w:rPr>
          <w:b/>
        </w:rPr>
        <w:t xml:space="preserve">ntercultural y </w:t>
      </w:r>
      <w:r w:rsidR="00AC5FCF">
        <w:rPr>
          <w:b/>
        </w:rPr>
        <w:t>s</w:t>
      </w:r>
      <w:r w:rsidR="005148C0" w:rsidRPr="00D1018D">
        <w:rPr>
          <w:b/>
        </w:rPr>
        <w:t>eguro</w:t>
      </w:r>
      <w:r w:rsidR="00AC5FCF">
        <w:rPr>
          <w:b/>
        </w:rPr>
        <w:t>,</w:t>
      </w:r>
      <w:r w:rsidR="005148C0" w:rsidRPr="00D1018D">
        <w:rPr>
          <w:b/>
        </w:rPr>
        <w:t xml:space="preserve"> de la Secretaría de Salud;</w:t>
      </w:r>
    </w:p>
    <w:p w14:paraId="77EF03FF" w14:textId="0ACB1209" w:rsidR="00603AEA" w:rsidRPr="00D1018D" w:rsidRDefault="006560D5" w:rsidP="00584DFD">
      <w:pPr>
        <w:pStyle w:val="SingleTxtG"/>
        <w:ind w:firstLine="567"/>
        <w:rPr>
          <w:b/>
        </w:rPr>
      </w:pPr>
      <w:r w:rsidRPr="00D1018D">
        <w:rPr>
          <w:b/>
        </w:rPr>
        <w:t>c)</w:t>
      </w:r>
      <w:r w:rsidRPr="00D1018D">
        <w:rPr>
          <w:b/>
        </w:rPr>
        <w:tab/>
      </w:r>
      <w:r w:rsidR="005148C0" w:rsidRPr="00D1018D">
        <w:rPr>
          <w:b/>
        </w:rPr>
        <w:t>Investig</w:t>
      </w:r>
      <w:r w:rsidR="00603AEA" w:rsidRPr="00D1018D">
        <w:rPr>
          <w:b/>
        </w:rPr>
        <w:t xml:space="preserve">ar </w:t>
      </w:r>
      <w:r w:rsidR="005148C0" w:rsidRPr="00D1018D">
        <w:rPr>
          <w:b/>
        </w:rPr>
        <w:t xml:space="preserve">todos los actos de discriminación y violencia en contra de las mujeres indígenas y </w:t>
      </w:r>
      <w:proofErr w:type="spellStart"/>
      <w:r w:rsidR="00A62B07" w:rsidRPr="00D1018D">
        <w:rPr>
          <w:b/>
        </w:rPr>
        <w:t>afromexicanas</w:t>
      </w:r>
      <w:proofErr w:type="spellEnd"/>
      <w:r w:rsidR="005148C0" w:rsidRPr="00D1018D">
        <w:rPr>
          <w:b/>
        </w:rPr>
        <w:t xml:space="preserve"> en el sistema de atención de la salud,</w:t>
      </w:r>
      <w:r w:rsidR="00475BB7" w:rsidRPr="00D1018D">
        <w:rPr>
          <w:b/>
        </w:rPr>
        <w:t xml:space="preserve"> en particular los casos de esterilizaciones involuntarias, a efecto de que los responsables sean</w:t>
      </w:r>
      <w:r w:rsidR="005148C0" w:rsidRPr="00D1018D">
        <w:rPr>
          <w:b/>
        </w:rPr>
        <w:t xml:space="preserve"> </w:t>
      </w:r>
      <w:r w:rsidR="00475BB7" w:rsidRPr="00D1018D">
        <w:rPr>
          <w:b/>
        </w:rPr>
        <w:t>enjuiciados y debidamente castigados</w:t>
      </w:r>
      <w:r w:rsidR="005148C0" w:rsidRPr="00D1018D">
        <w:rPr>
          <w:b/>
        </w:rPr>
        <w:t>;</w:t>
      </w:r>
      <w:r w:rsidR="007A5032" w:rsidRPr="00D1018D">
        <w:rPr>
          <w:b/>
        </w:rPr>
        <w:t xml:space="preserve"> </w:t>
      </w:r>
    </w:p>
    <w:p w14:paraId="2A6272CC" w14:textId="7351237B" w:rsidR="007A5032" w:rsidRPr="00D1018D" w:rsidRDefault="006560D5" w:rsidP="00584DFD">
      <w:pPr>
        <w:pStyle w:val="SingleTxtG"/>
        <w:ind w:firstLine="567"/>
        <w:rPr>
          <w:b/>
        </w:rPr>
      </w:pPr>
      <w:r w:rsidRPr="00D1018D">
        <w:rPr>
          <w:b/>
        </w:rPr>
        <w:t>d)</w:t>
      </w:r>
      <w:r w:rsidRPr="00D1018D">
        <w:rPr>
          <w:b/>
        </w:rPr>
        <w:tab/>
      </w:r>
      <w:r w:rsidR="00603AEA" w:rsidRPr="00D1018D">
        <w:rPr>
          <w:b/>
        </w:rPr>
        <w:t>Realizar cam</w:t>
      </w:r>
      <w:r w:rsidR="00603AEA" w:rsidRPr="00D1018D">
        <w:rPr>
          <w:rFonts w:hint="eastAsia"/>
          <w:b/>
        </w:rPr>
        <w:t>p</w:t>
      </w:r>
      <w:r w:rsidR="00603AEA" w:rsidRPr="00D1018D">
        <w:rPr>
          <w:b/>
        </w:rPr>
        <w:t xml:space="preserve">añas de </w:t>
      </w:r>
      <w:r w:rsidR="00603AEA" w:rsidRPr="00D1018D">
        <w:rPr>
          <w:rFonts w:hint="eastAsia"/>
          <w:b/>
        </w:rPr>
        <w:t>sensibilización</w:t>
      </w:r>
      <w:r w:rsidR="00603AEA" w:rsidRPr="00D1018D">
        <w:rPr>
          <w:b/>
        </w:rPr>
        <w:t xml:space="preserve"> y capacitación entre el personal médico con el objetivo de crear conciencia y de </w:t>
      </w:r>
      <w:r w:rsidR="00475BB7" w:rsidRPr="00D1018D">
        <w:rPr>
          <w:b/>
        </w:rPr>
        <w:t>eliminar</w:t>
      </w:r>
      <w:r w:rsidR="00603AEA" w:rsidRPr="00D1018D">
        <w:rPr>
          <w:b/>
        </w:rPr>
        <w:t xml:space="preserve"> los actos y prácticas de discriminación racial en el sistema de salud, particularmente </w:t>
      </w:r>
      <w:r w:rsidR="00CF644B">
        <w:rPr>
          <w:b/>
        </w:rPr>
        <w:t xml:space="preserve">en </w:t>
      </w:r>
      <w:r w:rsidR="00603AEA" w:rsidRPr="00D1018D">
        <w:rPr>
          <w:b/>
        </w:rPr>
        <w:t>contra de mujeres indígenas</w:t>
      </w:r>
      <w:r w:rsidR="00AC49A8">
        <w:rPr>
          <w:b/>
        </w:rPr>
        <w:t xml:space="preserve"> y </w:t>
      </w:r>
      <w:proofErr w:type="spellStart"/>
      <w:r w:rsidR="00AC49A8">
        <w:rPr>
          <w:b/>
        </w:rPr>
        <w:t>afromexicanas</w:t>
      </w:r>
      <w:proofErr w:type="spellEnd"/>
      <w:r w:rsidR="00603AEA" w:rsidRPr="00D1018D">
        <w:rPr>
          <w:b/>
        </w:rPr>
        <w:t xml:space="preserve">. </w:t>
      </w:r>
    </w:p>
    <w:p w14:paraId="0CB50DF4" w14:textId="2FC43BFA" w:rsidR="00230D0F" w:rsidRPr="00BA6A4F" w:rsidRDefault="00D1018D" w:rsidP="00D1018D">
      <w:pPr>
        <w:pStyle w:val="H23G"/>
        <w:rPr>
          <w:lang w:val="es-ES_tradnl"/>
        </w:rPr>
      </w:pPr>
      <w:r>
        <w:rPr>
          <w:lang w:val="es-ES_tradnl"/>
        </w:rPr>
        <w:tab/>
      </w:r>
      <w:r>
        <w:rPr>
          <w:lang w:val="es-ES_tradnl"/>
        </w:rPr>
        <w:tab/>
      </w:r>
      <w:r w:rsidR="00A16957" w:rsidRPr="00BA6A4F">
        <w:rPr>
          <w:lang w:val="es-ES_tradnl"/>
        </w:rPr>
        <w:t xml:space="preserve">Discriminación en el sistema de justicia </w:t>
      </w:r>
    </w:p>
    <w:p w14:paraId="66DF87B1" w14:textId="001D2B30" w:rsidR="00A16957" w:rsidRPr="00BA6A4F" w:rsidRDefault="006560D5" w:rsidP="00584DFD">
      <w:pPr>
        <w:pStyle w:val="SingleTxtG"/>
        <w:rPr>
          <w:lang w:val="es-ES_tradnl"/>
        </w:rPr>
      </w:pPr>
      <w:r w:rsidRPr="00BA6A4F">
        <w:rPr>
          <w:lang w:val="es-ES_tradnl"/>
        </w:rPr>
        <w:t>26.</w:t>
      </w:r>
      <w:r w:rsidRPr="00BA6A4F">
        <w:rPr>
          <w:lang w:val="es-ES_tradnl"/>
        </w:rPr>
        <w:tab/>
      </w:r>
      <w:r w:rsidR="00302A24">
        <w:rPr>
          <w:lang w:val="es-ES_tradnl"/>
        </w:rPr>
        <w:t>P</w:t>
      </w:r>
      <w:r w:rsidR="004B6376">
        <w:rPr>
          <w:lang w:val="es-ES_tradnl"/>
        </w:rPr>
        <w:t>reocupa</w:t>
      </w:r>
      <w:r w:rsidR="00302A24">
        <w:rPr>
          <w:lang w:val="es-ES_tradnl"/>
        </w:rPr>
        <w:t xml:space="preserve"> al Comité</w:t>
      </w:r>
      <w:r w:rsidR="004B6376">
        <w:rPr>
          <w:lang w:val="es-ES_tradnl"/>
        </w:rPr>
        <w:t xml:space="preserve"> </w:t>
      </w:r>
      <w:r w:rsidR="008A43CD">
        <w:rPr>
          <w:lang w:val="es-ES_tradnl"/>
        </w:rPr>
        <w:t xml:space="preserve">que </w:t>
      </w:r>
      <w:r w:rsidR="00AC49A8">
        <w:rPr>
          <w:lang w:val="es-ES_tradnl"/>
        </w:rPr>
        <w:t xml:space="preserve">la corrupción y </w:t>
      </w:r>
      <w:r w:rsidR="004341F4">
        <w:rPr>
          <w:lang w:val="es-ES_tradnl"/>
        </w:rPr>
        <w:t>la falta de transparencia</w:t>
      </w:r>
      <w:r w:rsidR="008A43CD">
        <w:rPr>
          <w:lang w:val="es-ES_tradnl"/>
        </w:rPr>
        <w:t xml:space="preserve">, así como la persistencia de prácticas discriminatorias en el sistema de justicia </w:t>
      </w:r>
      <w:r w:rsidR="00C62436">
        <w:rPr>
          <w:lang w:val="es-ES_tradnl"/>
        </w:rPr>
        <w:t>afect</w:t>
      </w:r>
      <w:r w:rsidR="00475BB7">
        <w:rPr>
          <w:lang w:val="es-ES_tradnl"/>
        </w:rPr>
        <w:t>a</w:t>
      </w:r>
      <w:r w:rsidR="004341F4">
        <w:rPr>
          <w:lang w:val="es-ES_tradnl"/>
        </w:rPr>
        <w:t xml:space="preserve">n de manera significativa el acceso a la justicia por parte de los </w:t>
      </w:r>
      <w:r w:rsidR="00230D0F" w:rsidRPr="00BA6A4F">
        <w:rPr>
          <w:lang w:val="es-ES_tradnl"/>
        </w:rPr>
        <w:t>pueblos indígenas</w:t>
      </w:r>
      <w:r w:rsidR="008A43CD" w:rsidRPr="008A43CD">
        <w:rPr>
          <w:lang w:val="es-ES_tradnl"/>
        </w:rPr>
        <w:t xml:space="preserve"> </w:t>
      </w:r>
      <w:r w:rsidR="008A43CD">
        <w:rPr>
          <w:lang w:val="es-ES_tradnl"/>
        </w:rPr>
        <w:t>y se traducen en violaciones a las garantías del debido proceso y a una defensa adecuada de los miembros de pueblos indígenas</w:t>
      </w:r>
      <w:r w:rsidR="00A563D5">
        <w:rPr>
          <w:lang w:val="es-ES_tradnl"/>
        </w:rPr>
        <w:t xml:space="preserve">. </w:t>
      </w:r>
      <w:r w:rsidR="00C62436">
        <w:rPr>
          <w:lang w:val="es-ES_tradnl"/>
        </w:rPr>
        <w:t>Además, el Comité nota con preocupación</w:t>
      </w:r>
      <w:r w:rsidR="004341F4">
        <w:rPr>
          <w:lang w:val="es-ES_tradnl"/>
        </w:rPr>
        <w:t xml:space="preserve"> </w:t>
      </w:r>
      <w:r w:rsidR="00D05172" w:rsidRPr="00BA6A4F">
        <w:rPr>
          <w:lang w:val="es-ES_tradnl"/>
        </w:rPr>
        <w:t xml:space="preserve">los altos niveles de impunidad </w:t>
      </w:r>
      <w:r w:rsidR="007D6DE5">
        <w:rPr>
          <w:lang w:val="es-ES_tradnl"/>
        </w:rPr>
        <w:t>en el sistema de procuración y administración de justicia, incluid</w:t>
      </w:r>
      <w:r w:rsidR="00937C1B">
        <w:rPr>
          <w:lang w:val="es-ES_tradnl"/>
        </w:rPr>
        <w:t>o</w:t>
      </w:r>
      <w:r w:rsidR="007D6DE5" w:rsidRPr="00BA6A4F">
        <w:rPr>
          <w:lang w:val="es-ES_tradnl"/>
        </w:rPr>
        <w:t xml:space="preserve"> </w:t>
      </w:r>
      <w:r w:rsidR="00D05172" w:rsidRPr="00BA6A4F">
        <w:rPr>
          <w:lang w:val="es-ES_tradnl"/>
        </w:rPr>
        <w:t xml:space="preserve">en relación </w:t>
      </w:r>
      <w:r w:rsidR="00937C1B">
        <w:rPr>
          <w:lang w:val="es-ES_tradnl"/>
        </w:rPr>
        <w:t>con</w:t>
      </w:r>
      <w:r w:rsidR="00D05172" w:rsidRPr="00BA6A4F">
        <w:rPr>
          <w:lang w:val="es-ES_tradnl"/>
        </w:rPr>
        <w:t xml:space="preserve"> la violencia de género y </w:t>
      </w:r>
      <w:r w:rsidR="007D6DE5">
        <w:rPr>
          <w:lang w:val="es-ES_tradnl"/>
        </w:rPr>
        <w:t xml:space="preserve">resalta </w:t>
      </w:r>
      <w:r w:rsidR="00C62436">
        <w:rPr>
          <w:lang w:val="es-ES_tradnl"/>
        </w:rPr>
        <w:t xml:space="preserve">que la falta de coordinación adecuada entre la justicia ordinaria y la jurisdicción comunitaria </w:t>
      </w:r>
      <w:r w:rsidR="008A43CD">
        <w:rPr>
          <w:lang w:val="es-ES_tradnl"/>
        </w:rPr>
        <w:t xml:space="preserve">indígena </w:t>
      </w:r>
      <w:r w:rsidR="00CF644B">
        <w:rPr>
          <w:lang w:val="es-ES_tradnl"/>
        </w:rPr>
        <w:t xml:space="preserve">constituye </w:t>
      </w:r>
      <w:r w:rsidR="00C62436">
        <w:rPr>
          <w:lang w:val="es-ES_tradnl"/>
        </w:rPr>
        <w:t xml:space="preserve">un obstáculo para </w:t>
      </w:r>
      <w:r w:rsidR="004341F4">
        <w:rPr>
          <w:lang w:val="es-ES_tradnl"/>
        </w:rPr>
        <w:t>el acceso a la justicia</w:t>
      </w:r>
      <w:r w:rsidR="00C62436">
        <w:rPr>
          <w:lang w:val="es-ES_tradnl"/>
        </w:rPr>
        <w:t xml:space="preserve"> por parte de </w:t>
      </w:r>
      <w:r w:rsidR="007D6DE5">
        <w:rPr>
          <w:lang w:val="es-ES_tradnl"/>
        </w:rPr>
        <w:t xml:space="preserve">personas indígenas, en particular </w:t>
      </w:r>
      <w:r w:rsidR="00C62436">
        <w:rPr>
          <w:lang w:val="es-ES_tradnl"/>
        </w:rPr>
        <w:t>mujeres indígenas</w:t>
      </w:r>
      <w:r w:rsidR="007D6DE5">
        <w:rPr>
          <w:lang w:val="es-ES_tradnl"/>
        </w:rPr>
        <w:t xml:space="preserve"> víctimas de violencia de género</w:t>
      </w:r>
      <w:r w:rsidR="00C62436">
        <w:rPr>
          <w:lang w:val="es-ES_tradnl"/>
        </w:rPr>
        <w:t xml:space="preserve"> </w:t>
      </w:r>
      <w:r w:rsidR="004341F4">
        <w:rPr>
          <w:lang w:val="es-ES_tradnl"/>
        </w:rPr>
        <w:t>(arts.</w:t>
      </w:r>
      <w:r w:rsidR="009E624B">
        <w:rPr>
          <w:lang w:val="es-ES_tradnl"/>
        </w:rPr>
        <w:t> </w:t>
      </w:r>
      <w:r w:rsidR="004341F4">
        <w:rPr>
          <w:lang w:val="es-ES_tradnl"/>
        </w:rPr>
        <w:t>2 y 6)</w:t>
      </w:r>
      <w:r w:rsidR="00D05172" w:rsidRPr="00BA6A4F">
        <w:rPr>
          <w:lang w:val="es-ES_tradnl"/>
        </w:rPr>
        <w:t>.</w:t>
      </w:r>
    </w:p>
    <w:p w14:paraId="3D519F39" w14:textId="5FCC36ED" w:rsidR="00FD0E77" w:rsidRPr="00BA6A4F" w:rsidRDefault="006560D5" w:rsidP="00584DFD">
      <w:pPr>
        <w:pStyle w:val="SingleTxtG"/>
        <w:rPr>
          <w:rFonts w:eastAsia="Times New Roman"/>
          <w:lang w:val="es-ES_tradnl" w:eastAsia="en-US"/>
        </w:rPr>
      </w:pPr>
      <w:r w:rsidRPr="00BA6A4F">
        <w:rPr>
          <w:rFonts w:eastAsia="Times New Roman"/>
          <w:lang w:val="es-ES_tradnl" w:eastAsia="en-US"/>
        </w:rPr>
        <w:t>27.</w:t>
      </w:r>
      <w:r w:rsidRPr="00BA6A4F">
        <w:rPr>
          <w:rFonts w:eastAsia="Times New Roman"/>
          <w:lang w:val="es-ES_tradnl" w:eastAsia="en-US"/>
        </w:rPr>
        <w:tab/>
      </w:r>
      <w:r w:rsidR="00FD0E77" w:rsidRPr="00BA6A4F">
        <w:rPr>
          <w:rFonts w:ascii="TimesNewRomanPS" w:eastAsia="Times New Roman" w:hAnsi="TimesNewRomanPS"/>
          <w:b/>
          <w:bCs/>
          <w:lang w:val="es-ES_tradnl" w:eastAsia="en-US"/>
        </w:rPr>
        <w:t xml:space="preserve">Con base en su </w:t>
      </w:r>
      <w:proofErr w:type="spellStart"/>
      <w:r w:rsidR="00FD0E77" w:rsidRPr="00BA6A4F">
        <w:rPr>
          <w:b/>
          <w:bCs/>
          <w:noProof/>
          <w:lang w:val="es-ES_tradnl"/>
        </w:rPr>
        <w:t>recomendació</w:t>
      </w:r>
      <w:r w:rsidR="00FD0E77" w:rsidRPr="00BA6A4F">
        <w:rPr>
          <w:rFonts w:ascii="TimesNewRomanPS" w:eastAsia="Times New Roman" w:hAnsi="TimesNewRomanPS"/>
          <w:b/>
          <w:bCs/>
          <w:lang w:val="es-ES_tradnl" w:eastAsia="en-US"/>
        </w:rPr>
        <w:t>n</w:t>
      </w:r>
      <w:proofErr w:type="spellEnd"/>
      <w:r w:rsidR="00FD0E77" w:rsidRPr="00BA6A4F">
        <w:rPr>
          <w:rFonts w:ascii="TimesNewRomanPS" w:eastAsia="Times New Roman" w:hAnsi="TimesNewRomanPS"/>
          <w:b/>
          <w:bCs/>
          <w:lang w:val="es-ES_tradnl" w:eastAsia="en-US"/>
        </w:rPr>
        <w:t xml:space="preserve"> general </w:t>
      </w:r>
      <w:r w:rsidR="008A43CD" w:rsidRPr="00BA6A4F">
        <w:rPr>
          <w:rFonts w:ascii="TimesNewRomanPS" w:eastAsia="Times New Roman" w:hAnsi="TimesNewRomanPS"/>
          <w:b/>
          <w:bCs/>
          <w:lang w:val="es-ES_tradnl" w:eastAsia="en-US"/>
        </w:rPr>
        <w:t>núm.</w:t>
      </w:r>
      <w:r w:rsidR="00FD0E77" w:rsidRPr="00BA6A4F">
        <w:rPr>
          <w:rFonts w:ascii="TimesNewRomanPS" w:eastAsia="Times New Roman" w:hAnsi="TimesNewRomanPS"/>
          <w:b/>
          <w:bCs/>
          <w:lang w:val="es-ES_tradnl" w:eastAsia="en-US"/>
        </w:rPr>
        <w:t xml:space="preserve"> 31 (2005) sobre la </w:t>
      </w:r>
      <w:r w:rsidR="008A43CD" w:rsidRPr="00BA6A4F">
        <w:rPr>
          <w:rFonts w:ascii="TimesNewRomanPS" w:eastAsia="Times New Roman" w:hAnsi="TimesNewRomanPS"/>
          <w:b/>
          <w:bCs/>
          <w:lang w:val="es-ES_tradnl" w:eastAsia="en-US"/>
        </w:rPr>
        <w:t>prevención</w:t>
      </w:r>
      <w:r w:rsidR="00FD0E77" w:rsidRPr="00BA6A4F">
        <w:rPr>
          <w:rFonts w:ascii="TimesNewRomanPS" w:eastAsia="Times New Roman" w:hAnsi="TimesNewRomanPS"/>
          <w:b/>
          <w:bCs/>
          <w:lang w:val="es-ES_tradnl" w:eastAsia="en-US"/>
        </w:rPr>
        <w:t xml:space="preserve"> de la </w:t>
      </w:r>
      <w:r w:rsidR="008A43CD" w:rsidRPr="00BA6A4F">
        <w:rPr>
          <w:rFonts w:ascii="TimesNewRomanPS" w:eastAsia="Times New Roman" w:hAnsi="TimesNewRomanPS"/>
          <w:b/>
          <w:bCs/>
          <w:lang w:val="es-ES_tradnl" w:eastAsia="en-US"/>
        </w:rPr>
        <w:t>discriminación</w:t>
      </w:r>
      <w:r w:rsidR="00FD0E77" w:rsidRPr="00BA6A4F">
        <w:rPr>
          <w:rFonts w:ascii="TimesNewRomanPS" w:eastAsia="Times New Roman" w:hAnsi="TimesNewRomanPS"/>
          <w:b/>
          <w:bCs/>
          <w:lang w:val="es-ES_tradnl" w:eastAsia="en-US"/>
        </w:rPr>
        <w:t xml:space="preserve"> racial en la </w:t>
      </w:r>
      <w:r w:rsidR="008A43CD" w:rsidRPr="00BA6A4F">
        <w:rPr>
          <w:rFonts w:ascii="TimesNewRomanPS" w:eastAsia="Times New Roman" w:hAnsi="TimesNewRomanPS"/>
          <w:b/>
          <w:bCs/>
          <w:lang w:val="es-ES_tradnl" w:eastAsia="en-US"/>
        </w:rPr>
        <w:t>administración</w:t>
      </w:r>
      <w:r w:rsidR="00FD0E77" w:rsidRPr="00BA6A4F">
        <w:rPr>
          <w:rFonts w:ascii="TimesNewRomanPS" w:eastAsia="Times New Roman" w:hAnsi="TimesNewRomanPS"/>
          <w:b/>
          <w:bCs/>
          <w:lang w:val="es-ES_tradnl" w:eastAsia="en-US"/>
        </w:rPr>
        <w:t xml:space="preserve"> y el funcionamiento de la justicia penal, el </w:t>
      </w:r>
      <w:r w:rsidR="008A43CD" w:rsidRPr="00BA6A4F">
        <w:rPr>
          <w:rFonts w:ascii="TimesNewRomanPS" w:eastAsia="Times New Roman" w:hAnsi="TimesNewRomanPS"/>
          <w:b/>
          <w:bCs/>
          <w:lang w:val="es-ES_tradnl" w:eastAsia="en-US"/>
        </w:rPr>
        <w:t>Comité</w:t>
      </w:r>
      <w:r w:rsidR="00FD0E77" w:rsidRPr="00BA6A4F">
        <w:rPr>
          <w:rFonts w:ascii="TimesNewRomanPS" w:eastAsia="Times New Roman" w:hAnsi="TimesNewRomanPS"/>
          <w:b/>
          <w:bCs/>
          <w:lang w:val="es-ES_tradnl" w:eastAsia="en-US"/>
        </w:rPr>
        <w:t xml:space="preserve"> recomienda al Estado parte que: </w:t>
      </w:r>
    </w:p>
    <w:p w14:paraId="26776033" w14:textId="0B0BD3E2" w:rsidR="00FD0E77" w:rsidRPr="00BA6A4F" w:rsidRDefault="006560D5" w:rsidP="00584DFD">
      <w:pPr>
        <w:pStyle w:val="SingleTxtG"/>
        <w:ind w:firstLine="567"/>
        <w:rPr>
          <w:rFonts w:eastAsia="Times New Roman"/>
          <w:lang w:val="es-ES_tradnl" w:eastAsia="en-US"/>
        </w:rPr>
      </w:pPr>
      <w:r w:rsidRPr="00BA6A4F">
        <w:rPr>
          <w:rFonts w:eastAsia="Times New Roman"/>
          <w:b/>
          <w:lang w:val="es-ES_tradnl" w:eastAsia="en-US"/>
        </w:rPr>
        <w:t>a)</w:t>
      </w:r>
      <w:r w:rsidRPr="00BA6A4F">
        <w:rPr>
          <w:rFonts w:eastAsia="Times New Roman"/>
          <w:b/>
          <w:lang w:val="es-ES_tradnl" w:eastAsia="en-US"/>
        </w:rPr>
        <w:tab/>
      </w:r>
      <w:r w:rsidR="00F763AD">
        <w:rPr>
          <w:rFonts w:ascii="TimesNewRomanPS" w:eastAsia="Times New Roman" w:hAnsi="TimesNewRomanPS"/>
          <w:b/>
          <w:bCs/>
          <w:lang w:val="es-ES_tradnl" w:eastAsia="en-US"/>
        </w:rPr>
        <w:t>Erradique</w:t>
      </w:r>
      <w:r w:rsidR="00F763AD" w:rsidRPr="00BA6A4F">
        <w:rPr>
          <w:rFonts w:ascii="TimesNewRomanPS" w:eastAsia="Times New Roman" w:hAnsi="TimesNewRomanPS"/>
          <w:b/>
          <w:bCs/>
          <w:lang w:val="es-ES_tradnl" w:eastAsia="en-US"/>
        </w:rPr>
        <w:t xml:space="preserve"> </w:t>
      </w:r>
      <w:r w:rsidR="00347A9F" w:rsidRPr="00BA6A4F">
        <w:rPr>
          <w:rFonts w:ascii="TimesNewRomanPS" w:eastAsia="Times New Roman" w:hAnsi="TimesNewRomanPS"/>
          <w:b/>
          <w:bCs/>
          <w:lang w:val="es-ES_tradnl" w:eastAsia="en-US"/>
        </w:rPr>
        <w:t xml:space="preserve">la </w:t>
      </w:r>
      <w:r w:rsidR="00404EB7" w:rsidRPr="00BA6A4F">
        <w:rPr>
          <w:rFonts w:ascii="TimesNewRomanPS" w:eastAsia="Times New Roman" w:hAnsi="TimesNewRomanPS"/>
          <w:b/>
          <w:bCs/>
          <w:lang w:val="es-ES_tradnl" w:eastAsia="en-US"/>
        </w:rPr>
        <w:t>discriminación</w:t>
      </w:r>
      <w:r w:rsidR="00347A9F" w:rsidRPr="00BA6A4F">
        <w:rPr>
          <w:rFonts w:ascii="TimesNewRomanPS" w:eastAsia="Times New Roman" w:hAnsi="TimesNewRomanPS"/>
          <w:b/>
          <w:bCs/>
          <w:lang w:val="es-ES_tradnl" w:eastAsia="en-US"/>
        </w:rPr>
        <w:t xml:space="preserve"> racial dentro del sistema de judicial</w:t>
      </w:r>
      <w:r w:rsidR="00347A9F">
        <w:rPr>
          <w:rFonts w:ascii="TimesNewRomanPS" w:eastAsia="Times New Roman" w:hAnsi="TimesNewRomanPS"/>
          <w:b/>
          <w:bCs/>
          <w:lang w:val="es-ES_tradnl" w:eastAsia="en-US"/>
        </w:rPr>
        <w:t xml:space="preserve"> y el sistema penitenciario</w:t>
      </w:r>
      <w:r w:rsidR="00347A9F" w:rsidRPr="00BA6A4F">
        <w:rPr>
          <w:rFonts w:ascii="TimesNewRomanPS" w:eastAsia="Times New Roman" w:hAnsi="TimesNewRomanPS"/>
          <w:b/>
          <w:bCs/>
          <w:lang w:val="es-ES_tradnl" w:eastAsia="en-US"/>
        </w:rPr>
        <w:t xml:space="preserve">, incluso mediante la formación de agentes de la policía, fiscales, abogados, </w:t>
      </w:r>
      <w:r w:rsidR="00347A9F" w:rsidRPr="00BA6A4F">
        <w:rPr>
          <w:b/>
          <w:bCs/>
          <w:noProof/>
          <w:lang w:val="es-ES_tradnl"/>
        </w:rPr>
        <w:t>defensores</w:t>
      </w:r>
      <w:r w:rsidR="00347A9F" w:rsidRPr="00BA6A4F">
        <w:rPr>
          <w:rFonts w:ascii="TimesNewRomanPS" w:eastAsia="Times New Roman" w:hAnsi="TimesNewRomanPS"/>
          <w:b/>
          <w:bCs/>
          <w:lang w:val="es-ES_tradnl" w:eastAsia="en-US"/>
        </w:rPr>
        <w:t>, jueces y profesionales del sistema judicial</w:t>
      </w:r>
      <w:r w:rsidR="00347A9F">
        <w:rPr>
          <w:rFonts w:ascii="TimesNewRomanPS" w:eastAsia="Times New Roman" w:hAnsi="TimesNewRomanPS"/>
          <w:b/>
          <w:bCs/>
          <w:lang w:val="es-ES_tradnl" w:eastAsia="en-US"/>
        </w:rPr>
        <w:t xml:space="preserve"> y penitenciario</w:t>
      </w:r>
      <w:r w:rsidR="00347A9F" w:rsidRPr="00BA6A4F">
        <w:rPr>
          <w:rFonts w:ascii="TimesNewRomanPS" w:eastAsia="Times New Roman" w:hAnsi="TimesNewRomanPS"/>
          <w:b/>
          <w:bCs/>
          <w:lang w:val="es-ES_tradnl" w:eastAsia="en-US"/>
        </w:rPr>
        <w:t xml:space="preserve"> a fin de aumentar la conciencia sobre los efectos negativos de la </w:t>
      </w:r>
      <w:r w:rsidR="00404EB7" w:rsidRPr="00BA6A4F">
        <w:rPr>
          <w:rFonts w:ascii="TimesNewRomanPS" w:eastAsia="Times New Roman" w:hAnsi="TimesNewRomanPS"/>
          <w:b/>
          <w:bCs/>
          <w:lang w:val="es-ES_tradnl" w:eastAsia="en-US"/>
        </w:rPr>
        <w:t>discriminación</w:t>
      </w:r>
      <w:r w:rsidR="00347A9F" w:rsidRPr="00BA6A4F">
        <w:rPr>
          <w:rFonts w:ascii="TimesNewRomanPS" w:eastAsia="Times New Roman" w:hAnsi="TimesNewRomanPS"/>
          <w:b/>
          <w:bCs/>
          <w:lang w:val="es-ES_tradnl" w:eastAsia="en-US"/>
        </w:rPr>
        <w:t xml:space="preserve"> racial y asegurar la aplicac</w:t>
      </w:r>
      <w:r w:rsidR="00347A9F">
        <w:rPr>
          <w:rFonts w:ascii="TimesNewRomanPS" w:eastAsia="Times New Roman" w:hAnsi="TimesNewRomanPS"/>
          <w:b/>
          <w:bCs/>
          <w:lang w:val="es-ES_tradnl" w:eastAsia="en-US"/>
        </w:rPr>
        <w:t>ión efectiva de la Convención</w:t>
      </w:r>
      <w:r w:rsidR="00FD0E77" w:rsidRPr="00BA6A4F">
        <w:rPr>
          <w:rFonts w:ascii="TimesNewRomanPS" w:eastAsia="Times New Roman" w:hAnsi="TimesNewRomanPS"/>
          <w:b/>
          <w:bCs/>
          <w:lang w:val="es-ES_tradnl" w:eastAsia="en-US"/>
        </w:rPr>
        <w:t xml:space="preserve">; </w:t>
      </w:r>
    </w:p>
    <w:p w14:paraId="4CB23F32" w14:textId="7685EE17" w:rsidR="00FD0E77" w:rsidRPr="00BA6A4F" w:rsidRDefault="006560D5" w:rsidP="00584DFD">
      <w:pPr>
        <w:pStyle w:val="SingleTxtG"/>
        <w:ind w:firstLine="567"/>
        <w:rPr>
          <w:rFonts w:eastAsia="Times New Roman"/>
          <w:lang w:val="es-ES_tradnl" w:eastAsia="en-US"/>
        </w:rPr>
      </w:pPr>
      <w:r w:rsidRPr="00BA6A4F">
        <w:rPr>
          <w:rFonts w:eastAsia="Times New Roman"/>
          <w:b/>
          <w:lang w:val="es-ES_tradnl" w:eastAsia="en-US"/>
        </w:rPr>
        <w:t>b)</w:t>
      </w:r>
      <w:r w:rsidRPr="00BA6A4F">
        <w:rPr>
          <w:rFonts w:eastAsia="Times New Roman"/>
          <w:b/>
          <w:lang w:val="es-ES_tradnl" w:eastAsia="en-US"/>
        </w:rPr>
        <w:tab/>
      </w:r>
      <w:r w:rsidR="00FD0E77" w:rsidRPr="00BA6A4F">
        <w:rPr>
          <w:rFonts w:ascii="TimesNewRomanPS" w:eastAsia="Times New Roman" w:hAnsi="TimesNewRomanPS"/>
          <w:b/>
          <w:bCs/>
          <w:lang w:val="es-ES_tradnl" w:eastAsia="en-US"/>
        </w:rPr>
        <w:t>Adopte las medidas necesarias para</w:t>
      </w:r>
      <w:r w:rsidR="00060CD0">
        <w:rPr>
          <w:rFonts w:ascii="TimesNewRomanPS" w:eastAsia="Times New Roman" w:hAnsi="TimesNewRomanPS"/>
          <w:b/>
          <w:bCs/>
          <w:lang w:val="es-ES_tradnl" w:eastAsia="en-US"/>
        </w:rPr>
        <w:t xml:space="preserve"> luchar contra la </w:t>
      </w:r>
      <w:r w:rsidR="00060CD0">
        <w:rPr>
          <w:rFonts w:ascii="TimesNewRomanPS" w:eastAsia="Times New Roman" w:hAnsi="TimesNewRomanPS" w:hint="eastAsia"/>
          <w:b/>
          <w:bCs/>
          <w:lang w:val="es-ES_tradnl" w:eastAsia="en-US"/>
        </w:rPr>
        <w:t>corrupción</w:t>
      </w:r>
      <w:r w:rsidR="00060CD0">
        <w:rPr>
          <w:rFonts w:ascii="TimesNewRomanPS" w:eastAsia="Times New Roman" w:hAnsi="TimesNewRomanPS"/>
          <w:b/>
          <w:bCs/>
          <w:lang w:val="es-ES_tradnl" w:eastAsia="en-US"/>
        </w:rPr>
        <w:t xml:space="preserve"> </w:t>
      </w:r>
      <w:r w:rsidR="003D1790">
        <w:rPr>
          <w:rFonts w:ascii="TimesNewRomanPS" w:eastAsia="Times New Roman" w:hAnsi="TimesNewRomanPS"/>
          <w:b/>
          <w:bCs/>
          <w:lang w:val="es-ES_tradnl" w:eastAsia="en-US"/>
        </w:rPr>
        <w:t xml:space="preserve">y </w:t>
      </w:r>
      <w:r w:rsidR="003D1790" w:rsidRPr="00BA6A4F">
        <w:rPr>
          <w:rFonts w:ascii="TimesNewRomanPS" w:eastAsia="Times New Roman" w:hAnsi="TimesNewRomanPS"/>
          <w:b/>
          <w:bCs/>
          <w:lang w:val="es-ES_tradnl" w:eastAsia="en-US"/>
        </w:rPr>
        <w:t>garantizar</w:t>
      </w:r>
      <w:r w:rsidR="00FD0E77" w:rsidRPr="00BA6A4F">
        <w:rPr>
          <w:rFonts w:ascii="TimesNewRomanPS" w:eastAsia="Times New Roman" w:hAnsi="TimesNewRomanPS"/>
          <w:b/>
          <w:bCs/>
          <w:lang w:val="es-ES_tradnl" w:eastAsia="en-US"/>
        </w:rPr>
        <w:t xml:space="preserve"> la </w:t>
      </w:r>
      <w:r w:rsidR="00060CD0">
        <w:rPr>
          <w:rFonts w:ascii="TimesNewRomanPS" w:eastAsia="Times New Roman" w:hAnsi="TimesNewRomanPS"/>
          <w:b/>
          <w:bCs/>
          <w:lang w:val="es-ES_tradnl" w:eastAsia="en-US"/>
        </w:rPr>
        <w:t>transparencia en el sistema judicial</w:t>
      </w:r>
      <w:r w:rsidR="00FD0E77" w:rsidRPr="00BA6A4F">
        <w:rPr>
          <w:rFonts w:ascii="TimesNewRomanPS" w:eastAsia="Times New Roman" w:hAnsi="TimesNewRomanPS"/>
          <w:b/>
          <w:bCs/>
          <w:lang w:val="es-ES_tradnl" w:eastAsia="en-US"/>
        </w:rPr>
        <w:t xml:space="preserve"> como medio para salvaguardar la lucha c</w:t>
      </w:r>
      <w:r w:rsidR="00060CD0">
        <w:rPr>
          <w:rFonts w:ascii="TimesNewRomanPS" w:eastAsia="Times New Roman" w:hAnsi="TimesNewRomanPS"/>
          <w:b/>
          <w:bCs/>
          <w:lang w:val="es-ES_tradnl" w:eastAsia="en-US"/>
        </w:rPr>
        <w:t xml:space="preserve">ontra la </w:t>
      </w:r>
      <w:r w:rsidR="00347A9F">
        <w:rPr>
          <w:rFonts w:ascii="TimesNewRomanPS" w:eastAsia="Times New Roman" w:hAnsi="TimesNewRomanPS"/>
          <w:b/>
          <w:bCs/>
          <w:lang w:val="es-ES_tradnl" w:eastAsia="en-US"/>
        </w:rPr>
        <w:t>discriminación</w:t>
      </w:r>
      <w:r w:rsidR="00060CD0">
        <w:rPr>
          <w:rFonts w:ascii="TimesNewRomanPS" w:eastAsia="Times New Roman" w:hAnsi="TimesNewRomanPS"/>
          <w:b/>
          <w:bCs/>
          <w:lang w:val="es-ES_tradnl" w:eastAsia="en-US"/>
        </w:rPr>
        <w:t xml:space="preserve"> racial y el respeto de los derechos humanos</w:t>
      </w:r>
      <w:r w:rsidR="00FD0E77" w:rsidRPr="00BA6A4F">
        <w:rPr>
          <w:rFonts w:ascii="TimesNewRomanPS" w:eastAsia="Times New Roman" w:hAnsi="TimesNewRomanPS"/>
          <w:b/>
          <w:bCs/>
          <w:lang w:val="es-ES_tradnl" w:eastAsia="en-US"/>
        </w:rPr>
        <w:t xml:space="preserve">; </w:t>
      </w:r>
    </w:p>
    <w:p w14:paraId="5C7E2BF2" w14:textId="7A0E91B2" w:rsidR="00060CD0" w:rsidRPr="00BA6A4F" w:rsidRDefault="006560D5" w:rsidP="00584DFD">
      <w:pPr>
        <w:pStyle w:val="SingleTxtG"/>
        <w:ind w:firstLine="567"/>
        <w:rPr>
          <w:rFonts w:eastAsia="Times New Roman"/>
          <w:lang w:val="es-ES_tradnl" w:eastAsia="en-US"/>
        </w:rPr>
      </w:pPr>
      <w:r w:rsidRPr="00BA6A4F">
        <w:rPr>
          <w:rFonts w:eastAsia="Times New Roman"/>
          <w:b/>
          <w:lang w:val="es-ES_tradnl" w:eastAsia="en-US"/>
        </w:rPr>
        <w:t>c)</w:t>
      </w:r>
      <w:r w:rsidRPr="00BA6A4F">
        <w:rPr>
          <w:rFonts w:eastAsia="Times New Roman"/>
          <w:b/>
          <w:lang w:val="es-ES_tradnl" w:eastAsia="en-US"/>
        </w:rPr>
        <w:tab/>
      </w:r>
      <w:r w:rsidR="00347A9F">
        <w:rPr>
          <w:rFonts w:ascii="TimesNewRomanPS" w:eastAsia="Times New Roman" w:hAnsi="TimesNewRomanPS"/>
          <w:b/>
          <w:bCs/>
          <w:lang w:val="es-ES_tradnl" w:eastAsia="en-US"/>
        </w:rPr>
        <w:t xml:space="preserve">Intensifique </w:t>
      </w:r>
      <w:r w:rsidR="00347A9F" w:rsidRPr="00BA6A4F">
        <w:rPr>
          <w:rFonts w:ascii="TimesNewRomanPS" w:eastAsia="Times New Roman" w:hAnsi="TimesNewRomanPS"/>
          <w:b/>
          <w:bCs/>
          <w:lang w:val="es-ES_tradnl" w:eastAsia="en-US"/>
        </w:rPr>
        <w:t xml:space="preserve">sus </w:t>
      </w:r>
      <w:r w:rsidR="00347A9F" w:rsidRPr="00BA6A4F">
        <w:rPr>
          <w:b/>
          <w:bCs/>
          <w:noProof/>
          <w:lang w:val="es-ES_tradnl"/>
        </w:rPr>
        <w:t>esfuerzos</w:t>
      </w:r>
      <w:r w:rsidR="00347A9F" w:rsidRPr="00BA6A4F">
        <w:rPr>
          <w:rFonts w:ascii="TimesNewRomanPS" w:eastAsia="Times New Roman" w:hAnsi="TimesNewRomanPS"/>
          <w:b/>
          <w:bCs/>
          <w:lang w:val="es-ES_tradnl" w:eastAsia="en-US"/>
        </w:rPr>
        <w:t xml:space="preserve"> para garantizar el acceso a la justicia por parte de los pueblos indígenas, asegurando el respeto de sus derechos fundamentales y de las garantías</w:t>
      </w:r>
      <w:r w:rsidR="00347A9F">
        <w:rPr>
          <w:rFonts w:ascii="TimesNewRomanPS" w:eastAsia="Times New Roman" w:hAnsi="TimesNewRomanPS"/>
          <w:b/>
          <w:bCs/>
          <w:lang w:val="es-ES_tradnl" w:eastAsia="en-US"/>
        </w:rPr>
        <w:t xml:space="preserve"> del debido proceso, </w:t>
      </w:r>
      <w:r w:rsidR="00CF1A8E">
        <w:rPr>
          <w:rFonts w:ascii="TimesNewRomanPS" w:eastAsia="Times New Roman" w:hAnsi="TimesNewRomanPS"/>
          <w:b/>
          <w:bCs/>
          <w:lang w:val="es-ES_tradnl" w:eastAsia="en-US"/>
        </w:rPr>
        <w:t xml:space="preserve">asegurando el acceso cuando fuera necesario </w:t>
      </w:r>
      <w:r w:rsidR="00347A9F">
        <w:rPr>
          <w:rFonts w:ascii="TimesNewRomanPS" w:eastAsia="Times New Roman" w:hAnsi="TimesNewRomanPS"/>
          <w:b/>
          <w:bCs/>
          <w:lang w:val="es-ES_tradnl" w:eastAsia="en-US"/>
        </w:rPr>
        <w:t>a defensores capacitados con conocimiento de las lenguas indígenas e intérpretes que puedan explicarles el contenido de los procesos judiciales</w:t>
      </w:r>
      <w:r w:rsidR="00060CD0">
        <w:rPr>
          <w:rFonts w:ascii="TimesNewRomanPS" w:eastAsia="Times New Roman" w:hAnsi="TimesNewRomanPS"/>
          <w:b/>
          <w:bCs/>
          <w:lang w:val="es-ES_tradnl" w:eastAsia="en-US"/>
        </w:rPr>
        <w:t>;</w:t>
      </w:r>
    </w:p>
    <w:p w14:paraId="191E234C" w14:textId="5A18B695" w:rsidR="00204B26" w:rsidRDefault="006560D5" w:rsidP="00584DFD">
      <w:pPr>
        <w:pStyle w:val="SingleTxtG"/>
        <w:ind w:firstLine="567"/>
        <w:rPr>
          <w:rFonts w:ascii="TimesNewRomanPS" w:eastAsia="Times New Roman" w:hAnsi="TimesNewRomanPS"/>
          <w:b/>
          <w:bCs/>
          <w:lang w:val="es-ES_tradnl" w:eastAsia="en-US"/>
        </w:rPr>
      </w:pPr>
      <w:r>
        <w:rPr>
          <w:rFonts w:ascii="TimesNewRomanPS" w:eastAsia="Times New Roman" w:hAnsi="TimesNewRomanPS"/>
          <w:b/>
          <w:bCs/>
          <w:lang w:val="es-ES_tradnl" w:eastAsia="en-US"/>
        </w:rPr>
        <w:t>d)</w:t>
      </w:r>
      <w:r>
        <w:rPr>
          <w:rFonts w:ascii="TimesNewRomanPS" w:eastAsia="Times New Roman" w:hAnsi="TimesNewRomanPS"/>
          <w:b/>
          <w:bCs/>
          <w:lang w:val="es-ES_tradnl" w:eastAsia="en-US"/>
        </w:rPr>
        <w:tab/>
      </w:r>
      <w:r w:rsidR="00204B26">
        <w:rPr>
          <w:rFonts w:ascii="TimesNewRomanPS" w:eastAsia="Times New Roman" w:hAnsi="TimesNewRomanPS"/>
          <w:b/>
          <w:bCs/>
          <w:lang w:val="es-ES_tradnl" w:eastAsia="en-US"/>
        </w:rPr>
        <w:t>L</w:t>
      </w:r>
      <w:r w:rsidR="003D1790">
        <w:rPr>
          <w:rFonts w:ascii="TimesNewRomanPS" w:eastAsia="Times New Roman" w:hAnsi="TimesNewRomanPS"/>
          <w:b/>
          <w:bCs/>
          <w:lang w:val="es-ES_tradnl" w:eastAsia="en-US"/>
        </w:rPr>
        <w:t>leve</w:t>
      </w:r>
      <w:r w:rsidR="00204B26" w:rsidRPr="00BA6A4F">
        <w:rPr>
          <w:rFonts w:ascii="TimesNewRomanPS" w:eastAsia="Times New Roman" w:hAnsi="TimesNewRomanPS"/>
          <w:b/>
          <w:bCs/>
          <w:lang w:val="es-ES_tradnl" w:eastAsia="en-US"/>
        </w:rPr>
        <w:t xml:space="preserve"> a cabo investigaciones exhaustivas sobre todos los casos de violencia de </w:t>
      </w:r>
      <w:r w:rsidR="003D1790" w:rsidRPr="00BA6A4F">
        <w:rPr>
          <w:rFonts w:ascii="TimesNewRomanPS" w:eastAsia="Times New Roman" w:hAnsi="TimesNewRomanPS"/>
          <w:b/>
          <w:bCs/>
          <w:lang w:val="es-ES_tradnl" w:eastAsia="en-US"/>
        </w:rPr>
        <w:t>género</w:t>
      </w:r>
      <w:r w:rsidR="00204B26" w:rsidRPr="00BA6A4F">
        <w:rPr>
          <w:rFonts w:ascii="TimesNewRomanPS" w:eastAsia="Times New Roman" w:hAnsi="TimesNewRomanPS"/>
          <w:b/>
          <w:bCs/>
          <w:lang w:val="es-ES_tradnl" w:eastAsia="en-US"/>
        </w:rPr>
        <w:t>, incluyend</w:t>
      </w:r>
      <w:r w:rsidR="00204B26">
        <w:rPr>
          <w:rFonts w:ascii="TimesNewRomanPS" w:eastAsia="Times New Roman" w:hAnsi="TimesNewRomanPS"/>
          <w:b/>
          <w:bCs/>
          <w:lang w:val="es-ES_tradnl" w:eastAsia="en-US"/>
        </w:rPr>
        <w:t>o violencia sexual</w:t>
      </w:r>
      <w:r w:rsidR="00750C64">
        <w:rPr>
          <w:rFonts w:ascii="TimesNewRomanPS" w:eastAsia="Times New Roman" w:hAnsi="TimesNewRomanPS"/>
          <w:b/>
          <w:bCs/>
          <w:lang w:val="es-ES_tradnl" w:eastAsia="en-US"/>
        </w:rPr>
        <w:t>,</w:t>
      </w:r>
      <w:r w:rsidR="00204B26">
        <w:rPr>
          <w:rFonts w:ascii="TimesNewRomanPS" w:eastAsia="Times New Roman" w:hAnsi="TimesNewRomanPS"/>
          <w:b/>
          <w:bCs/>
          <w:lang w:val="es-ES_tradnl" w:eastAsia="en-US"/>
        </w:rPr>
        <w:t xml:space="preserve"> cometidos </w:t>
      </w:r>
      <w:r w:rsidR="00AC49A8">
        <w:rPr>
          <w:rFonts w:ascii="TimesNewRomanPS" w:eastAsia="Times New Roman" w:hAnsi="TimesNewRomanPS"/>
          <w:b/>
          <w:bCs/>
          <w:lang w:val="es-ES_tradnl" w:eastAsia="en-US"/>
        </w:rPr>
        <w:t xml:space="preserve">en </w:t>
      </w:r>
      <w:r w:rsidR="00204B26" w:rsidRPr="00BA6A4F">
        <w:rPr>
          <w:rFonts w:ascii="TimesNewRomanPS" w:eastAsia="Times New Roman" w:hAnsi="TimesNewRomanPS"/>
          <w:b/>
          <w:bCs/>
          <w:lang w:val="es-ES_tradnl" w:eastAsia="en-US"/>
        </w:rPr>
        <w:t xml:space="preserve">contra </w:t>
      </w:r>
      <w:r w:rsidR="00204B26">
        <w:rPr>
          <w:rFonts w:ascii="TimesNewRomanPS" w:eastAsia="Times New Roman" w:hAnsi="TimesNewRomanPS"/>
          <w:b/>
          <w:bCs/>
          <w:lang w:val="es-ES_tradnl" w:eastAsia="en-US"/>
        </w:rPr>
        <w:t xml:space="preserve">de las mujeres </w:t>
      </w:r>
      <w:r w:rsidR="00204B26">
        <w:rPr>
          <w:rFonts w:ascii="TimesNewRomanPS" w:eastAsia="Times New Roman" w:hAnsi="TimesNewRomanPS" w:hint="eastAsia"/>
          <w:b/>
          <w:bCs/>
          <w:lang w:val="es-ES_tradnl" w:eastAsia="en-US"/>
        </w:rPr>
        <w:t>indígenas</w:t>
      </w:r>
      <w:r w:rsidR="00204B26">
        <w:rPr>
          <w:rFonts w:ascii="TimesNewRomanPS" w:eastAsia="Times New Roman" w:hAnsi="TimesNewRomanPS"/>
          <w:b/>
          <w:bCs/>
          <w:lang w:val="es-ES_tradnl" w:eastAsia="en-US"/>
        </w:rPr>
        <w:t xml:space="preserve"> y </w:t>
      </w:r>
      <w:proofErr w:type="spellStart"/>
      <w:r w:rsidR="00A62B07">
        <w:rPr>
          <w:rFonts w:ascii="TimesNewRomanPS" w:eastAsia="Times New Roman" w:hAnsi="TimesNewRomanPS"/>
          <w:b/>
          <w:bCs/>
          <w:lang w:val="es-ES_tradnl" w:eastAsia="en-US"/>
        </w:rPr>
        <w:t>afromexicanas</w:t>
      </w:r>
      <w:proofErr w:type="spellEnd"/>
      <w:r w:rsidR="00937C1B">
        <w:rPr>
          <w:rFonts w:ascii="TimesNewRomanPS" w:eastAsia="Times New Roman" w:hAnsi="TimesNewRomanPS"/>
          <w:b/>
          <w:bCs/>
          <w:lang w:val="es-ES_tradnl" w:eastAsia="en-US"/>
        </w:rPr>
        <w:t>,</w:t>
      </w:r>
      <w:r w:rsidR="00204B26">
        <w:rPr>
          <w:rFonts w:ascii="TimesNewRomanPS" w:eastAsia="Times New Roman" w:hAnsi="TimesNewRomanPS"/>
          <w:b/>
          <w:bCs/>
          <w:lang w:val="es-ES_tradnl" w:eastAsia="en-US"/>
        </w:rPr>
        <w:t xml:space="preserve"> </w:t>
      </w:r>
      <w:r w:rsidR="00204B26" w:rsidRPr="00BA6A4F">
        <w:rPr>
          <w:rFonts w:ascii="TimesNewRomanPS" w:eastAsia="Times New Roman" w:hAnsi="TimesNewRomanPS"/>
          <w:b/>
          <w:bCs/>
          <w:lang w:val="es-ES_tradnl" w:eastAsia="en-US"/>
        </w:rPr>
        <w:t xml:space="preserve">asegurando que los responsables sean debidamente castigados y garantizando a las </w:t>
      </w:r>
      <w:r w:rsidR="003D1790" w:rsidRPr="00BA6A4F">
        <w:rPr>
          <w:rFonts w:ascii="TimesNewRomanPS" w:eastAsia="Times New Roman" w:hAnsi="TimesNewRomanPS"/>
          <w:b/>
          <w:bCs/>
          <w:lang w:val="es-ES_tradnl" w:eastAsia="en-US"/>
        </w:rPr>
        <w:t>víctimas</w:t>
      </w:r>
      <w:r w:rsidR="00204B26" w:rsidRPr="00BA6A4F">
        <w:rPr>
          <w:rFonts w:ascii="TimesNewRomanPS" w:eastAsia="Times New Roman" w:hAnsi="TimesNewRomanPS"/>
          <w:b/>
          <w:bCs/>
          <w:lang w:val="es-ES_tradnl" w:eastAsia="en-US"/>
        </w:rPr>
        <w:t xml:space="preserve"> el acceso a la justicia y a mecanismos de </w:t>
      </w:r>
      <w:r w:rsidR="003D1790" w:rsidRPr="00BA6A4F">
        <w:rPr>
          <w:rFonts w:ascii="TimesNewRomanPS" w:eastAsia="Times New Roman" w:hAnsi="TimesNewRomanPS"/>
          <w:b/>
          <w:bCs/>
          <w:lang w:val="es-ES_tradnl" w:eastAsia="en-US"/>
        </w:rPr>
        <w:t>protección</w:t>
      </w:r>
      <w:r w:rsidR="00204B26" w:rsidRPr="00BA6A4F">
        <w:rPr>
          <w:rFonts w:ascii="TimesNewRomanPS" w:eastAsia="Times New Roman" w:hAnsi="TimesNewRomanPS"/>
          <w:b/>
          <w:bCs/>
          <w:lang w:val="es-ES_tradnl" w:eastAsia="en-US"/>
        </w:rPr>
        <w:t xml:space="preserve"> efectivos y culturalmente adecuados</w:t>
      </w:r>
      <w:r w:rsidR="00DD1287">
        <w:rPr>
          <w:rFonts w:ascii="TimesNewRomanPS" w:eastAsia="Times New Roman" w:hAnsi="TimesNewRomanPS"/>
          <w:b/>
          <w:bCs/>
          <w:lang w:val="es-ES_tradnl" w:eastAsia="en-US"/>
        </w:rPr>
        <w:t>;</w:t>
      </w:r>
    </w:p>
    <w:p w14:paraId="525C6A92" w14:textId="7CA82823" w:rsidR="00FD0E77" w:rsidRPr="00060CD0" w:rsidRDefault="006560D5" w:rsidP="00584DFD">
      <w:pPr>
        <w:pStyle w:val="SingleTxtG"/>
        <w:ind w:firstLine="567"/>
        <w:rPr>
          <w:rFonts w:eastAsia="Times New Roman"/>
          <w:lang w:val="es-ES_tradnl" w:eastAsia="en-US"/>
        </w:rPr>
      </w:pPr>
      <w:r w:rsidRPr="00060CD0">
        <w:rPr>
          <w:rFonts w:eastAsia="Times New Roman"/>
          <w:b/>
          <w:lang w:val="es-ES_tradnl" w:eastAsia="en-US"/>
        </w:rPr>
        <w:t>e)</w:t>
      </w:r>
      <w:r w:rsidRPr="00060CD0">
        <w:rPr>
          <w:rFonts w:eastAsia="Times New Roman"/>
          <w:b/>
          <w:lang w:val="es-ES_tradnl" w:eastAsia="en-US"/>
        </w:rPr>
        <w:tab/>
      </w:r>
      <w:r w:rsidR="00475BB7">
        <w:rPr>
          <w:rFonts w:ascii="TimesNewRomanPS" w:eastAsia="Times New Roman" w:hAnsi="TimesNewRomanPS"/>
          <w:b/>
          <w:bCs/>
          <w:lang w:val="es-ES_tradnl" w:eastAsia="en-US"/>
        </w:rPr>
        <w:t>Continúe sus esfuerzos por</w:t>
      </w:r>
      <w:r w:rsidR="00FD0E77" w:rsidRPr="00BA6A4F">
        <w:rPr>
          <w:rFonts w:ascii="TimesNewRomanPS" w:eastAsia="Times New Roman" w:hAnsi="TimesNewRomanPS"/>
          <w:b/>
          <w:bCs/>
          <w:lang w:val="es-ES_tradnl" w:eastAsia="en-US"/>
        </w:rPr>
        <w:t xml:space="preserve"> el reconocimiento</w:t>
      </w:r>
      <w:r w:rsidR="00475BB7">
        <w:rPr>
          <w:rFonts w:ascii="TimesNewRomanPS" w:eastAsia="Times New Roman" w:hAnsi="TimesNewRomanPS"/>
          <w:b/>
          <w:bCs/>
          <w:lang w:val="es-ES_tradnl" w:eastAsia="en-US"/>
        </w:rPr>
        <w:t xml:space="preserve">, </w:t>
      </w:r>
      <w:r w:rsidR="00FD0E77" w:rsidRPr="00BA6A4F">
        <w:rPr>
          <w:rFonts w:ascii="TimesNewRomanPS" w:eastAsia="Times New Roman" w:hAnsi="TimesNewRomanPS"/>
          <w:b/>
          <w:bCs/>
          <w:lang w:val="es-ES_tradnl" w:eastAsia="en-US"/>
        </w:rPr>
        <w:t>respeto</w:t>
      </w:r>
      <w:r w:rsidR="00475BB7">
        <w:rPr>
          <w:rFonts w:ascii="TimesNewRomanPS" w:eastAsia="Times New Roman" w:hAnsi="TimesNewRomanPS"/>
          <w:b/>
          <w:bCs/>
          <w:lang w:val="es-ES_tradnl" w:eastAsia="en-US"/>
        </w:rPr>
        <w:t xml:space="preserve"> y fortalecimiento</w:t>
      </w:r>
      <w:r w:rsidR="00FD0E77" w:rsidRPr="00BA6A4F">
        <w:rPr>
          <w:rFonts w:ascii="TimesNewRomanPS" w:eastAsia="Times New Roman" w:hAnsi="TimesNewRomanPS"/>
          <w:b/>
          <w:bCs/>
          <w:lang w:val="es-ES_tradnl" w:eastAsia="en-US"/>
        </w:rPr>
        <w:t xml:space="preserve"> del sistema de justicia </w:t>
      </w:r>
      <w:r w:rsidR="003D1790" w:rsidRPr="00BA6A4F">
        <w:rPr>
          <w:rFonts w:ascii="TimesNewRomanPS" w:eastAsia="Times New Roman" w:hAnsi="TimesNewRomanPS"/>
          <w:b/>
          <w:bCs/>
          <w:lang w:val="es-ES_tradnl" w:eastAsia="en-US"/>
        </w:rPr>
        <w:t>indígena</w:t>
      </w:r>
      <w:r w:rsidR="00FD0E77" w:rsidRPr="00BA6A4F">
        <w:rPr>
          <w:rFonts w:ascii="TimesNewRomanPS" w:eastAsia="Times New Roman" w:hAnsi="TimesNewRomanPS"/>
          <w:b/>
          <w:bCs/>
          <w:lang w:val="es-ES_tradnl" w:eastAsia="en-US"/>
        </w:rPr>
        <w:t xml:space="preserve"> de conformidad con la normativa </w:t>
      </w:r>
      <w:r w:rsidR="00FD0E77" w:rsidRPr="00BA6A4F">
        <w:rPr>
          <w:b/>
          <w:bCs/>
          <w:noProof/>
          <w:lang w:val="es-ES_tradnl"/>
        </w:rPr>
        <w:t>internacional</w:t>
      </w:r>
      <w:r w:rsidR="00FD0E77" w:rsidRPr="00BA6A4F">
        <w:rPr>
          <w:rFonts w:ascii="TimesNewRomanPS" w:eastAsia="Times New Roman" w:hAnsi="TimesNewRomanPS"/>
          <w:b/>
          <w:bCs/>
          <w:lang w:val="es-ES_tradnl" w:eastAsia="en-US"/>
        </w:rPr>
        <w:t xml:space="preserve"> de los derechos humanos, </w:t>
      </w:r>
      <w:r w:rsidR="004341F4">
        <w:rPr>
          <w:rFonts w:ascii="TimesNewRomanPS" w:eastAsia="Times New Roman" w:hAnsi="TimesNewRomanPS"/>
          <w:b/>
          <w:bCs/>
          <w:lang w:val="es-ES_tradnl" w:eastAsia="en-US"/>
        </w:rPr>
        <w:t xml:space="preserve">entre otros mediante la </w:t>
      </w:r>
      <w:r w:rsidR="004341F4">
        <w:rPr>
          <w:rFonts w:ascii="TimesNewRomanPS" w:eastAsia="Times New Roman" w:hAnsi="TimesNewRomanPS" w:hint="eastAsia"/>
          <w:b/>
          <w:bCs/>
          <w:lang w:val="es-ES_tradnl" w:eastAsia="en-US"/>
        </w:rPr>
        <w:t>armonización</w:t>
      </w:r>
      <w:r w:rsidR="00060CD0">
        <w:rPr>
          <w:rFonts w:ascii="TimesNewRomanPS" w:eastAsia="Times New Roman" w:hAnsi="TimesNewRomanPS"/>
          <w:b/>
          <w:bCs/>
          <w:lang w:val="es-ES_tradnl" w:eastAsia="en-US"/>
        </w:rPr>
        <w:t xml:space="preserve">, </w:t>
      </w:r>
      <w:r w:rsidR="00404EB7" w:rsidRPr="00BA6A4F">
        <w:rPr>
          <w:rFonts w:ascii="TimesNewRomanPS" w:eastAsia="Times New Roman" w:hAnsi="TimesNewRomanPS"/>
          <w:b/>
          <w:bCs/>
          <w:lang w:val="es-ES_tradnl" w:eastAsia="en-US"/>
        </w:rPr>
        <w:t>cooperación</w:t>
      </w:r>
      <w:r w:rsidR="00FD0E77" w:rsidRPr="00BA6A4F">
        <w:rPr>
          <w:rFonts w:ascii="TimesNewRomanPS" w:eastAsia="Times New Roman" w:hAnsi="TimesNewRomanPS"/>
          <w:b/>
          <w:bCs/>
          <w:lang w:val="es-ES_tradnl" w:eastAsia="en-US"/>
        </w:rPr>
        <w:t xml:space="preserve"> y </w:t>
      </w:r>
      <w:r w:rsidR="003D1790" w:rsidRPr="00BA6A4F">
        <w:rPr>
          <w:rFonts w:ascii="TimesNewRomanPS" w:eastAsia="Times New Roman" w:hAnsi="TimesNewRomanPS"/>
          <w:b/>
          <w:bCs/>
          <w:lang w:val="es-ES_tradnl" w:eastAsia="en-US"/>
        </w:rPr>
        <w:t>coordinación</w:t>
      </w:r>
      <w:r w:rsidR="00FD0E77" w:rsidRPr="00BA6A4F">
        <w:rPr>
          <w:rFonts w:ascii="TimesNewRomanPS" w:eastAsia="Times New Roman" w:hAnsi="TimesNewRomanPS"/>
          <w:b/>
          <w:bCs/>
          <w:lang w:val="es-ES_tradnl" w:eastAsia="en-US"/>
        </w:rPr>
        <w:t xml:space="preserve"> entre las autoridades del sistema de justicia ordinaria y de la </w:t>
      </w:r>
      <w:r w:rsidR="003D1790" w:rsidRPr="00BA6A4F">
        <w:rPr>
          <w:rFonts w:ascii="TimesNewRomanPS" w:eastAsia="Times New Roman" w:hAnsi="TimesNewRomanPS"/>
          <w:b/>
          <w:bCs/>
          <w:lang w:val="es-ES_tradnl" w:eastAsia="en-US"/>
        </w:rPr>
        <w:t>jurisdicción</w:t>
      </w:r>
      <w:r w:rsidR="00FD0E77" w:rsidRPr="00BA6A4F">
        <w:rPr>
          <w:rFonts w:ascii="TimesNewRomanPS" w:eastAsia="Times New Roman" w:hAnsi="TimesNewRomanPS"/>
          <w:b/>
          <w:bCs/>
          <w:lang w:val="es-ES_tradnl" w:eastAsia="en-US"/>
        </w:rPr>
        <w:t xml:space="preserve"> </w:t>
      </w:r>
      <w:r w:rsidR="003D1790" w:rsidRPr="00BA6A4F">
        <w:rPr>
          <w:rFonts w:ascii="TimesNewRomanPS" w:eastAsia="Times New Roman" w:hAnsi="TimesNewRomanPS"/>
          <w:b/>
          <w:bCs/>
          <w:lang w:val="es-ES_tradnl" w:eastAsia="en-US"/>
        </w:rPr>
        <w:t>indígena</w:t>
      </w:r>
      <w:r w:rsidR="00060CD0">
        <w:rPr>
          <w:rFonts w:ascii="TimesNewRomanPS" w:eastAsia="Times New Roman" w:hAnsi="TimesNewRomanPS"/>
          <w:b/>
          <w:bCs/>
          <w:lang w:val="es-ES_tradnl" w:eastAsia="en-US"/>
        </w:rPr>
        <w:t>, tanto</w:t>
      </w:r>
      <w:r w:rsidR="00060CD0" w:rsidRPr="00060CD0">
        <w:rPr>
          <w:rFonts w:ascii="TimesNewRomanPS" w:eastAsia="Times New Roman" w:hAnsi="TimesNewRomanPS"/>
          <w:b/>
          <w:bCs/>
          <w:lang w:val="es-ES_tradnl" w:eastAsia="en-US"/>
        </w:rPr>
        <w:t xml:space="preserve"> </w:t>
      </w:r>
      <w:r w:rsidR="00060CD0">
        <w:rPr>
          <w:rFonts w:ascii="TimesNewRomanPS" w:eastAsia="Times New Roman" w:hAnsi="TimesNewRomanPS"/>
          <w:b/>
          <w:bCs/>
          <w:lang w:val="es-ES_tradnl" w:eastAsia="en-US"/>
        </w:rPr>
        <w:t xml:space="preserve">a nivel local como federal, </w:t>
      </w:r>
      <w:r w:rsidR="00475BB7">
        <w:rPr>
          <w:rFonts w:ascii="TimesNewRomanPS" w:eastAsia="Times New Roman" w:hAnsi="TimesNewRomanPS"/>
          <w:b/>
          <w:bCs/>
          <w:lang w:val="es-ES_tradnl" w:eastAsia="en-US"/>
        </w:rPr>
        <w:t>incluso</w:t>
      </w:r>
      <w:r w:rsidR="00060CD0">
        <w:rPr>
          <w:rFonts w:ascii="TimesNewRomanPS" w:eastAsia="Times New Roman" w:hAnsi="TimesNewRomanPS"/>
          <w:b/>
          <w:bCs/>
          <w:lang w:val="es-ES_tradnl" w:eastAsia="en-US"/>
        </w:rPr>
        <w:t xml:space="preserve"> en lo que respecta al acceso a la justicia por parte de las mujeres </w:t>
      </w:r>
      <w:r w:rsidR="00060CD0">
        <w:rPr>
          <w:rFonts w:ascii="TimesNewRomanPS" w:eastAsia="Times New Roman" w:hAnsi="TimesNewRomanPS" w:hint="eastAsia"/>
          <w:b/>
          <w:bCs/>
          <w:lang w:val="es-ES_tradnl" w:eastAsia="en-US"/>
        </w:rPr>
        <w:t>indígenas</w:t>
      </w:r>
      <w:r w:rsidR="00060CD0">
        <w:rPr>
          <w:rFonts w:ascii="TimesNewRomanPS" w:eastAsia="Times New Roman" w:hAnsi="TimesNewRomanPS"/>
          <w:b/>
          <w:bCs/>
          <w:lang w:val="es-ES_tradnl" w:eastAsia="en-US"/>
        </w:rPr>
        <w:t xml:space="preserve"> que sufren violencia de género. </w:t>
      </w:r>
    </w:p>
    <w:p w14:paraId="47D2FD03" w14:textId="6F805A95" w:rsidR="00DA45E9" w:rsidRDefault="00D1018D" w:rsidP="00D1018D">
      <w:pPr>
        <w:pStyle w:val="H23G"/>
        <w:rPr>
          <w:lang w:val="es-ES_tradnl"/>
        </w:rPr>
      </w:pPr>
      <w:r>
        <w:rPr>
          <w:lang w:val="es-ES_tradnl"/>
        </w:rPr>
        <w:lastRenderedPageBreak/>
        <w:tab/>
      </w:r>
      <w:r>
        <w:rPr>
          <w:lang w:val="es-ES_tradnl"/>
        </w:rPr>
        <w:tab/>
      </w:r>
      <w:r w:rsidR="002624BB" w:rsidRPr="00BA6A4F">
        <w:rPr>
          <w:lang w:val="es-ES_tradnl"/>
        </w:rPr>
        <w:t xml:space="preserve">Libertad de expresión </w:t>
      </w:r>
    </w:p>
    <w:p w14:paraId="1062ADB4" w14:textId="22D00BDF" w:rsidR="001D448E" w:rsidRDefault="006560D5" w:rsidP="00584DFD">
      <w:pPr>
        <w:pStyle w:val="SingleTxtG"/>
        <w:rPr>
          <w:lang w:val="es-ES_tradnl"/>
        </w:rPr>
      </w:pPr>
      <w:r>
        <w:rPr>
          <w:lang w:val="es-ES_tradnl"/>
        </w:rPr>
        <w:t>28.</w:t>
      </w:r>
      <w:r>
        <w:rPr>
          <w:lang w:val="es-ES_tradnl"/>
        </w:rPr>
        <w:tab/>
      </w:r>
      <w:r w:rsidR="00851AB5">
        <w:rPr>
          <w:lang w:val="es-ES_tradnl"/>
        </w:rPr>
        <w:t>P</w:t>
      </w:r>
      <w:r w:rsidR="00DA45E9">
        <w:rPr>
          <w:lang w:val="es-ES_tradnl"/>
        </w:rPr>
        <w:t xml:space="preserve">reocupa </w:t>
      </w:r>
      <w:r w:rsidR="00475BB7">
        <w:rPr>
          <w:lang w:val="es-ES_tradnl"/>
        </w:rPr>
        <w:t xml:space="preserve">seriamente al Comité la información que da </w:t>
      </w:r>
      <w:r w:rsidR="00E37537">
        <w:rPr>
          <w:lang w:val="es-ES_tradnl"/>
        </w:rPr>
        <w:t xml:space="preserve">cuenta </w:t>
      </w:r>
      <w:r w:rsidR="00475BB7">
        <w:rPr>
          <w:lang w:val="es-ES_tradnl"/>
        </w:rPr>
        <w:t xml:space="preserve">de ataques contra la vida cometidos en contra </w:t>
      </w:r>
      <w:r w:rsidR="00675DF6">
        <w:rPr>
          <w:lang w:val="es-ES_tradnl"/>
        </w:rPr>
        <w:t xml:space="preserve">de </w:t>
      </w:r>
      <w:r w:rsidR="007B17B6">
        <w:rPr>
          <w:lang w:val="es-ES_tradnl"/>
        </w:rPr>
        <w:t xml:space="preserve">periodistas y </w:t>
      </w:r>
      <w:r w:rsidR="00475BB7">
        <w:rPr>
          <w:lang w:val="es-ES_tradnl"/>
        </w:rPr>
        <w:t xml:space="preserve">comunicadores comunitarios que denuncian violaciones a los derechos </w:t>
      </w:r>
      <w:r w:rsidR="007B17B6">
        <w:rPr>
          <w:lang w:val="es-ES_tradnl"/>
        </w:rPr>
        <w:t xml:space="preserve">humanos, en especial </w:t>
      </w:r>
      <w:r w:rsidR="00475BB7">
        <w:rPr>
          <w:lang w:val="es-ES_tradnl"/>
        </w:rPr>
        <w:t xml:space="preserve">de los pueblos indígenas y sus territorios. </w:t>
      </w:r>
      <w:r w:rsidR="007B17B6">
        <w:rPr>
          <w:lang w:val="es-ES_tradnl"/>
        </w:rPr>
        <w:t xml:space="preserve">Según </w:t>
      </w:r>
      <w:r w:rsidR="00B21076">
        <w:rPr>
          <w:lang w:val="es-ES_tradnl"/>
        </w:rPr>
        <w:t>informes</w:t>
      </w:r>
      <w:r w:rsidR="007B17B6">
        <w:rPr>
          <w:lang w:val="es-ES_tradnl"/>
        </w:rPr>
        <w:t>, los ataques contra periodistas han aumentado más de 163</w:t>
      </w:r>
      <w:r w:rsidR="00937C1B">
        <w:rPr>
          <w:lang w:val="es-ES_tradnl"/>
        </w:rPr>
        <w:t xml:space="preserve"> </w:t>
      </w:r>
      <w:r w:rsidR="007B17B6">
        <w:rPr>
          <w:lang w:val="es-ES_tradnl"/>
        </w:rPr>
        <w:t>% entre 2010</w:t>
      </w:r>
      <w:r w:rsidR="00937C1B">
        <w:rPr>
          <w:lang w:val="es-ES_tradnl"/>
        </w:rPr>
        <w:t xml:space="preserve"> y </w:t>
      </w:r>
      <w:r w:rsidR="007B17B6">
        <w:rPr>
          <w:lang w:val="es-ES_tradnl"/>
        </w:rPr>
        <w:t xml:space="preserve">2016. </w:t>
      </w:r>
      <w:r w:rsidR="00475BB7">
        <w:rPr>
          <w:lang w:val="es-ES_tradnl"/>
        </w:rPr>
        <w:t>También le preocupa</w:t>
      </w:r>
      <w:r w:rsidR="00675DF6">
        <w:rPr>
          <w:lang w:val="es-ES_tradnl"/>
        </w:rPr>
        <w:t>n</w:t>
      </w:r>
      <w:r w:rsidR="00475BB7">
        <w:rPr>
          <w:lang w:val="es-ES_tradnl"/>
        </w:rPr>
        <w:t xml:space="preserve"> </w:t>
      </w:r>
      <w:r w:rsidR="00F763AD" w:rsidRPr="0080130D">
        <w:rPr>
          <w:lang w:val="es-419"/>
        </w:rPr>
        <w:t>las dificultades</w:t>
      </w:r>
      <w:r w:rsidR="00F763AD">
        <w:rPr>
          <w:lang w:val="es-419"/>
        </w:rPr>
        <w:t xml:space="preserve"> administrativas</w:t>
      </w:r>
      <w:r w:rsidR="00F763AD" w:rsidRPr="0080130D">
        <w:rPr>
          <w:lang w:val="es-419"/>
        </w:rPr>
        <w:t xml:space="preserve"> para</w:t>
      </w:r>
      <w:r w:rsidR="00F763AD">
        <w:rPr>
          <w:lang w:val="es-419"/>
        </w:rPr>
        <w:t xml:space="preserve"> el</w:t>
      </w:r>
      <w:r w:rsidR="00F763AD" w:rsidRPr="0080130D">
        <w:rPr>
          <w:lang w:val="es-419"/>
        </w:rPr>
        <w:t xml:space="preserve"> registr</w:t>
      </w:r>
      <w:r w:rsidR="00F763AD">
        <w:rPr>
          <w:lang w:val="es-419"/>
        </w:rPr>
        <w:t>o de</w:t>
      </w:r>
      <w:r w:rsidR="00F763AD" w:rsidRPr="0080130D">
        <w:rPr>
          <w:lang w:val="es-419"/>
        </w:rPr>
        <w:t xml:space="preserve"> las radios comunitaria</w:t>
      </w:r>
      <w:r w:rsidR="00F763AD">
        <w:rPr>
          <w:lang w:val="es-419"/>
        </w:rPr>
        <w:t>s</w:t>
      </w:r>
      <w:r w:rsidR="00851AB5">
        <w:rPr>
          <w:lang w:val="es-ES_tradnl"/>
        </w:rPr>
        <w:t xml:space="preserve">, incluyendo radios comunitarias indígenas </w:t>
      </w:r>
      <w:r w:rsidR="00675DF6">
        <w:rPr>
          <w:lang w:val="es-ES_tradnl"/>
        </w:rPr>
        <w:t xml:space="preserve">y el apoyo presupuestario limitado destinado a su funcionamiento </w:t>
      </w:r>
      <w:r w:rsidR="00DA45E9">
        <w:rPr>
          <w:lang w:val="es-ES_tradnl"/>
        </w:rPr>
        <w:t>(art</w:t>
      </w:r>
      <w:r w:rsidR="00D30E56">
        <w:rPr>
          <w:lang w:val="es-ES_tradnl"/>
        </w:rPr>
        <w:t>s</w:t>
      </w:r>
      <w:r w:rsidR="00DA45E9">
        <w:rPr>
          <w:lang w:val="es-ES_tradnl"/>
        </w:rPr>
        <w:t>. 2 y 5)</w:t>
      </w:r>
      <w:r w:rsidR="00452699" w:rsidRPr="00BA6A4F">
        <w:rPr>
          <w:lang w:val="es-ES_tradnl"/>
        </w:rPr>
        <w:t xml:space="preserve">. </w:t>
      </w:r>
    </w:p>
    <w:p w14:paraId="00EB02AA" w14:textId="22642BA7" w:rsidR="00DA45E9" w:rsidRPr="00CC0BAD" w:rsidRDefault="006560D5" w:rsidP="00584DFD">
      <w:pPr>
        <w:pStyle w:val="SingleTxtG"/>
        <w:rPr>
          <w:b/>
          <w:lang w:val="es-ES_tradnl"/>
        </w:rPr>
      </w:pPr>
      <w:r w:rsidRPr="00CC0BAD">
        <w:rPr>
          <w:lang w:val="es-ES_tradnl"/>
        </w:rPr>
        <w:t>29.</w:t>
      </w:r>
      <w:r w:rsidRPr="00CC0BAD">
        <w:rPr>
          <w:lang w:val="es-ES_tradnl"/>
        </w:rPr>
        <w:tab/>
      </w:r>
      <w:r w:rsidR="00475BB7" w:rsidRPr="00CC0BAD">
        <w:rPr>
          <w:b/>
          <w:lang w:val="es-ES_tradnl"/>
        </w:rPr>
        <w:t xml:space="preserve">El Comité insta al Estado parte a llevar a cabo investigaciones exhaustivas de todo ataque contra la vida, actos de hostigamiento y acoso en contra de los </w:t>
      </w:r>
      <w:r w:rsidR="007B17B6">
        <w:rPr>
          <w:b/>
          <w:lang w:val="es-ES_tradnl"/>
        </w:rPr>
        <w:t>periodistas</w:t>
      </w:r>
      <w:r w:rsidR="00A93CBD">
        <w:rPr>
          <w:b/>
          <w:lang w:val="es-ES_tradnl"/>
        </w:rPr>
        <w:t xml:space="preserve"> en general y</w:t>
      </w:r>
      <w:r w:rsidR="007B17B6">
        <w:rPr>
          <w:b/>
          <w:lang w:val="es-ES_tradnl"/>
        </w:rPr>
        <w:t xml:space="preserve"> los </w:t>
      </w:r>
      <w:r w:rsidR="00475BB7" w:rsidRPr="00CC0BAD">
        <w:rPr>
          <w:b/>
          <w:lang w:val="es-ES_tradnl"/>
        </w:rPr>
        <w:t>comunicadores</w:t>
      </w:r>
      <w:r w:rsidR="00475BB7">
        <w:rPr>
          <w:b/>
          <w:lang w:val="es-ES_tradnl"/>
        </w:rPr>
        <w:t xml:space="preserve"> y periodistas</w:t>
      </w:r>
      <w:r w:rsidR="00475BB7" w:rsidRPr="00CC0BAD">
        <w:rPr>
          <w:b/>
          <w:lang w:val="es-ES_tradnl"/>
        </w:rPr>
        <w:t xml:space="preserve"> comunitarios</w:t>
      </w:r>
      <w:r w:rsidR="00A93CBD">
        <w:rPr>
          <w:b/>
          <w:lang w:val="es-ES_tradnl"/>
        </w:rPr>
        <w:t>, en particular los</w:t>
      </w:r>
      <w:r w:rsidR="00475BB7">
        <w:rPr>
          <w:b/>
          <w:lang w:val="es-ES_tradnl"/>
        </w:rPr>
        <w:t xml:space="preserve"> que defienden los derechos de pueblos indígenas, </w:t>
      </w:r>
      <w:r w:rsidR="009D0EAF">
        <w:rPr>
          <w:b/>
          <w:lang w:val="es-ES_tradnl"/>
        </w:rPr>
        <w:t xml:space="preserve">y </w:t>
      </w:r>
      <w:r w:rsidR="00475BB7">
        <w:rPr>
          <w:b/>
          <w:lang w:val="es-ES_tradnl"/>
        </w:rPr>
        <w:t>enjuiciar y sancionar debidamente a los responsables</w:t>
      </w:r>
      <w:r w:rsidR="00475BB7" w:rsidRPr="00CC0BAD">
        <w:rPr>
          <w:b/>
          <w:lang w:val="es-ES_tradnl"/>
        </w:rPr>
        <w:t xml:space="preserve">. </w:t>
      </w:r>
      <w:r w:rsidR="00DA45E9" w:rsidRPr="00CC0BAD">
        <w:rPr>
          <w:b/>
          <w:lang w:val="es-ES_tradnl"/>
        </w:rPr>
        <w:t xml:space="preserve">El Comité recomienda al Estado parte tomar las medidas necesarias para </w:t>
      </w:r>
      <w:r w:rsidR="00675DF6">
        <w:rPr>
          <w:b/>
          <w:lang w:val="es-ES_tradnl"/>
        </w:rPr>
        <w:t xml:space="preserve">facilitar el trámite de registro de las radios comunitarias indígenas y para </w:t>
      </w:r>
      <w:r w:rsidR="00DA45E9" w:rsidRPr="00CC0BAD">
        <w:rPr>
          <w:b/>
          <w:lang w:val="es-ES_tradnl"/>
        </w:rPr>
        <w:t xml:space="preserve">asegurar el cumplimiento de la Ley Federal de Telecomunicaciones y Transmisión a fin de </w:t>
      </w:r>
      <w:r w:rsidR="000A1CA7">
        <w:rPr>
          <w:b/>
          <w:lang w:val="es-ES_tradnl"/>
        </w:rPr>
        <w:t>que las radios comunitarias indígenas cuenten con el apoyo financiero</w:t>
      </w:r>
      <w:r w:rsidR="00DA45E9" w:rsidRPr="00CC0BAD">
        <w:rPr>
          <w:b/>
          <w:lang w:val="es-ES_tradnl"/>
        </w:rPr>
        <w:t xml:space="preserve"> </w:t>
      </w:r>
      <w:r w:rsidR="000A1CA7">
        <w:rPr>
          <w:b/>
          <w:lang w:val="es-ES_tradnl"/>
        </w:rPr>
        <w:t>necesario para su</w:t>
      </w:r>
      <w:r w:rsidR="00DA45E9" w:rsidRPr="00CC0BAD">
        <w:rPr>
          <w:b/>
          <w:lang w:val="es-ES_tradnl"/>
        </w:rPr>
        <w:t xml:space="preserve"> funcionamiento </w:t>
      </w:r>
      <w:r w:rsidR="00475BB7">
        <w:rPr>
          <w:b/>
          <w:lang w:val="es-ES_tradnl"/>
        </w:rPr>
        <w:t>adecuado en virtud</w:t>
      </w:r>
      <w:r w:rsidR="000A1CA7">
        <w:rPr>
          <w:b/>
          <w:lang w:val="es-ES_tradnl"/>
        </w:rPr>
        <w:t xml:space="preserve"> del papel</w:t>
      </w:r>
      <w:r w:rsidR="00DA45E9" w:rsidRPr="00CC0BAD">
        <w:rPr>
          <w:b/>
          <w:lang w:val="es-ES_tradnl"/>
        </w:rPr>
        <w:t xml:space="preserve"> fundamental </w:t>
      </w:r>
      <w:r w:rsidR="000A1CA7">
        <w:rPr>
          <w:b/>
          <w:lang w:val="es-ES_tradnl"/>
        </w:rPr>
        <w:t xml:space="preserve">que juegan </w:t>
      </w:r>
      <w:r w:rsidR="00DA45E9" w:rsidRPr="00CC0BAD">
        <w:rPr>
          <w:b/>
          <w:lang w:val="es-ES_tradnl"/>
        </w:rPr>
        <w:t xml:space="preserve">en la transmisión del conocimiento, cultura y tradiciones indígenas. </w:t>
      </w:r>
    </w:p>
    <w:p w14:paraId="5A37824A" w14:textId="4EA9AC0A" w:rsidR="007D6DE5" w:rsidRPr="00BA6A4F" w:rsidRDefault="0000165D" w:rsidP="0000165D">
      <w:pPr>
        <w:pStyle w:val="H23G"/>
        <w:rPr>
          <w:lang w:val="es-ES_tradnl" w:eastAsia="en-US"/>
        </w:rPr>
      </w:pPr>
      <w:r>
        <w:rPr>
          <w:lang w:val="es-ES_tradnl" w:eastAsia="en-US"/>
        </w:rPr>
        <w:tab/>
      </w:r>
      <w:r>
        <w:rPr>
          <w:lang w:val="es-ES_tradnl" w:eastAsia="en-US"/>
        </w:rPr>
        <w:tab/>
      </w:r>
      <w:r w:rsidR="00675DF6">
        <w:rPr>
          <w:lang w:val="es-ES_tradnl" w:eastAsia="en-US"/>
        </w:rPr>
        <w:t>Personas d</w:t>
      </w:r>
      <w:r w:rsidR="007D6DE5" w:rsidRPr="00BA6A4F">
        <w:rPr>
          <w:lang w:val="es-ES_tradnl" w:eastAsia="en-US"/>
        </w:rPr>
        <w:t>efensor</w:t>
      </w:r>
      <w:r w:rsidR="00675DF6">
        <w:rPr>
          <w:lang w:val="es-ES_tradnl" w:eastAsia="en-US"/>
        </w:rPr>
        <w:t>a</w:t>
      </w:r>
      <w:r w:rsidR="007D6DE5" w:rsidRPr="00BA6A4F">
        <w:rPr>
          <w:lang w:val="es-ES_tradnl" w:eastAsia="en-US"/>
        </w:rPr>
        <w:t xml:space="preserve">s de derechos humanos </w:t>
      </w:r>
    </w:p>
    <w:p w14:paraId="1E8E47A6" w14:textId="51B546D3" w:rsidR="007D6DE5" w:rsidRPr="00BA6A4F" w:rsidRDefault="006560D5" w:rsidP="00584DFD">
      <w:pPr>
        <w:pStyle w:val="SingleTxtG"/>
        <w:rPr>
          <w:rFonts w:eastAsia="Times New Roman"/>
          <w:lang w:val="es-ES_tradnl" w:eastAsia="en-US"/>
        </w:rPr>
      </w:pPr>
      <w:r w:rsidRPr="00BA6A4F">
        <w:rPr>
          <w:rFonts w:eastAsia="Times New Roman"/>
          <w:lang w:val="es-ES_tradnl" w:eastAsia="en-US"/>
        </w:rPr>
        <w:t>30.</w:t>
      </w:r>
      <w:r w:rsidRPr="00BA6A4F">
        <w:rPr>
          <w:rFonts w:eastAsia="Times New Roman"/>
          <w:lang w:val="es-ES_tradnl" w:eastAsia="en-US"/>
        </w:rPr>
        <w:tab/>
      </w:r>
      <w:r w:rsidR="007D6DE5">
        <w:rPr>
          <w:rFonts w:eastAsia="Times New Roman"/>
          <w:lang w:val="es-ES_tradnl" w:eastAsia="en-US"/>
        </w:rPr>
        <w:t xml:space="preserve">Preocupa seriamente al Comité que </w:t>
      </w:r>
      <w:r w:rsidR="007D6DE5" w:rsidRPr="00BA6A4F">
        <w:rPr>
          <w:rFonts w:eastAsia="Times New Roman"/>
          <w:lang w:val="es-ES_tradnl" w:eastAsia="en-US"/>
        </w:rPr>
        <w:t>defensores y defensoras de derechos humanos, incluyendo líderes y defensores de los derechos de pueblos indígenas</w:t>
      </w:r>
      <w:r w:rsidR="007D6DE5">
        <w:rPr>
          <w:rFonts w:eastAsia="Times New Roman"/>
          <w:lang w:val="es-ES_tradnl" w:eastAsia="en-US"/>
        </w:rPr>
        <w:t>,</w:t>
      </w:r>
      <w:r w:rsidR="007D6DE5" w:rsidRPr="00BA6A4F">
        <w:rPr>
          <w:rFonts w:eastAsia="Times New Roman"/>
          <w:lang w:val="es-ES_tradnl" w:eastAsia="en-US"/>
        </w:rPr>
        <w:t xml:space="preserve"> de </w:t>
      </w:r>
      <w:proofErr w:type="spellStart"/>
      <w:r w:rsidR="007D6DE5">
        <w:rPr>
          <w:rFonts w:eastAsia="Times New Roman"/>
          <w:lang w:val="es-ES_tradnl" w:eastAsia="en-US"/>
        </w:rPr>
        <w:t>afromexicano</w:t>
      </w:r>
      <w:r w:rsidR="007D6DE5" w:rsidRPr="00BA6A4F">
        <w:rPr>
          <w:rFonts w:eastAsia="Times New Roman"/>
          <w:lang w:val="es-ES_tradnl" w:eastAsia="en-US"/>
        </w:rPr>
        <w:t>s</w:t>
      </w:r>
      <w:proofErr w:type="spellEnd"/>
      <w:r w:rsidR="007D6DE5">
        <w:rPr>
          <w:rFonts w:eastAsia="Times New Roman"/>
          <w:lang w:val="es-ES_tradnl" w:eastAsia="en-US"/>
        </w:rPr>
        <w:t xml:space="preserve"> y migrantes</w:t>
      </w:r>
      <w:r w:rsidR="007D6DE5" w:rsidRPr="00BA6A4F">
        <w:rPr>
          <w:rFonts w:eastAsia="Times New Roman"/>
          <w:lang w:val="es-ES_tradnl" w:eastAsia="en-US"/>
        </w:rPr>
        <w:t xml:space="preserve"> </w:t>
      </w:r>
      <w:r w:rsidR="007D6DE5">
        <w:rPr>
          <w:rFonts w:eastAsia="Times New Roman"/>
          <w:lang w:val="es-ES_tradnl" w:eastAsia="en-US"/>
        </w:rPr>
        <w:t xml:space="preserve">continúen siendo objeto de </w:t>
      </w:r>
      <w:r w:rsidR="007D6DE5" w:rsidRPr="00BA6A4F">
        <w:rPr>
          <w:rFonts w:eastAsia="Times New Roman"/>
          <w:lang w:val="es-ES_tradnl" w:eastAsia="en-US"/>
        </w:rPr>
        <w:t>actos de violencia, amenazas,</w:t>
      </w:r>
      <w:r w:rsidR="00937C1B">
        <w:rPr>
          <w:rFonts w:eastAsia="Times New Roman"/>
          <w:lang w:val="es-ES_tradnl" w:eastAsia="en-US"/>
        </w:rPr>
        <w:t xml:space="preserve"> y</w:t>
      </w:r>
      <w:r w:rsidR="007D6DE5" w:rsidRPr="00BA6A4F">
        <w:rPr>
          <w:rFonts w:eastAsia="Times New Roman"/>
          <w:lang w:val="es-ES_tradnl" w:eastAsia="en-US"/>
        </w:rPr>
        <w:t xml:space="preserve"> atentados contra la vida</w:t>
      </w:r>
      <w:r w:rsidR="007D6DE5">
        <w:rPr>
          <w:rFonts w:ascii="TimesNewRomanPSMT" w:eastAsia="TimesNewRomanPSMT" w:hAnsi="TimesNewRomanPSMT" w:cs="TimesNewRomanPSMT"/>
          <w:lang w:val="es-ES_tradnl"/>
        </w:rPr>
        <w:t>.</w:t>
      </w:r>
      <w:r w:rsidR="007D6DE5">
        <w:rPr>
          <w:rFonts w:eastAsia="Times New Roman"/>
          <w:lang w:val="es-ES_tradnl" w:eastAsia="en-US"/>
        </w:rPr>
        <w:t xml:space="preserve"> Además, preocupa al Comité</w:t>
      </w:r>
      <w:r w:rsidR="007D6DE5" w:rsidRPr="00BA6A4F">
        <w:rPr>
          <w:rFonts w:eastAsia="Times New Roman"/>
          <w:lang w:val="es-ES_tradnl" w:eastAsia="en-US"/>
        </w:rPr>
        <w:t xml:space="preserve"> </w:t>
      </w:r>
      <w:r w:rsidR="007D6DE5">
        <w:rPr>
          <w:rFonts w:eastAsia="Times New Roman"/>
          <w:lang w:val="es-ES_tradnl" w:eastAsia="en-US"/>
        </w:rPr>
        <w:t>la utilización indebida</w:t>
      </w:r>
      <w:r w:rsidR="007D6DE5" w:rsidRPr="00BA6A4F">
        <w:rPr>
          <w:rFonts w:eastAsia="Times New Roman"/>
          <w:lang w:val="es-ES_tradnl" w:eastAsia="en-US"/>
        </w:rPr>
        <w:t xml:space="preserve"> </w:t>
      </w:r>
      <w:r w:rsidR="007D6DE5">
        <w:rPr>
          <w:rFonts w:eastAsia="Times New Roman"/>
          <w:lang w:val="es-ES_tradnl" w:eastAsia="en-US"/>
        </w:rPr>
        <w:t>d</w:t>
      </w:r>
      <w:r w:rsidR="007D6DE5" w:rsidRPr="00BA6A4F">
        <w:rPr>
          <w:rFonts w:eastAsia="Times New Roman"/>
          <w:lang w:val="es-ES_tradnl" w:eastAsia="en-US"/>
        </w:rPr>
        <w:t xml:space="preserve">el proceso penal para </w:t>
      </w:r>
      <w:r w:rsidR="007D6DE5">
        <w:rPr>
          <w:rFonts w:eastAsia="Times New Roman"/>
          <w:lang w:val="es-ES_tradnl" w:eastAsia="en-US"/>
        </w:rPr>
        <w:t>criminalizar a</w:t>
      </w:r>
      <w:r w:rsidR="007D6DE5" w:rsidRPr="00BA6A4F">
        <w:rPr>
          <w:rFonts w:eastAsia="Times New Roman"/>
          <w:lang w:val="es-ES_tradnl" w:eastAsia="en-US"/>
        </w:rPr>
        <w:t xml:space="preserve"> defens</w:t>
      </w:r>
      <w:r w:rsidR="007D6DE5">
        <w:rPr>
          <w:rFonts w:eastAsia="Times New Roman"/>
          <w:lang w:val="es-ES_tradnl" w:eastAsia="en-US"/>
        </w:rPr>
        <w:t xml:space="preserve">ores de los derechos de pueblos indígenas, de </w:t>
      </w:r>
      <w:proofErr w:type="spellStart"/>
      <w:r w:rsidR="007D6DE5">
        <w:rPr>
          <w:rFonts w:eastAsia="Times New Roman"/>
          <w:lang w:val="es-ES_tradnl" w:eastAsia="en-US"/>
        </w:rPr>
        <w:t>afromexicanos</w:t>
      </w:r>
      <w:proofErr w:type="spellEnd"/>
      <w:r w:rsidR="007D6DE5">
        <w:rPr>
          <w:rFonts w:eastAsia="Times New Roman"/>
          <w:lang w:val="es-ES_tradnl" w:eastAsia="en-US"/>
        </w:rPr>
        <w:t xml:space="preserve"> y de migrantes</w:t>
      </w:r>
      <w:r w:rsidR="007D6DE5" w:rsidRPr="00BA6A4F">
        <w:rPr>
          <w:rFonts w:eastAsia="Times New Roman"/>
          <w:lang w:val="es-ES_tradnl" w:eastAsia="en-US"/>
        </w:rPr>
        <w:t xml:space="preserve">. Asimismo, </w:t>
      </w:r>
      <w:r w:rsidR="007D6DE5">
        <w:rPr>
          <w:rFonts w:eastAsia="Times New Roman"/>
          <w:lang w:val="es-ES_tradnl" w:eastAsia="en-US"/>
        </w:rPr>
        <w:t xml:space="preserve">nota con preocupación la información que da cuenta </w:t>
      </w:r>
      <w:r w:rsidR="00750C64">
        <w:rPr>
          <w:rFonts w:eastAsia="Times New Roman"/>
          <w:lang w:val="es-ES_tradnl" w:eastAsia="en-US"/>
        </w:rPr>
        <w:t xml:space="preserve">de </w:t>
      </w:r>
      <w:r w:rsidR="007D6DE5">
        <w:rPr>
          <w:rFonts w:eastAsia="Times New Roman"/>
          <w:lang w:val="es-ES_tradnl" w:eastAsia="en-US"/>
        </w:rPr>
        <w:t xml:space="preserve">que tanto autoridades estatales como representantes del sector privado realizan, en ocasiones, declaraciones para deslegitimar la labor de </w:t>
      </w:r>
      <w:r w:rsidR="00EC1FB7">
        <w:rPr>
          <w:rFonts w:eastAsia="Times New Roman"/>
          <w:lang w:val="es-ES_tradnl" w:eastAsia="en-US"/>
        </w:rPr>
        <w:t xml:space="preserve">las personas </w:t>
      </w:r>
      <w:r w:rsidR="007D6DE5">
        <w:rPr>
          <w:rFonts w:eastAsia="Times New Roman"/>
          <w:lang w:val="es-ES_tradnl" w:eastAsia="en-US"/>
        </w:rPr>
        <w:t>defensor</w:t>
      </w:r>
      <w:r w:rsidR="00EC1FB7">
        <w:rPr>
          <w:rFonts w:eastAsia="Times New Roman"/>
          <w:lang w:val="es-ES_tradnl" w:eastAsia="en-US"/>
        </w:rPr>
        <w:t>a</w:t>
      </w:r>
      <w:r w:rsidR="007D6DE5">
        <w:rPr>
          <w:rFonts w:eastAsia="Times New Roman"/>
          <w:lang w:val="es-ES_tradnl" w:eastAsia="en-US"/>
        </w:rPr>
        <w:t xml:space="preserve">s de los derechos de los pueblos indígenas </w:t>
      </w:r>
      <w:r w:rsidR="007D6DE5" w:rsidRPr="00BA6A4F">
        <w:rPr>
          <w:rFonts w:eastAsia="Times New Roman"/>
          <w:lang w:val="es-ES_tradnl" w:eastAsia="en-US"/>
        </w:rPr>
        <w:t xml:space="preserve">(arts. 2 y 5). </w:t>
      </w:r>
    </w:p>
    <w:p w14:paraId="535F5AF5" w14:textId="349BA8E5" w:rsidR="007D6DE5" w:rsidRPr="000951C0" w:rsidRDefault="006560D5" w:rsidP="00584DFD">
      <w:pPr>
        <w:pStyle w:val="SingleTxtG"/>
        <w:rPr>
          <w:b/>
          <w:lang w:val="es-ES_tradnl"/>
        </w:rPr>
      </w:pPr>
      <w:r w:rsidRPr="000951C0">
        <w:rPr>
          <w:lang w:val="es-ES_tradnl"/>
        </w:rPr>
        <w:t>31.</w:t>
      </w:r>
      <w:r w:rsidRPr="000951C0">
        <w:rPr>
          <w:lang w:val="es-ES_tradnl"/>
        </w:rPr>
        <w:tab/>
      </w:r>
      <w:r w:rsidR="007D6DE5" w:rsidRPr="000951C0">
        <w:rPr>
          <w:b/>
          <w:lang w:val="es-ES_tradnl"/>
        </w:rPr>
        <w:t xml:space="preserve">El </w:t>
      </w:r>
      <w:r w:rsidR="007D6DE5" w:rsidRPr="00BA6A4F">
        <w:rPr>
          <w:b/>
          <w:lang w:val="es-ES_tradnl"/>
        </w:rPr>
        <w:t>Comité</w:t>
      </w:r>
      <w:r w:rsidR="007D6DE5" w:rsidRPr="000951C0">
        <w:rPr>
          <w:b/>
          <w:lang w:val="es-ES_tradnl"/>
        </w:rPr>
        <w:t xml:space="preserve"> recomienda al Estado parte: </w:t>
      </w:r>
    </w:p>
    <w:p w14:paraId="0C3156ED" w14:textId="4D64F1C3" w:rsidR="007D6DE5" w:rsidRPr="00D1018D" w:rsidRDefault="006560D5" w:rsidP="00584DFD">
      <w:pPr>
        <w:pStyle w:val="SingleTxtG"/>
        <w:ind w:firstLine="567"/>
        <w:rPr>
          <w:b/>
        </w:rPr>
      </w:pPr>
      <w:r w:rsidRPr="00D1018D">
        <w:rPr>
          <w:b/>
        </w:rPr>
        <w:t>a)</w:t>
      </w:r>
      <w:r w:rsidRPr="00D1018D">
        <w:rPr>
          <w:b/>
        </w:rPr>
        <w:tab/>
      </w:r>
      <w:r w:rsidR="007D6DE5" w:rsidRPr="00D1018D">
        <w:rPr>
          <w:b/>
        </w:rPr>
        <w:t>Investigar de manera exhaustiva, imparcial y efectiva todas las denuncias de atentados contra la vida, la integridad física y libertad, así́ como de actos de violencia, amenazas, hostigamiento, intimidación, acoso y difamación cometidos contra líderes indígenas</w:t>
      </w:r>
      <w:r w:rsidR="00675DF6">
        <w:rPr>
          <w:b/>
        </w:rPr>
        <w:t xml:space="preserve">, </w:t>
      </w:r>
      <w:r w:rsidR="007D6DE5" w:rsidRPr="00D1018D">
        <w:rPr>
          <w:b/>
        </w:rPr>
        <w:t>defensores</w:t>
      </w:r>
      <w:r w:rsidR="00675DF6">
        <w:rPr>
          <w:b/>
        </w:rPr>
        <w:t xml:space="preserve"> y defensoras</w:t>
      </w:r>
      <w:r w:rsidR="007D6DE5" w:rsidRPr="00D1018D">
        <w:rPr>
          <w:b/>
        </w:rPr>
        <w:t xml:space="preserve"> de derechos de pueblos indígenas, afromexicanos y migrantes; </w:t>
      </w:r>
    </w:p>
    <w:p w14:paraId="5BE0877B" w14:textId="36AA8FF4" w:rsidR="007D6DE5" w:rsidRPr="00D1018D" w:rsidRDefault="006560D5" w:rsidP="00584DFD">
      <w:pPr>
        <w:pStyle w:val="SingleTxtG"/>
        <w:ind w:firstLine="567"/>
        <w:rPr>
          <w:b/>
        </w:rPr>
      </w:pPr>
      <w:r w:rsidRPr="00D1018D">
        <w:rPr>
          <w:b/>
        </w:rPr>
        <w:t>b)</w:t>
      </w:r>
      <w:r w:rsidRPr="00D1018D">
        <w:rPr>
          <w:b/>
        </w:rPr>
        <w:tab/>
      </w:r>
      <w:r w:rsidR="007D6DE5" w:rsidRPr="00D1018D">
        <w:rPr>
          <w:b/>
        </w:rPr>
        <w:t xml:space="preserve">Adoptar las medidas necesarias, incluyendo los recursos presupuestarios pertinentes, para garantizar el funcionamiento efectivo del </w:t>
      </w:r>
      <w:r w:rsidR="009D0EAF">
        <w:rPr>
          <w:b/>
        </w:rPr>
        <w:t>M</w:t>
      </w:r>
      <w:r w:rsidR="009D0EAF" w:rsidRPr="00D1018D">
        <w:rPr>
          <w:b/>
        </w:rPr>
        <w:t xml:space="preserve">ecanismo </w:t>
      </w:r>
      <w:r w:rsidR="007D6DE5" w:rsidRPr="00D1018D">
        <w:rPr>
          <w:b/>
        </w:rPr>
        <w:t xml:space="preserve">para la </w:t>
      </w:r>
      <w:r w:rsidR="009D0EAF">
        <w:rPr>
          <w:b/>
        </w:rPr>
        <w:t>P</w:t>
      </w:r>
      <w:r w:rsidR="009D0EAF" w:rsidRPr="00D1018D">
        <w:rPr>
          <w:rFonts w:hint="eastAsia"/>
          <w:b/>
        </w:rPr>
        <w:t>rotección</w:t>
      </w:r>
      <w:r w:rsidR="009D0EAF" w:rsidRPr="00D1018D">
        <w:rPr>
          <w:b/>
        </w:rPr>
        <w:t xml:space="preserve"> </w:t>
      </w:r>
      <w:r w:rsidR="007D6DE5" w:rsidRPr="00D1018D">
        <w:rPr>
          <w:b/>
        </w:rPr>
        <w:t xml:space="preserve">de </w:t>
      </w:r>
      <w:r w:rsidR="009D0EAF">
        <w:rPr>
          <w:b/>
        </w:rPr>
        <w:t>D</w:t>
      </w:r>
      <w:r w:rsidR="009D0EAF" w:rsidRPr="00D1018D">
        <w:rPr>
          <w:b/>
        </w:rPr>
        <w:t xml:space="preserve">efensores </w:t>
      </w:r>
      <w:r w:rsidR="00675DF6">
        <w:rPr>
          <w:b/>
        </w:rPr>
        <w:t xml:space="preserve">y </w:t>
      </w:r>
      <w:r w:rsidR="009D0EAF">
        <w:rPr>
          <w:b/>
        </w:rPr>
        <w:t>D</w:t>
      </w:r>
      <w:r w:rsidR="00675DF6">
        <w:rPr>
          <w:b/>
        </w:rPr>
        <w:t xml:space="preserve">efensoras </w:t>
      </w:r>
      <w:r w:rsidR="007D6DE5" w:rsidRPr="00D1018D">
        <w:rPr>
          <w:b/>
        </w:rPr>
        <w:t xml:space="preserve">de </w:t>
      </w:r>
      <w:r w:rsidR="009D0EAF">
        <w:rPr>
          <w:b/>
        </w:rPr>
        <w:t>D</w:t>
      </w:r>
      <w:r w:rsidR="009D0EAF" w:rsidRPr="00D1018D">
        <w:rPr>
          <w:b/>
        </w:rPr>
        <w:t xml:space="preserve">erechos </w:t>
      </w:r>
      <w:r w:rsidR="009D0EAF">
        <w:rPr>
          <w:b/>
        </w:rPr>
        <w:t>H</w:t>
      </w:r>
      <w:r w:rsidR="009D0EAF" w:rsidRPr="00D1018D">
        <w:rPr>
          <w:b/>
        </w:rPr>
        <w:t xml:space="preserve">umanos </w:t>
      </w:r>
      <w:r w:rsidR="007D6DE5" w:rsidRPr="00D1018D">
        <w:rPr>
          <w:b/>
        </w:rPr>
        <w:t xml:space="preserve">y </w:t>
      </w:r>
      <w:r w:rsidR="009D0EAF">
        <w:rPr>
          <w:b/>
        </w:rPr>
        <w:t>P</w:t>
      </w:r>
      <w:r w:rsidR="009D0EAF" w:rsidRPr="00D1018D">
        <w:rPr>
          <w:b/>
        </w:rPr>
        <w:t xml:space="preserve">eriodistas </w:t>
      </w:r>
      <w:r w:rsidR="007D6DE5" w:rsidRPr="00D1018D">
        <w:rPr>
          <w:b/>
        </w:rPr>
        <w:t>a fin de que, con la participación efectiva de la sociedad civil, representantes de los pueblos indígenas y de afromexicanos</w:t>
      </w:r>
      <w:r w:rsidR="0055009D">
        <w:rPr>
          <w:b/>
        </w:rPr>
        <w:t>,</w:t>
      </w:r>
      <w:r w:rsidR="007D6DE5" w:rsidRPr="00D1018D">
        <w:rPr>
          <w:b/>
        </w:rPr>
        <w:t xml:space="preserve"> diseñe y adopte estrategias de protección efectivas tomando en cuenta las diferencias culturales, regionales y de género que puedan afectar a los pueblos </w:t>
      </w:r>
      <w:r w:rsidR="007D6DE5" w:rsidRPr="00D1018D">
        <w:rPr>
          <w:rFonts w:hint="eastAsia"/>
          <w:b/>
        </w:rPr>
        <w:t>indígenas</w:t>
      </w:r>
      <w:r w:rsidR="007D6DE5" w:rsidRPr="00D1018D">
        <w:rPr>
          <w:b/>
        </w:rPr>
        <w:t xml:space="preserve"> y </w:t>
      </w:r>
      <w:r w:rsidR="007D6DE5" w:rsidRPr="00D1018D">
        <w:rPr>
          <w:rFonts w:hint="eastAsia"/>
          <w:b/>
        </w:rPr>
        <w:t>población</w:t>
      </w:r>
      <w:r w:rsidR="007D6DE5" w:rsidRPr="00D1018D">
        <w:rPr>
          <w:b/>
        </w:rPr>
        <w:t xml:space="preserve"> </w:t>
      </w:r>
      <w:proofErr w:type="spellStart"/>
      <w:r w:rsidR="007D6DE5" w:rsidRPr="00D1018D">
        <w:rPr>
          <w:b/>
        </w:rPr>
        <w:t>afromexicana</w:t>
      </w:r>
      <w:proofErr w:type="spellEnd"/>
      <w:r w:rsidR="00F83FBB">
        <w:rPr>
          <w:b/>
        </w:rPr>
        <w:t>, así como el carácter colectivo que requieren ciertas medidas</w:t>
      </w:r>
      <w:r w:rsidR="007D6DE5" w:rsidRPr="00D1018D">
        <w:rPr>
          <w:b/>
        </w:rPr>
        <w:t>;</w:t>
      </w:r>
    </w:p>
    <w:p w14:paraId="4FBA5B2A" w14:textId="62DB414A" w:rsidR="007D6DE5" w:rsidRPr="003F75C3" w:rsidRDefault="006560D5" w:rsidP="00584DFD">
      <w:pPr>
        <w:pStyle w:val="SingleTxtG"/>
        <w:ind w:firstLine="567"/>
        <w:rPr>
          <w:lang w:val="es-ES_tradnl" w:eastAsia="en-US"/>
        </w:rPr>
      </w:pPr>
      <w:r w:rsidRPr="003F75C3">
        <w:rPr>
          <w:b/>
          <w:lang w:val="es-ES_tradnl" w:eastAsia="en-US"/>
        </w:rPr>
        <w:t>c)</w:t>
      </w:r>
      <w:r w:rsidRPr="003F75C3">
        <w:rPr>
          <w:b/>
          <w:lang w:val="es-ES_tradnl" w:eastAsia="en-US"/>
        </w:rPr>
        <w:tab/>
      </w:r>
      <w:r w:rsidR="007D6DE5" w:rsidRPr="00D1018D">
        <w:rPr>
          <w:b/>
        </w:rPr>
        <w:t>L</w:t>
      </w:r>
      <w:r w:rsidR="004E6FDA">
        <w:rPr>
          <w:b/>
        </w:rPr>
        <w:t>l</w:t>
      </w:r>
      <w:r w:rsidR="007D6DE5" w:rsidRPr="00D1018D">
        <w:rPr>
          <w:b/>
        </w:rPr>
        <w:t>evar a cabo campañas de información y sensibilización</w:t>
      </w:r>
      <w:r w:rsidR="00F83FBB">
        <w:rPr>
          <w:b/>
        </w:rPr>
        <w:t xml:space="preserve">, y reconocer públicamente </w:t>
      </w:r>
      <w:r w:rsidR="0055009D">
        <w:rPr>
          <w:b/>
        </w:rPr>
        <w:t xml:space="preserve">a través </w:t>
      </w:r>
      <w:r w:rsidR="00F83FBB">
        <w:rPr>
          <w:b/>
        </w:rPr>
        <w:t xml:space="preserve">de las autoridades federales y estatales </w:t>
      </w:r>
      <w:r w:rsidR="007D6DE5" w:rsidRPr="00D1018D">
        <w:rPr>
          <w:b/>
        </w:rPr>
        <w:t xml:space="preserve">el trabajo fundamental de </w:t>
      </w:r>
      <w:r w:rsidR="00B310B4">
        <w:rPr>
          <w:b/>
        </w:rPr>
        <w:t xml:space="preserve">las personas </w:t>
      </w:r>
      <w:r w:rsidR="007D6DE5" w:rsidRPr="00D1018D">
        <w:rPr>
          <w:b/>
        </w:rPr>
        <w:t>defensor</w:t>
      </w:r>
      <w:r w:rsidR="00B310B4">
        <w:rPr>
          <w:b/>
        </w:rPr>
        <w:t>a</w:t>
      </w:r>
      <w:r w:rsidR="007D6DE5" w:rsidRPr="00D1018D">
        <w:rPr>
          <w:b/>
        </w:rPr>
        <w:t xml:space="preserve">s de derechos humanos a fin de propiciar un ambiente de tolerancia que les permita </w:t>
      </w:r>
      <w:r w:rsidR="004E6FDA">
        <w:rPr>
          <w:b/>
        </w:rPr>
        <w:t>realizar</w:t>
      </w:r>
      <w:r w:rsidR="007D6DE5" w:rsidRPr="00D1018D">
        <w:rPr>
          <w:b/>
        </w:rPr>
        <w:t xml:space="preserve"> su labor libre de todo tipo de intimidación, amenazas y represalias.</w:t>
      </w:r>
    </w:p>
    <w:p w14:paraId="34AE8D5C" w14:textId="10649119" w:rsidR="00FC2427" w:rsidRPr="00BA6A4F" w:rsidRDefault="007D6DE5" w:rsidP="00AF48B7">
      <w:pPr>
        <w:pStyle w:val="H23G"/>
        <w:rPr>
          <w:lang w:val="es-ES_tradnl"/>
        </w:rPr>
      </w:pPr>
      <w:r>
        <w:rPr>
          <w:lang w:val="es-ES_tradnl"/>
        </w:rPr>
        <w:tab/>
      </w:r>
      <w:r w:rsidR="0000165D">
        <w:rPr>
          <w:lang w:val="es-ES_tradnl"/>
        </w:rPr>
        <w:tab/>
      </w:r>
      <w:r w:rsidR="00FC2427" w:rsidRPr="00BA6A4F">
        <w:rPr>
          <w:lang w:val="es-ES_tradnl"/>
        </w:rPr>
        <w:t>Condiciones de trabajo</w:t>
      </w:r>
    </w:p>
    <w:p w14:paraId="55D0A1BB" w14:textId="46C1A17D" w:rsidR="00935A81" w:rsidRPr="00BA6A4F" w:rsidRDefault="006560D5" w:rsidP="00584DFD">
      <w:pPr>
        <w:pStyle w:val="SingleTxtG"/>
        <w:rPr>
          <w:b/>
          <w:lang w:val="es-ES_tradnl"/>
        </w:rPr>
      </w:pPr>
      <w:r w:rsidRPr="00BA6A4F">
        <w:rPr>
          <w:lang w:val="es-ES_tradnl"/>
        </w:rPr>
        <w:t>32.</w:t>
      </w:r>
      <w:r w:rsidRPr="00BA6A4F">
        <w:rPr>
          <w:lang w:val="es-ES_tradnl"/>
        </w:rPr>
        <w:tab/>
      </w:r>
      <w:r w:rsidR="00196219" w:rsidRPr="000951C0">
        <w:rPr>
          <w:rFonts w:eastAsia="Times New Roman"/>
          <w:lang w:val="es-ES_tradnl" w:eastAsia="en-US"/>
        </w:rPr>
        <w:t>El Comité nota con preocupación que las personas indígenas mexicanas y migrantes</w:t>
      </w:r>
      <w:r w:rsidR="00196219">
        <w:rPr>
          <w:lang w:val="es-ES_tradnl"/>
        </w:rPr>
        <w:t xml:space="preserve"> indígenas </w:t>
      </w:r>
      <w:r w:rsidR="009D0EAF">
        <w:rPr>
          <w:lang w:val="es-ES_tradnl"/>
        </w:rPr>
        <w:t xml:space="preserve">centroamericanas </w:t>
      </w:r>
      <w:r w:rsidR="002B574D">
        <w:rPr>
          <w:lang w:val="es-ES_tradnl"/>
        </w:rPr>
        <w:t xml:space="preserve">que trabajan particularmente en el sector agrícola y en el </w:t>
      </w:r>
      <w:r w:rsidR="002B574D" w:rsidRPr="000951C0">
        <w:rPr>
          <w:rFonts w:eastAsia="Times New Roman"/>
          <w:lang w:val="es-ES_tradnl" w:eastAsia="en-US"/>
        </w:rPr>
        <w:t>sector</w:t>
      </w:r>
      <w:r w:rsidR="002B574D">
        <w:rPr>
          <w:lang w:val="es-ES_tradnl"/>
        </w:rPr>
        <w:t xml:space="preserve"> doméstico </w:t>
      </w:r>
      <w:r w:rsidR="00196219">
        <w:rPr>
          <w:lang w:val="es-ES_tradnl"/>
        </w:rPr>
        <w:t xml:space="preserve">son </w:t>
      </w:r>
      <w:r w:rsidR="00196219" w:rsidRPr="000951C0">
        <w:rPr>
          <w:rFonts w:eastAsia="Times New Roman"/>
          <w:lang w:val="es-ES_tradnl" w:eastAsia="en-US"/>
        </w:rPr>
        <w:t>víctimas</w:t>
      </w:r>
      <w:r w:rsidR="00196219">
        <w:rPr>
          <w:lang w:val="es-ES_tradnl"/>
        </w:rPr>
        <w:t xml:space="preserve"> de discriminación y violacione</w:t>
      </w:r>
      <w:r w:rsidR="002E7490">
        <w:rPr>
          <w:lang w:val="es-ES_tradnl"/>
        </w:rPr>
        <w:t>s de sus derechos laborales que</w:t>
      </w:r>
      <w:r w:rsidR="004E6FDA">
        <w:rPr>
          <w:lang w:val="es-ES_tradnl"/>
        </w:rPr>
        <w:t xml:space="preserve"> </w:t>
      </w:r>
      <w:r w:rsidR="00196219">
        <w:rPr>
          <w:lang w:val="es-ES_tradnl"/>
        </w:rPr>
        <w:t>se traducen</w:t>
      </w:r>
      <w:r w:rsidR="00E37537">
        <w:rPr>
          <w:lang w:val="es-ES_tradnl"/>
        </w:rPr>
        <w:t xml:space="preserve"> en</w:t>
      </w:r>
      <w:r w:rsidR="00196219">
        <w:rPr>
          <w:lang w:val="es-ES_tradnl"/>
        </w:rPr>
        <w:t xml:space="preserve"> actos de explotación</w:t>
      </w:r>
      <w:r w:rsidR="002B574D">
        <w:rPr>
          <w:lang w:val="es-ES_tradnl"/>
        </w:rPr>
        <w:t xml:space="preserve"> laboral</w:t>
      </w:r>
      <w:r w:rsidR="00196219">
        <w:rPr>
          <w:lang w:val="es-ES_tradnl"/>
        </w:rPr>
        <w:t xml:space="preserve"> </w:t>
      </w:r>
      <w:r w:rsidR="00935A81" w:rsidRPr="00BA6A4F">
        <w:rPr>
          <w:lang w:val="es-ES_tradnl"/>
        </w:rPr>
        <w:t>(arts. 2 y 5).</w:t>
      </w:r>
    </w:p>
    <w:p w14:paraId="2C5AEBA7" w14:textId="0D5D0D15" w:rsidR="00935A81" w:rsidRPr="002B574D" w:rsidRDefault="006560D5" w:rsidP="00584DFD">
      <w:pPr>
        <w:pStyle w:val="SingleTxtG"/>
        <w:rPr>
          <w:b/>
          <w:lang w:val="es-ES_tradnl"/>
        </w:rPr>
      </w:pPr>
      <w:r w:rsidRPr="002B574D">
        <w:rPr>
          <w:lang w:val="es-ES_tradnl"/>
        </w:rPr>
        <w:lastRenderedPageBreak/>
        <w:t>33.</w:t>
      </w:r>
      <w:r w:rsidRPr="002B574D">
        <w:rPr>
          <w:lang w:val="es-ES_tradnl"/>
        </w:rPr>
        <w:tab/>
      </w:r>
      <w:r w:rsidR="00935A81" w:rsidRPr="00BA6A4F">
        <w:rPr>
          <w:b/>
          <w:lang w:val="es-ES_tradnl"/>
        </w:rPr>
        <w:t>El Comité insta al Estado parte a</w:t>
      </w:r>
      <w:r w:rsidR="00347A9F">
        <w:rPr>
          <w:b/>
          <w:noProof/>
          <w:lang w:val="es-ES_tradnl"/>
        </w:rPr>
        <w:t xml:space="preserve"> </w:t>
      </w:r>
      <w:r w:rsidR="00993286">
        <w:rPr>
          <w:b/>
          <w:noProof/>
          <w:lang w:val="es-ES_tradnl"/>
        </w:rPr>
        <w:t xml:space="preserve">garantizar </w:t>
      </w:r>
      <w:r w:rsidR="002B574D">
        <w:rPr>
          <w:b/>
          <w:noProof/>
          <w:lang w:val="es-ES_tradnl"/>
        </w:rPr>
        <w:t>a</w:t>
      </w:r>
      <w:r w:rsidR="002B574D" w:rsidRPr="00C12637">
        <w:rPr>
          <w:b/>
          <w:noProof/>
          <w:lang w:val="es-ES_tradnl"/>
        </w:rPr>
        <w:t xml:space="preserve"> l</w:t>
      </w:r>
      <w:r w:rsidR="002B574D">
        <w:rPr>
          <w:b/>
          <w:noProof/>
          <w:lang w:val="es-ES_tradnl"/>
        </w:rPr>
        <w:t xml:space="preserve">as personas indígenas mexicanas </w:t>
      </w:r>
      <w:r w:rsidR="004E6FDA">
        <w:rPr>
          <w:b/>
          <w:noProof/>
          <w:lang w:val="es-ES_tradnl"/>
        </w:rPr>
        <w:t xml:space="preserve">y </w:t>
      </w:r>
      <w:r w:rsidR="002B574D">
        <w:rPr>
          <w:b/>
          <w:noProof/>
          <w:lang w:val="es-ES_tradnl"/>
        </w:rPr>
        <w:t>migrantes</w:t>
      </w:r>
      <w:r w:rsidR="004E6FDA">
        <w:rPr>
          <w:b/>
          <w:noProof/>
          <w:lang w:val="es-ES_tradnl"/>
        </w:rPr>
        <w:t xml:space="preserve"> indígenas</w:t>
      </w:r>
      <w:r w:rsidR="002B574D">
        <w:rPr>
          <w:b/>
          <w:noProof/>
          <w:lang w:val="es-ES_tradnl"/>
        </w:rPr>
        <w:t xml:space="preserve"> </w:t>
      </w:r>
      <w:r w:rsidR="00675DF6">
        <w:rPr>
          <w:b/>
          <w:noProof/>
          <w:lang w:val="es-ES_tradnl"/>
        </w:rPr>
        <w:t xml:space="preserve">centroamericanas </w:t>
      </w:r>
      <w:r w:rsidR="002B574D">
        <w:rPr>
          <w:b/>
          <w:noProof/>
          <w:lang w:val="es-ES_tradnl"/>
        </w:rPr>
        <w:t xml:space="preserve">que trabajan en el sector agrícola y en el sector doméstico, </w:t>
      </w:r>
      <w:r w:rsidR="002B574D" w:rsidRPr="00C12637">
        <w:rPr>
          <w:b/>
          <w:noProof/>
          <w:lang w:val="es-ES_tradnl"/>
        </w:rPr>
        <w:t>condiciones de trabajo justas y satisfactorias</w:t>
      </w:r>
      <w:r w:rsidR="002B574D">
        <w:rPr>
          <w:b/>
          <w:noProof/>
          <w:lang w:val="es-ES_tradnl"/>
        </w:rPr>
        <w:t xml:space="preserve">, </w:t>
      </w:r>
      <w:r w:rsidR="002B574D" w:rsidRPr="00C12637">
        <w:rPr>
          <w:b/>
          <w:noProof/>
          <w:lang w:val="es-ES_tradnl"/>
        </w:rPr>
        <w:t>tanto en la ley como en la práctica</w:t>
      </w:r>
      <w:r w:rsidR="00993286">
        <w:rPr>
          <w:b/>
          <w:noProof/>
          <w:lang w:val="es-ES_tradnl"/>
        </w:rPr>
        <w:t xml:space="preserve">. Asimismo, le insta a </w:t>
      </w:r>
      <w:r w:rsidR="00993286">
        <w:rPr>
          <w:b/>
          <w:lang w:val="es-ES_tradnl"/>
        </w:rPr>
        <w:t>a</w:t>
      </w:r>
      <w:r w:rsidR="00935A81" w:rsidRPr="00BA6A4F">
        <w:rPr>
          <w:b/>
          <w:lang w:val="es-ES_tradnl"/>
        </w:rPr>
        <w:t xml:space="preserve">doptar medidas apropiadas para prevenir, investigar y enjuiciar todos los </w:t>
      </w:r>
      <w:r w:rsidR="002B574D">
        <w:rPr>
          <w:b/>
          <w:lang w:val="es-ES_tradnl"/>
        </w:rPr>
        <w:t>casos de explotación laboral, incluyendo el trabajo forzoso</w:t>
      </w:r>
      <w:r w:rsidR="00935A81" w:rsidRPr="00BA6A4F">
        <w:rPr>
          <w:b/>
          <w:lang w:val="es-ES_tradnl"/>
        </w:rPr>
        <w:t>, velando por que las víctimas tengan acceso a la justicia, así como a la inspección del trabajo y reciban una protección y reparación adecuadas y para que los responsables sean debidamente enjuiciados y castigados con</w:t>
      </w:r>
      <w:r w:rsidR="002B574D">
        <w:rPr>
          <w:b/>
          <w:lang w:val="es-ES_tradnl"/>
        </w:rPr>
        <w:t>forme a la gravedad del delito.</w:t>
      </w:r>
    </w:p>
    <w:p w14:paraId="16A7A0F0" w14:textId="2F2696AB" w:rsidR="0023693B" w:rsidRDefault="00935A81" w:rsidP="00D1018D">
      <w:pPr>
        <w:pStyle w:val="H23G"/>
        <w:rPr>
          <w:lang w:val="es-ES_tradnl"/>
        </w:rPr>
      </w:pPr>
      <w:r w:rsidRPr="00BA6A4F">
        <w:rPr>
          <w:lang w:val="es-ES_tradnl"/>
        </w:rPr>
        <w:tab/>
      </w:r>
      <w:r w:rsidRPr="00BA6A4F">
        <w:rPr>
          <w:lang w:val="es-ES_tradnl"/>
        </w:rPr>
        <w:tab/>
      </w:r>
      <w:r w:rsidR="00BB06B0">
        <w:rPr>
          <w:lang w:val="es-ES_tradnl"/>
        </w:rPr>
        <w:t>M</w:t>
      </w:r>
      <w:r w:rsidR="00B14BAB" w:rsidRPr="00BA6A4F">
        <w:rPr>
          <w:lang w:val="es-ES_tradnl"/>
        </w:rPr>
        <w:t>igrantes, solicitantes de asilo y refugiad</w:t>
      </w:r>
      <w:r w:rsidR="00BB06B0">
        <w:rPr>
          <w:lang w:val="es-ES_tradnl"/>
        </w:rPr>
        <w:t>o</w:t>
      </w:r>
      <w:r w:rsidR="00B14BAB" w:rsidRPr="00BA6A4F">
        <w:rPr>
          <w:lang w:val="es-ES_tradnl"/>
        </w:rPr>
        <w:t xml:space="preserve">s </w:t>
      </w:r>
    </w:p>
    <w:p w14:paraId="66EE603A" w14:textId="58B211B7" w:rsidR="00AE0B2C" w:rsidRPr="00BA6A4F" w:rsidRDefault="006560D5" w:rsidP="00584DFD">
      <w:pPr>
        <w:pStyle w:val="SingleTxtG"/>
        <w:rPr>
          <w:lang w:val="es-ES_tradnl"/>
        </w:rPr>
      </w:pPr>
      <w:r w:rsidRPr="00BA6A4F">
        <w:rPr>
          <w:lang w:val="es-ES_tradnl"/>
        </w:rPr>
        <w:t>34.</w:t>
      </w:r>
      <w:r w:rsidRPr="00BA6A4F">
        <w:rPr>
          <w:lang w:val="es-ES_tradnl"/>
        </w:rPr>
        <w:tab/>
      </w:r>
      <w:r w:rsidR="00475BB7">
        <w:rPr>
          <w:lang w:val="es-ES_tradnl"/>
        </w:rPr>
        <w:t>E</w:t>
      </w:r>
      <w:r w:rsidR="006C79A1">
        <w:rPr>
          <w:lang w:val="es-ES_tradnl"/>
        </w:rPr>
        <w:t xml:space="preserve">l Comité reconoce </w:t>
      </w:r>
      <w:r w:rsidR="00475BB7">
        <w:rPr>
          <w:lang w:val="es-ES_tradnl"/>
        </w:rPr>
        <w:t>la posición de “corredor migratorio” en que se encuentra el</w:t>
      </w:r>
      <w:r w:rsidR="006C79A1">
        <w:rPr>
          <w:lang w:val="es-ES_tradnl"/>
        </w:rPr>
        <w:t xml:space="preserve"> Estado parte</w:t>
      </w:r>
      <w:r w:rsidR="00937C1B">
        <w:rPr>
          <w:lang w:val="es-ES_tradnl"/>
        </w:rPr>
        <w:t>. N</w:t>
      </w:r>
      <w:r w:rsidR="004E6FDA">
        <w:rPr>
          <w:lang w:val="es-ES_tradnl"/>
        </w:rPr>
        <w:t>o obstante</w:t>
      </w:r>
      <w:r w:rsidR="00536ABD">
        <w:rPr>
          <w:lang w:val="es-ES_tradnl"/>
        </w:rPr>
        <w:t>,</w:t>
      </w:r>
      <w:r w:rsidR="00475BB7">
        <w:rPr>
          <w:lang w:val="es-ES_tradnl"/>
        </w:rPr>
        <w:t xml:space="preserve"> </w:t>
      </w:r>
      <w:r w:rsidR="006C79A1">
        <w:rPr>
          <w:lang w:val="es-ES_tradnl"/>
        </w:rPr>
        <w:t xml:space="preserve">le preocupa que </w:t>
      </w:r>
      <w:r w:rsidR="005948CB">
        <w:rPr>
          <w:lang w:val="es-ES_tradnl"/>
        </w:rPr>
        <w:t xml:space="preserve">en ocasiones </w:t>
      </w:r>
      <w:r w:rsidR="006C79A1">
        <w:rPr>
          <w:lang w:val="es-ES_tradnl"/>
        </w:rPr>
        <w:t xml:space="preserve">la aplicación de las políticas migratorias adoptadas no </w:t>
      </w:r>
      <w:r w:rsidR="005948CB">
        <w:rPr>
          <w:lang w:val="es-ES_tradnl"/>
        </w:rPr>
        <w:t>garanti</w:t>
      </w:r>
      <w:r w:rsidR="0016508C">
        <w:rPr>
          <w:lang w:val="es-ES_tradnl"/>
        </w:rPr>
        <w:t>ce</w:t>
      </w:r>
      <w:r w:rsidR="005948CB">
        <w:rPr>
          <w:lang w:val="es-ES_tradnl"/>
        </w:rPr>
        <w:t xml:space="preserve"> </w:t>
      </w:r>
      <w:r w:rsidR="006C79A1">
        <w:rPr>
          <w:lang w:val="es-ES_tradnl"/>
        </w:rPr>
        <w:t>de manera adecuada la protección efectiva de los derechos de l</w:t>
      </w:r>
      <w:r w:rsidR="00536ABD">
        <w:rPr>
          <w:lang w:val="es-ES_tradnl"/>
        </w:rPr>
        <w:t>o</w:t>
      </w:r>
      <w:r w:rsidR="006C79A1">
        <w:rPr>
          <w:lang w:val="es-ES_tradnl"/>
        </w:rPr>
        <w:t xml:space="preserve">s migrantes y solicitantes de asilo, en particular de niños y niñas migrantes. </w:t>
      </w:r>
      <w:r w:rsidR="0023693B" w:rsidRPr="00BA6A4F">
        <w:rPr>
          <w:lang w:val="es-ES_tradnl"/>
        </w:rPr>
        <w:t xml:space="preserve">El Comité observa con preocupación </w:t>
      </w:r>
      <w:r w:rsidR="0023693B">
        <w:rPr>
          <w:lang w:val="es-ES_tradnl"/>
        </w:rPr>
        <w:t>la aplicación de la</w:t>
      </w:r>
      <w:r w:rsidR="00B654BC" w:rsidRPr="00BA6A4F">
        <w:rPr>
          <w:lang w:val="es-ES_tradnl"/>
        </w:rPr>
        <w:t xml:space="preserve"> detención automática de solicitantes de asilo</w:t>
      </w:r>
      <w:r w:rsidR="0023693B">
        <w:rPr>
          <w:lang w:val="es-ES_tradnl"/>
        </w:rPr>
        <w:t xml:space="preserve"> y migrantes en situación</w:t>
      </w:r>
      <w:r w:rsidR="00F94488">
        <w:rPr>
          <w:lang w:val="es-ES_tradnl"/>
        </w:rPr>
        <w:t xml:space="preserve"> irregular, </w:t>
      </w:r>
      <w:r w:rsidR="0023693B" w:rsidRPr="00BA6A4F">
        <w:rPr>
          <w:lang w:val="es-ES_tradnl"/>
        </w:rPr>
        <w:t xml:space="preserve">incluidos los niños </w:t>
      </w:r>
      <w:r w:rsidR="006C79A1">
        <w:rPr>
          <w:lang w:val="es-ES_tradnl"/>
        </w:rPr>
        <w:t>acompañados o no,</w:t>
      </w:r>
      <w:r w:rsidR="00F94488">
        <w:rPr>
          <w:lang w:val="es-ES_tradnl"/>
        </w:rPr>
        <w:t xml:space="preserve"> en las denominadas </w:t>
      </w:r>
      <w:r w:rsidR="00536ABD">
        <w:rPr>
          <w:lang w:val="es-ES_tradnl"/>
        </w:rPr>
        <w:t>e</w:t>
      </w:r>
      <w:r w:rsidR="00F94488">
        <w:rPr>
          <w:lang w:val="es-ES_tradnl"/>
        </w:rPr>
        <w:t xml:space="preserve">staciones </w:t>
      </w:r>
      <w:r w:rsidR="00536ABD">
        <w:rPr>
          <w:lang w:val="es-ES_tradnl"/>
        </w:rPr>
        <w:t>m</w:t>
      </w:r>
      <w:r w:rsidR="00F94488">
        <w:rPr>
          <w:lang w:val="es-ES_tradnl"/>
        </w:rPr>
        <w:t xml:space="preserve">igratorias, las cuales </w:t>
      </w:r>
      <w:r w:rsidR="006C79A1">
        <w:rPr>
          <w:lang w:val="es-ES_tradnl"/>
        </w:rPr>
        <w:t>no brindan</w:t>
      </w:r>
      <w:r w:rsidR="00F94488">
        <w:rPr>
          <w:lang w:val="es-ES_tradnl"/>
        </w:rPr>
        <w:t xml:space="preserve"> condiciones </w:t>
      </w:r>
      <w:r w:rsidR="006C79A1">
        <w:rPr>
          <w:lang w:val="es-ES_tradnl"/>
        </w:rPr>
        <w:t xml:space="preserve">de vida </w:t>
      </w:r>
      <w:r w:rsidR="00F94488">
        <w:rPr>
          <w:lang w:val="es-ES_tradnl"/>
        </w:rPr>
        <w:t xml:space="preserve">adecuadas. Preocupa también al Comité </w:t>
      </w:r>
      <w:r w:rsidR="001006A6">
        <w:rPr>
          <w:lang w:val="es-ES_tradnl"/>
        </w:rPr>
        <w:t xml:space="preserve">el efecto negativo que puede tener la labor de la </w:t>
      </w:r>
      <w:r w:rsidR="00085108">
        <w:rPr>
          <w:lang w:val="es-ES_tradnl"/>
        </w:rPr>
        <w:t xml:space="preserve">Guardia Nacional </w:t>
      </w:r>
      <w:r w:rsidR="00F94488">
        <w:rPr>
          <w:lang w:val="es-ES_tradnl"/>
        </w:rPr>
        <w:t>en el control migratorio</w:t>
      </w:r>
      <w:r w:rsidR="00F66C71">
        <w:rPr>
          <w:lang w:val="es-ES_tradnl"/>
        </w:rPr>
        <w:t>,</w:t>
      </w:r>
      <w:r w:rsidR="00F94488">
        <w:rPr>
          <w:lang w:val="es-ES_tradnl"/>
        </w:rPr>
        <w:t xml:space="preserve"> y el uso de prácticas de perfilamiento racial por</w:t>
      </w:r>
      <w:r w:rsidR="00F66C71">
        <w:rPr>
          <w:lang w:val="es-ES_tradnl"/>
        </w:rPr>
        <w:t xml:space="preserve"> parte</w:t>
      </w:r>
      <w:r w:rsidR="00F94488">
        <w:rPr>
          <w:lang w:val="es-ES_tradnl"/>
        </w:rPr>
        <w:t xml:space="preserve"> </w:t>
      </w:r>
      <w:r w:rsidR="009D0EAF">
        <w:rPr>
          <w:lang w:val="es-ES_tradnl"/>
        </w:rPr>
        <w:t xml:space="preserve">de </w:t>
      </w:r>
      <w:r w:rsidR="00F94488">
        <w:rPr>
          <w:lang w:val="es-ES_tradnl"/>
        </w:rPr>
        <w:t>las autoridades migratorias</w:t>
      </w:r>
      <w:r w:rsidR="00567B62">
        <w:rPr>
          <w:lang w:val="es-ES_tradnl"/>
        </w:rPr>
        <w:t>,</w:t>
      </w:r>
      <w:r w:rsidR="00F94488">
        <w:rPr>
          <w:lang w:val="es-ES_tradnl"/>
        </w:rPr>
        <w:t xml:space="preserve"> </w:t>
      </w:r>
      <w:r w:rsidR="00567B62">
        <w:rPr>
          <w:lang w:val="es-ES_tradnl"/>
        </w:rPr>
        <w:t xml:space="preserve">las cuales han </w:t>
      </w:r>
      <w:r w:rsidR="00F94488">
        <w:rPr>
          <w:lang w:val="es-ES_tradnl"/>
        </w:rPr>
        <w:t xml:space="preserve">generado detenciones arbitrarias y devoluciones sistemáticas sin la asesoría legal adecuada. </w:t>
      </w:r>
      <w:r w:rsidR="000176AF">
        <w:rPr>
          <w:lang w:val="es-ES_tradnl"/>
        </w:rPr>
        <w:t xml:space="preserve">De igual forma, le </w:t>
      </w:r>
      <w:r w:rsidR="00D072FF">
        <w:rPr>
          <w:lang w:val="es-ES_tradnl"/>
        </w:rPr>
        <w:t>preocupa</w:t>
      </w:r>
      <w:r w:rsidR="00475BB7">
        <w:rPr>
          <w:lang w:val="es-ES_tradnl"/>
        </w:rPr>
        <w:t>n</w:t>
      </w:r>
      <w:r w:rsidR="00D072FF">
        <w:rPr>
          <w:lang w:val="es-ES_tradnl"/>
        </w:rPr>
        <w:t xml:space="preserve"> seriamente </w:t>
      </w:r>
      <w:r w:rsidR="00475BB7">
        <w:rPr>
          <w:lang w:val="es-ES_tradnl"/>
        </w:rPr>
        <w:t xml:space="preserve">los </w:t>
      </w:r>
      <w:r w:rsidR="00D072FF">
        <w:rPr>
          <w:lang w:val="es-ES_tradnl"/>
        </w:rPr>
        <w:t xml:space="preserve">actos de discriminación y el uso excesivo de la fuerza </w:t>
      </w:r>
      <w:r w:rsidR="00475BB7">
        <w:rPr>
          <w:lang w:val="es-ES_tradnl"/>
        </w:rPr>
        <w:t>en contra de migrantes</w:t>
      </w:r>
      <w:r w:rsidR="00D072FF">
        <w:rPr>
          <w:lang w:val="es-ES_tradnl"/>
        </w:rPr>
        <w:t>. Finalmente</w:t>
      </w:r>
      <w:r w:rsidR="001006A6">
        <w:rPr>
          <w:lang w:val="es-ES_tradnl"/>
        </w:rPr>
        <w:t>, e</w:t>
      </w:r>
      <w:r w:rsidR="0023693B">
        <w:rPr>
          <w:lang w:val="es-ES_tradnl"/>
        </w:rPr>
        <w:t xml:space="preserve">l Comité también observa con preocupación </w:t>
      </w:r>
      <w:r w:rsidR="00F94488">
        <w:rPr>
          <w:lang w:val="es-ES_tradnl"/>
        </w:rPr>
        <w:t>que ante el</w:t>
      </w:r>
      <w:r w:rsidR="001006A6">
        <w:rPr>
          <w:lang w:val="es-ES_tradnl"/>
        </w:rPr>
        <w:t xml:space="preserve"> fenómeno migratorio</w:t>
      </w:r>
      <w:r w:rsidR="00D072FF">
        <w:rPr>
          <w:lang w:val="es-ES_tradnl"/>
        </w:rPr>
        <w:t xml:space="preserve"> de las caravanas ha crecido el</w:t>
      </w:r>
      <w:r w:rsidR="0023693B">
        <w:rPr>
          <w:lang w:val="es-ES_tradnl"/>
        </w:rPr>
        <w:t xml:space="preserve"> discurso de</w:t>
      </w:r>
      <w:r w:rsidR="001006A6">
        <w:rPr>
          <w:lang w:val="es-ES_tradnl"/>
        </w:rPr>
        <w:t xml:space="preserve"> discriminación,</w:t>
      </w:r>
      <w:r w:rsidR="0023693B">
        <w:rPr>
          <w:lang w:val="es-ES_tradnl"/>
        </w:rPr>
        <w:t xml:space="preserve"> odio racial y xenofobia en contra de migrantes</w:t>
      </w:r>
      <w:r w:rsidR="00AE0B2C" w:rsidRPr="00BA6A4F">
        <w:rPr>
          <w:lang w:val="es-ES_tradnl"/>
        </w:rPr>
        <w:t xml:space="preserve"> (arts. 2 y 5)</w:t>
      </w:r>
      <w:r w:rsidR="00F94488">
        <w:rPr>
          <w:lang w:val="es-ES_tradnl"/>
        </w:rPr>
        <w:t>.</w:t>
      </w:r>
    </w:p>
    <w:p w14:paraId="6521D897" w14:textId="33F607F0" w:rsidR="00982174" w:rsidRDefault="006560D5" w:rsidP="00584DFD">
      <w:pPr>
        <w:pStyle w:val="SingleTxtG"/>
        <w:rPr>
          <w:b/>
          <w:lang w:val="es-ES_tradnl"/>
        </w:rPr>
      </w:pPr>
      <w:r>
        <w:rPr>
          <w:lang w:val="es-ES_tradnl"/>
        </w:rPr>
        <w:t>35.</w:t>
      </w:r>
      <w:r>
        <w:rPr>
          <w:lang w:val="es-ES_tradnl"/>
        </w:rPr>
        <w:tab/>
      </w:r>
      <w:r w:rsidR="00AE0B2C" w:rsidRPr="00BA6A4F">
        <w:rPr>
          <w:b/>
          <w:lang w:val="es-ES_tradnl"/>
        </w:rPr>
        <w:t>El Comité insta al Estado parte a</w:t>
      </w:r>
      <w:r w:rsidR="00982174">
        <w:rPr>
          <w:b/>
          <w:lang w:val="es-ES_tradnl"/>
        </w:rPr>
        <w:t xml:space="preserve">: </w:t>
      </w:r>
    </w:p>
    <w:p w14:paraId="0A2E3925" w14:textId="3CBFDF5C" w:rsidR="00F66C71" w:rsidRPr="00D1018D" w:rsidRDefault="006560D5" w:rsidP="00584DFD">
      <w:pPr>
        <w:pStyle w:val="SingleTxtG"/>
        <w:ind w:firstLine="567"/>
        <w:rPr>
          <w:b/>
        </w:rPr>
      </w:pPr>
      <w:r w:rsidRPr="00D1018D">
        <w:rPr>
          <w:b/>
        </w:rPr>
        <w:t>a)</w:t>
      </w:r>
      <w:r w:rsidRPr="00D1018D">
        <w:rPr>
          <w:b/>
        </w:rPr>
        <w:tab/>
      </w:r>
      <w:r w:rsidR="00F66C71" w:rsidRPr="00D1018D">
        <w:rPr>
          <w:b/>
        </w:rPr>
        <w:t xml:space="preserve">Cumplir con el compromiso expresado </w:t>
      </w:r>
      <w:r w:rsidR="00AD161D">
        <w:rPr>
          <w:b/>
        </w:rPr>
        <w:t xml:space="preserve">de </w:t>
      </w:r>
      <w:r w:rsidR="00B51305" w:rsidRPr="00D1018D">
        <w:rPr>
          <w:b/>
        </w:rPr>
        <w:t>que la</w:t>
      </w:r>
      <w:r w:rsidR="00F66C71" w:rsidRPr="00D1018D">
        <w:rPr>
          <w:b/>
        </w:rPr>
        <w:t xml:space="preserve"> implementación de la </w:t>
      </w:r>
      <w:r w:rsidR="00982174" w:rsidRPr="00D1018D">
        <w:rPr>
          <w:b/>
        </w:rPr>
        <w:t xml:space="preserve">política migratoria </w:t>
      </w:r>
      <w:r w:rsidR="00F66C71" w:rsidRPr="00D1018D">
        <w:rPr>
          <w:b/>
        </w:rPr>
        <w:t>2018-2024 est</w:t>
      </w:r>
      <w:r w:rsidR="00B51305" w:rsidRPr="00D1018D">
        <w:rPr>
          <w:b/>
        </w:rPr>
        <w:t>ará</w:t>
      </w:r>
      <w:r w:rsidR="00F66C71" w:rsidRPr="00D1018D">
        <w:rPr>
          <w:b/>
        </w:rPr>
        <w:t xml:space="preserve"> </w:t>
      </w:r>
      <w:r w:rsidR="00982174" w:rsidRPr="00D1018D">
        <w:rPr>
          <w:b/>
        </w:rPr>
        <w:t>basada en el respeto</w:t>
      </w:r>
      <w:r w:rsidR="00F66C71" w:rsidRPr="00D1018D">
        <w:rPr>
          <w:b/>
        </w:rPr>
        <w:t xml:space="preserve"> y protección</w:t>
      </w:r>
      <w:r w:rsidR="00982174" w:rsidRPr="00D1018D">
        <w:rPr>
          <w:b/>
        </w:rPr>
        <w:t xml:space="preserve"> de los derechos humanos </w:t>
      </w:r>
      <w:r w:rsidR="00F66C71" w:rsidRPr="00D1018D">
        <w:rPr>
          <w:b/>
        </w:rPr>
        <w:t>de l</w:t>
      </w:r>
      <w:r w:rsidR="00BB06B0">
        <w:rPr>
          <w:b/>
        </w:rPr>
        <w:t>o</w:t>
      </w:r>
      <w:r w:rsidR="00F66C71" w:rsidRPr="00D1018D">
        <w:rPr>
          <w:b/>
        </w:rPr>
        <w:t>s migrantes</w:t>
      </w:r>
      <w:r w:rsidR="00F83FBB">
        <w:rPr>
          <w:b/>
        </w:rPr>
        <w:t>, garantizando el respeto al principio de no devolución</w:t>
      </w:r>
      <w:r w:rsidR="00F66C71" w:rsidRPr="00D1018D">
        <w:rPr>
          <w:b/>
        </w:rPr>
        <w:t xml:space="preserve"> y teniendo debida consideración del Pacto Mundial para una Migración Segura, Ordenada y Regular; </w:t>
      </w:r>
    </w:p>
    <w:p w14:paraId="1BA2D645" w14:textId="45BE2749" w:rsidR="00F66C71" w:rsidRPr="00D1018D" w:rsidRDefault="006560D5" w:rsidP="00584DFD">
      <w:pPr>
        <w:pStyle w:val="SingleTxtG"/>
        <w:ind w:firstLine="567"/>
        <w:rPr>
          <w:b/>
        </w:rPr>
      </w:pPr>
      <w:r w:rsidRPr="00D1018D">
        <w:rPr>
          <w:b/>
        </w:rPr>
        <w:t>b)</w:t>
      </w:r>
      <w:r w:rsidRPr="00D1018D">
        <w:rPr>
          <w:b/>
        </w:rPr>
        <w:tab/>
      </w:r>
      <w:r w:rsidR="00F66C71" w:rsidRPr="00D1018D">
        <w:rPr>
          <w:b/>
        </w:rPr>
        <w:t>Definir</w:t>
      </w:r>
      <w:r w:rsidR="00982174" w:rsidRPr="00D1018D">
        <w:rPr>
          <w:b/>
        </w:rPr>
        <w:t xml:space="preserve"> alternativas a la detención de los </w:t>
      </w:r>
      <w:r w:rsidR="005948CB" w:rsidRPr="00D1018D">
        <w:rPr>
          <w:b/>
        </w:rPr>
        <w:t xml:space="preserve">solicitantes de asilo </w:t>
      </w:r>
      <w:r w:rsidR="00982174" w:rsidRPr="00D1018D">
        <w:rPr>
          <w:b/>
        </w:rPr>
        <w:t>y de los</w:t>
      </w:r>
      <w:r w:rsidR="005948CB">
        <w:rPr>
          <w:b/>
        </w:rPr>
        <w:t xml:space="preserve"> </w:t>
      </w:r>
      <w:r w:rsidR="005948CB" w:rsidRPr="00D1018D">
        <w:rPr>
          <w:b/>
        </w:rPr>
        <w:t>migrantes en situación irregular</w:t>
      </w:r>
      <w:r w:rsidR="00F66C71" w:rsidRPr="00D1018D">
        <w:rPr>
          <w:b/>
        </w:rPr>
        <w:t>;</w:t>
      </w:r>
    </w:p>
    <w:p w14:paraId="40C6F002" w14:textId="424513D1" w:rsidR="00712154" w:rsidRPr="00D1018D" w:rsidRDefault="006560D5" w:rsidP="00584DFD">
      <w:pPr>
        <w:pStyle w:val="SingleTxtG"/>
        <w:ind w:firstLine="567"/>
        <w:rPr>
          <w:b/>
        </w:rPr>
      </w:pPr>
      <w:r w:rsidRPr="00D1018D">
        <w:rPr>
          <w:b/>
        </w:rPr>
        <w:t>c)</w:t>
      </w:r>
      <w:r w:rsidRPr="00D1018D">
        <w:rPr>
          <w:b/>
        </w:rPr>
        <w:tab/>
      </w:r>
      <w:r w:rsidR="00F66C71" w:rsidRPr="00D1018D">
        <w:rPr>
          <w:b/>
        </w:rPr>
        <w:t>Velar</w:t>
      </w:r>
      <w:r w:rsidR="00982174" w:rsidRPr="00D1018D">
        <w:rPr>
          <w:b/>
        </w:rPr>
        <w:t xml:space="preserve"> por que ningún niño migrante</w:t>
      </w:r>
      <w:r w:rsidR="00DB3EC3" w:rsidRPr="00D1018D">
        <w:rPr>
          <w:b/>
        </w:rPr>
        <w:t xml:space="preserve"> </w:t>
      </w:r>
      <w:r w:rsidR="00D072FF" w:rsidRPr="00D1018D">
        <w:rPr>
          <w:b/>
        </w:rPr>
        <w:t>sea objeto de detención por su condición migratoria</w:t>
      </w:r>
      <w:r w:rsidR="00F66C71" w:rsidRPr="00D1018D">
        <w:rPr>
          <w:b/>
        </w:rPr>
        <w:t xml:space="preserve"> como lo establece la Ley General de </w:t>
      </w:r>
      <w:r w:rsidR="00085108">
        <w:rPr>
          <w:b/>
        </w:rPr>
        <w:t xml:space="preserve">los </w:t>
      </w:r>
      <w:r w:rsidR="00F66C71" w:rsidRPr="00D1018D">
        <w:rPr>
          <w:b/>
        </w:rPr>
        <w:t xml:space="preserve">Derechos de </w:t>
      </w:r>
      <w:r w:rsidR="00312AC2">
        <w:rPr>
          <w:b/>
        </w:rPr>
        <w:t>N</w:t>
      </w:r>
      <w:r w:rsidR="00F66C71" w:rsidRPr="00D1018D">
        <w:rPr>
          <w:b/>
        </w:rPr>
        <w:t xml:space="preserve">iñas, </w:t>
      </w:r>
      <w:r w:rsidR="00312AC2">
        <w:rPr>
          <w:b/>
        </w:rPr>
        <w:t>N</w:t>
      </w:r>
      <w:r w:rsidR="00F66C71" w:rsidRPr="00D1018D">
        <w:rPr>
          <w:b/>
        </w:rPr>
        <w:t xml:space="preserve">iños y </w:t>
      </w:r>
      <w:r w:rsidR="00312AC2">
        <w:rPr>
          <w:b/>
        </w:rPr>
        <w:t>A</w:t>
      </w:r>
      <w:r w:rsidR="00F66C71" w:rsidRPr="00D1018D">
        <w:rPr>
          <w:b/>
        </w:rPr>
        <w:t xml:space="preserve">dolescentes y </w:t>
      </w:r>
      <w:r w:rsidR="00B51305" w:rsidRPr="00D1018D">
        <w:rPr>
          <w:b/>
        </w:rPr>
        <w:t>por la aplicación de</w:t>
      </w:r>
      <w:r w:rsidR="00F66C71" w:rsidRPr="00D1018D">
        <w:rPr>
          <w:b/>
        </w:rPr>
        <w:t xml:space="preserve"> protocolos de atención </w:t>
      </w:r>
      <w:r w:rsidR="00D072FF" w:rsidRPr="00D1018D">
        <w:rPr>
          <w:b/>
        </w:rPr>
        <w:t xml:space="preserve">y protección adecuados teniendo </w:t>
      </w:r>
      <w:r w:rsidR="00F66C71" w:rsidRPr="00D1018D">
        <w:rPr>
          <w:b/>
        </w:rPr>
        <w:t xml:space="preserve">en cuenta </w:t>
      </w:r>
      <w:r w:rsidR="00712154" w:rsidRPr="00D1018D">
        <w:rPr>
          <w:b/>
        </w:rPr>
        <w:t>el principio del interés superior de</w:t>
      </w:r>
      <w:r w:rsidR="00E325DC">
        <w:rPr>
          <w:b/>
        </w:rPr>
        <w:t xml:space="preserve"> </w:t>
      </w:r>
      <w:r w:rsidR="00712154" w:rsidRPr="00D1018D">
        <w:rPr>
          <w:b/>
        </w:rPr>
        <w:t>l</w:t>
      </w:r>
      <w:r w:rsidR="00E325DC">
        <w:rPr>
          <w:b/>
        </w:rPr>
        <w:t>a</w:t>
      </w:r>
      <w:r w:rsidR="00712154" w:rsidRPr="00D1018D">
        <w:rPr>
          <w:b/>
        </w:rPr>
        <w:t xml:space="preserve"> niñ</w:t>
      </w:r>
      <w:r w:rsidR="00E325DC">
        <w:rPr>
          <w:b/>
        </w:rPr>
        <w:t>ez</w:t>
      </w:r>
      <w:r w:rsidR="00712154" w:rsidRPr="00D1018D">
        <w:rPr>
          <w:b/>
        </w:rPr>
        <w:t xml:space="preserve">; </w:t>
      </w:r>
    </w:p>
    <w:p w14:paraId="134955E2" w14:textId="324EC826" w:rsidR="00712154" w:rsidRPr="00D1018D" w:rsidRDefault="006560D5" w:rsidP="00584DFD">
      <w:pPr>
        <w:pStyle w:val="SingleTxtG"/>
        <w:ind w:firstLine="567"/>
        <w:rPr>
          <w:b/>
        </w:rPr>
      </w:pPr>
      <w:r w:rsidRPr="00D1018D">
        <w:rPr>
          <w:b/>
        </w:rPr>
        <w:t>d)</w:t>
      </w:r>
      <w:r w:rsidRPr="00D1018D">
        <w:rPr>
          <w:b/>
        </w:rPr>
        <w:tab/>
      </w:r>
      <w:r w:rsidR="00712154" w:rsidRPr="00D1018D">
        <w:rPr>
          <w:b/>
        </w:rPr>
        <w:t xml:space="preserve">Adoptar las medidas necesarias para </w:t>
      </w:r>
      <w:r w:rsidR="00DB3EC3" w:rsidRPr="00D1018D">
        <w:rPr>
          <w:b/>
        </w:rPr>
        <w:t xml:space="preserve">que las </w:t>
      </w:r>
      <w:r w:rsidR="00BB06B0">
        <w:rPr>
          <w:b/>
        </w:rPr>
        <w:t>e</w:t>
      </w:r>
      <w:r w:rsidR="00D072FF" w:rsidRPr="00D1018D">
        <w:rPr>
          <w:b/>
        </w:rPr>
        <w:t>sta</w:t>
      </w:r>
      <w:r w:rsidR="00085108">
        <w:rPr>
          <w:b/>
        </w:rPr>
        <w:t>ciones</w:t>
      </w:r>
      <w:r w:rsidR="00D072FF" w:rsidRPr="00D1018D">
        <w:rPr>
          <w:b/>
        </w:rPr>
        <w:t xml:space="preserve"> </w:t>
      </w:r>
      <w:r w:rsidR="00BB06B0">
        <w:rPr>
          <w:b/>
        </w:rPr>
        <w:t>m</w:t>
      </w:r>
      <w:r w:rsidR="00D072FF" w:rsidRPr="00D1018D">
        <w:rPr>
          <w:b/>
        </w:rPr>
        <w:t xml:space="preserve">igratorias cuenten con </w:t>
      </w:r>
      <w:r w:rsidR="00DB3EC3" w:rsidRPr="00D1018D">
        <w:rPr>
          <w:b/>
        </w:rPr>
        <w:t>condiciones</w:t>
      </w:r>
      <w:r w:rsidR="00D072FF" w:rsidRPr="00D1018D">
        <w:rPr>
          <w:b/>
        </w:rPr>
        <w:t xml:space="preserve"> de vida adecuadas en conformidad</w:t>
      </w:r>
      <w:r w:rsidR="00AE0B2C" w:rsidRPr="00D1018D">
        <w:rPr>
          <w:b/>
        </w:rPr>
        <w:t xml:space="preserve"> con las normas internacionales</w:t>
      </w:r>
      <w:r w:rsidR="00DB3EC3" w:rsidRPr="00D1018D">
        <w:rPr>
          <w:b/>
        </w:rPr>
        <w:t>;</w:t>
      </w:r>
    </w:p>
    <w:p w14:paraId="5A12A6EE" w14:textId="39AF9432" w:rsidR="00712154" w:rsidRPr="00D1018D" w:rsidRDefault="006560D5" w:rsidP="00584DFD">
      <w:pPr>
        <w:pStyle w:val="SingleTxtG"/>
        <w:ind w:firstLine="567"/>
        <w:rPr>
          <w:b/>
        </w:rPr>
      </w:pPr>
      <w:r w:rsidRPr="00D1018D">
        <w:rPr>
          <w:b/>
        </w:rPr>
        <w:t>e)</w:t>
      </w:r>
      <w:r w:rsidRPr="00D1018D">
        <w:rPr>
          <w:b/>
        </w:rPr>
        <w:tab/>
      </w:r>
      <w:r w:rsidR="00B51305" w:rsidRPr="00D1018D">
        <w:rPr>
          <w:b/>
        </w:rPr>
        <w:t>Evaluar</w:t>
      </w:r>
      <w:r w:rsidR="005E1C06" w:rsidRPr="00D1018D">
        <w:rPr>
          <w:b/>
        </w:rPr>
        <w:t xml:space="preserve"> </w:t>
      </w:r>
      <w:r w:rsidR="00D072FF" w:rsidRPr="00D1018D">
        <w:rPr>
          <w:b/>
        </w:rPr>
        <w:t xml:space="preserve">los efectos que tiene el despliegue de la Guardia Nacional para el control migratorio </w:t>
      </w:r>
      <w:r w:rsidR="005E1C06" w:rsidRPr="00D1018D">
        <w:rPr>
          <w:b/>
        </w:rPr>
        <w:t>con miras a su retiro</w:t>
      </w:r>
      <w:r w:rsidR="00B51305" w:rsidRPr="00D1018D">
        <w:rPr>
          <w:b/>
        </w:rPr>
        <w:t xml:space="preserve"> del control migratorio</w:t>
      </w:r>
      <w:r w:rsidR="005E1C06" w:rsidRPr="00D1018D">
        <w:rPr>
          <w:b/>
        </w:rPr>
        <w:t xml:space="preserve"> </w:t>
      </w:r>
      <w:r w:rsidR="00D072FF" w:rsidRPr="00D1018D">
        <w:rPr>
          <w:b/>
        </w:rPr>
        <w:t>e i</w:t>
      </w:r>
      <w:r w:rsidR="00F94488" w:rsidRPr="00D1018D">
        <w:rPr>
          <w:b/>
        </w:rPr>
        <w:t>ntensifi</w:t>
      </w:r>
      <w:r w:rsidR="00F14335">
        <w:rPr>
          <w:b/>
        </w:rPr>
        <w:t>car</w:t>
      </w:r>
      <w:r w:rsidR="00F94488" w:rsidRPr="00D1018D">
        <w:rPr>
          <w:b/>
        </w:rPr>
        <w:t xml:space="preserve"> sus esfuerzos por eliminar la práctica de perfilamiento racial en la gestión y operación migratoria, </w:t>
      </w:r>
      <w:r w:rsidR="005E1C06" w:rsidRPr="00D1018D">
        <w:rPr>
          <w:b/>
        </w:rPr>
        <w:t>incluso</w:t>
      </w:r>
      <w:r w:rsidR="00F94488" w:rsidRPr="00D1018D">
        <w:rPr>
          <w:b/>
        </w:rPr>
        <w:t xml:space="preserve"> mediante la amplia difusión y debida implementación de la Guía </w:t>
      </w:r>
      <w:r w:rsidR="00085108">
        <w:rPr>
          <w:b/>
        </w:rPr>
        <w:t>para la</w:t>
      </w:r>
      <w:r w:rsidR="00085108" w:rsidRPr="00D1018D">
        <w:rPr>
          <w:b/>
        </w:rPr>
        <w:t xml:space="preserve"> </w:t>
      </w:r>
      <w:r w:rsidR="00F14335">
        <w:rPr>
          <w:b/>
        </w:rPr>
        <w:t>a</w:t>
      </w:r>
      <w:r w:rsidR="00F94488" w:rsidRPr="00D1018D">
        <w:rPr>
          <w:b/>
        </w:rPr>
        <w:t xml:space="preserve">cción </w:t>
      </w:r>
      <w:r w:rsidR="00F14335">
        <w:rPr>
          <w:b/>
        </w:rPr>
        <w:t>p</w:t>
      </w:r>
      <w:r w:rsidR="00F94488" w:rsidRPr="00D1018D">
        <w:rPr>
          <w:b/>
        </w:rPr>
        <w:t xml:space="preserve">ública para la </w:t>
      </w:r>
      <w:r w:rsidR="00F14335">
        <w:rPr>
          <w:b/>
        </w:rPr>
        <w:t>p</w:t>
      </w:r>
      <w:r w:rsidR="00F94488" w:rsidRPr="00D1018D">
        <w:rPr>
          <w:b/>
        </w:rPr>
        <w:t xml:space="preserve">revención de </w:t>
      </w:r>
      <w:r w:rsidR="00F14335">
        <w:rPr>
          <w:b/>
        </w:rPr>
        <w:t>p</w:t>
      </w:r>
      <w:r w:rsidR="00F94488" w:rsidRPr="00D1018D">
        <w:rPr>
          <w:b/>
        </w:rPr>
        <w:t xml:space="preserve">rácticas de </w:t>
      </w:r>
      <w:r w:rsidR="00F14335">
        <w:rPr>
          <w:b/>
        </w:rPr>
        <w:t>p</w:t>
      </w:r>
      <w:r w:rsidR="00F94488" w:rsidRPr="00D1018D">
        <w:rPr>
          <w:b/>
        </w:rPr>
        <w:t xml:space="preserve">erfilamiento </w:t>
      </w:r>
      <w:r w:rsidR="00F14335">
        <w:rPr>
          <w:b/>
        </w:rPr>
        <w:t>r</w:t>
      </w:r>
      <w:r w:rsidR="00F94488" w:rsidRPr="00D1018D">
        <w:rPr>
          <w:b/>
        </w:rPr>
        <w:t>acial</w:t>
      </w:r>
      <w:r w:rsidR="00712154" w:rsidRPr="00D1018D">
        <w:rPr>
          <w:b/>
        </w:rPr>
        <w:t xml:space="preserve">; </w:t>
      </w:r>
    </w:p>
    <w:p w14:paraId="58420F08" w14:textId="1FD50920" w:rsidR="00D072FF" w:rsidRPr="00D1018D" w:rsidRDefault="006560D5" w:rsidP="00584DFD">
      <w:pPr>
        <w:pStyle w:val="SingleTxtG"/>
        <w:ind w:firstLine="567"/>
        <w:rPr>
          <w:b/>
        </w:rPr>
      </w:pPr>
      <w:r w:rsidRPr="00D1018D">
        <w:rPr>
          <w:b/>
        </w:rPr>
        <w:t>f)</w:t>
      </w:r>
      <w:r w:rsidRPr="00D1018D">
        <w:rPr>
          <w:b/>
        </w:rPr>
        <w:tab/>
      </w:r>
      <w:r w:rsidR="00D072FF" w:rsidRPr="00D1018D">
        <w:rPr>
          <w:b/>
        </w:rPr>
        <w:t>Llev</w:t>
      </w:r>
      <w:r w:rsidR="00B51305" w:rsidRPr="00D1018D">
        <w:rPr>
          <w:b/>
        </w:rPr>
        <w:t>ar</w:t>
      </w:r>
      <w:r w:rsidR="00D072FF" w:rsidRPr="00D1018D">
        <w:rPr>
          <w:b/>
        </w:rPr>
        <w:t xml:space="preserve"> a cabo investigaciones exhaustivas de </w:t>
      </w:r>
      <w:r w:rsidR="00CD609E" w:rsidRPr="00D1018D">
        <w:rPr>
          <w:b/>
        </w:rPr>
        <w:t xml:space="preserve">todos los actos de discriminación, uso excesivo de la fuerza y </w:t>
      </w:r>
      <w:r w:rsidR="00D072FF" w:rsidRPr="00D1018D">
        <w:rPr>
          <w:b/>
        </w:rPr>
        <w:t>abuso</w:t>
      </w:r>
      <w:r w:rsidR="00CD609E" w:rsidRPr="00D1018D">
        <w:rPr>
          <w:b/>
        </w:rPr>
        <w:t>s</w:t>
      </w:r>
      <w:r w:rsidR="00D072FF" w:rsidRPr="00D1018D">
        <w:rPr>
          <w:b/>
        </w:rPr>
        <w:t xml:space="preserve"> de autoridad cometido</w:t>
      </w:r>
      <w:r w:rsidR="00CD609E" w:rsidRPr="00D1018D">
        <w:rPr>
          <w:b/>
        </w:rPr>
        <w:t>s</w:t>
      </w:r>
      <w:r w:rsidR="00D072FF" w:rsidRPr="00D1018D">
        <w:rPr>
          <w:b/>
        </w:rPr>
        <w:t xml:space="preserve"> en contra de migrantes,</w:t>
      </w:r>
      <w:r w:rsidR="00CD609E" w:rsidRPr="00D1018D">
        <w:rPr>
          <w:b/>
        </w:rPr>
        <w:t xml:space="preserve"> asegurando que las víctimas tengan acceso a recursos judiciales efectivos y que los responsables sean enjuiciados y debidamente castigados; </w:t>
      </w:r>
    </w:p>
    <w:p w14:paraId="523E06E1" w14:textId="06430A37" w:rsidR="00225FAC" w:rsidRDefault="006560D5" w:rsidP="00584DFD">
      <w:pPr>
        <w:pStyle w:val="SingleTxtG"/>
        <w:ind w:firstLine="567"/>
        <w:rPr>
          <w:b/>
        </w:rPr>
      </w:pPr>
      <w:r>
        <w:rPr>
          <w:b/>
        </w:rPr>
        <w:t>g)</w:t>
      </w:r>
      <w:r>
        <w:rPr>
          <w:b/>
        </w:rPr>
        <w:tab/>
      </w:r>
      <w:r w:rsidR="00225FAC" w:rsidRPr="00D1018D">
        <w:rPr>
          <w:b/>
        </w:rPr>
        <w:t>Adopt</w:t>
      </w:r>
      <w:r w:rsidR="00B51305" w:rsidRPr="00D1018D">
        <w:rPr>
          <w:b/>
        </w:rPr>
        <w:t>ar</w:t>
      </w:r>
      <w:r w:rsidR="00225FAC" w:rsidRPr="00D1018D">
        <w:rPr>
          <w:b/>
        </w:rPr>
        <w:t xml:space="preserve"> medidas efectivas para prevenir y combatir el discurso de incitación a la discriminación racial y las manifestaciones de racismo en los medios de comunicación</w:t>
      </w:r>
      <w:r w:rsidR="00CD609E" w:rsidRPr="00D1018D">
        <w:rPr>
          <w:b/>
        </w:rPr>
        <w:t xml:space="preserve"> en contra de l</w:t>
      </w:r>
      <w:r w:rsidR="009F43F2">
        <w:rPr>
          <w:b/>
        </w:rPr>
        <w:t>o</w:t>
      </w:r>
      <w:r w:rsidR="00CD609E" w:rsidRPr="00D1018D">
        <w:rPr>
          <w:b/>
        </w:rPr>
        <w:t>s migrantes</w:t>
      </w:r>
      <w:r w:rsidR="00225FAC" w:rsidRPr="00D1018D">
        <w:rPr>
          <w:b/>
        </w:rPr>
        <w:t>.</w:t>
      </w:r>
    </w:p>
    <w:p w14:paraId="207E10D9" w14:textId="77777777" w:rsidR="00412385" w:rsidRPr="00BA6A4F" w:rsidRDefault="00412385" w:rsidP="00412385">
      <w:pPr>
        <w:pStyle w:val="H1G"/>
        <w:rPr>
          <w:lang w:val="es-ES_tradnl"/>
        </w:rPr>
      </w:pPr>
      <w:r>
        <w:rPr>
          <w:lang w:val="es-ES_tradnl"/>
        </w:rPr>
        <w:lastRenderedPageBreak/>
        <w:tab/>
      </w:r>
      <w:r w:rsidRPr="00BA6A4F">
        <w:rPr>
          <w:lang w:val="es-ES_tradnl"/>
        </w:rPr>
        <w:t>D.</w:t>
      </w:r>
      <w:r w:rsidRPr="00BA6A4F">
        <w:rPr>
          <w:lang w:val="es-ES_tradnl"/>
        </w:rPr>
        <w:tab/>
        <w:t>Otras recomendaciones</w:t>
      </w:r>
    </w:p>
    <w:p w14:paraId="1F590863" w14:textId="77777777" w:rsidR="00412385" w:rsidRPr="00BA6A4F" w:rsidRDefault="00412385" w:rsidP="00412385">
      <w:pPr>
        <w:pStyle w:val="H23G"/>
        <w:rPr>
          <w:lang w:val="es-ES_tradnl"/>
        </w:rPr>
      </w:pPr>
      <w:r w:rsidRPr="00BA6A4F">
        <w:rPr>
          <w:lang w:val="es-ES_tradnl"/>
        </w:rPr>
        <w:tab/>
      </w:r>
      <w:r w:rsidRPr="00BA6A4F">
        <w:rPr>
          <w:lang w:val="es-ES_tradnl"/>
        </w:rPr>
        <w:tab/>
        <w:t xml:space="preserve">Ratificación de otros tratados </w:t>
      </w:r>
    </w:p>
    <w:p w14:paraId="35A3703E" w14:textId="69D3F1C4" w:rsidR="00412385" w:rsidRPr="00A62B07" w:rsidRDefault="006560D5" w:rsidP="00584DFD">
      <w:pPr>
        <w:pStyle w:val="SingleTxtG"/>
        <w:rPr>
          <w:b/>
          <w:lang w:val="es-ES_tradnl"/>
        </w:rPr>
      </w:pPr>
      <w:r w:rsidRPr="00A62B07">
        <w:rPr>
          <w:lang w:val="es-ES_tradnl"/>
        </w:rPr>
        <w:t>36.</w:t>
      </w:r>
      <w:r w:rsidRPr="00A62B07">
        <w:rPr>
          <w:lang w:val="es-ES_tradnl"/>
        </w:rPr>
        <w:tab/>
      </w:r>
      <w:r w:rsidR="00412385" w:rsidRPr="00A62B07">
        <w:rPr>
          <w:b/>
          <w:lang w:val="es-ES_tradnl"/>
        </w:rPr>
        <w:t>Teniendo presente la indivisibilidad de todos los derechos humanos, el Comité alienta al Estado parte a que considere la posibilidad de ratificar los tratados internacionales de derechos humanos que todavía no haya ratificado</w:t>
      </w:r>
      <w:r w:rsidR="009F43F2">
        <w:rPr>
          <w:b/>
          <w:lang w:val="es-ES_tradnl"/>
        </w:rPr>
        <w:t>,</w:t>
      </w:r>
      <w:r w:rsidR="00412385" w:rsidRPr="00A62B07">
        <w:rPr>
          <w:b/>
          <w:lang w:val="es-ES_tradnl"/>
        </w:rPr>
        <w:t xml:space="preserve"> como el Protocolo Facultativo del Pacto Internacional de Derechos Económicos, Sociales y Culturales, el Protocolo </w:t>
      </w:r>
      <w:r w:rsidR="00412385" w:rsidRPr="00A62B07">
        <w:rPr>
          <w:b/>
          <w:noProof/>
          <w:lang w:val="es-ES_tradnl"/>
        </w:rPr>
        <w:t>Facultativo de la Convención sobre los Derechos del Niño relativo a un procedimiento de comunicaciones</w:t>
      </w:r>
      <w:r w:rsidR="009F43F2">
        <w:rPr>
          <w:b/>
          <w:noProof/>
          <w:lang w:val="es-ES_tradnl"/>
        </w:rPr>
        <w:t>,</w:t>
      </w:r>
      <w:r w:rsidR="00412385" w:rsidRPr="00A62B07">
        <w:rPr>
          <w:b/>
          <w:bCs/>
          <w:noProof/>
          <w:lang w:val="es-ES_tradnl"/>
        </w:rPr>
        <w:t xml:space="preserve"> </w:t>
      </w:r>
      <w:r w:rsidR="00412385" w:rsidRPr="00A62B07">
        <w:rPr>
          <w:b/>
          <w:lang w:val="es-ES_tradnl"/>
        </w:rPr>
        <w:t>la Convención para Reducir los Casos de Apatridia</w:t>
      </w:r>
      <w:r w:rsidR="009F43F2">
        <w:rPr>
          <w:b/>
          <w:lang w:val="es-ES_tradnl"/>
        </w:rPr>
        <w:t>,</w:t>
      </w:r>
      <w:r w:rsidR="00412385" w:rsidRPr="00A62B07">
        <w:rPr>
          <w:b/>
          <w:lang w:val="es-ES_tradnl"/>
        </w:rPr>
        <w:t xml:space="preserve"> de 1961</w:t>
      </w:r>
      <w:r w:rsidR="009F43F2">
        <w:rPr>
          <w:b/>
          <w:lang w:val="es-ES_tradnl"/>
        </w:rPr>
        <w:t xml:space="preserve">, </w:t>
      </w:r>
      <w:r w:rsidR="00412385" w:rsidRPr="00A62B07">
        <w:rPr>
          <w:b/>
          <w:bCs/>
          <w:noProof/>
          <w:lang w:val="es-ES_tradnl"/>
        </w:rPr>
        <w:t xml:space="preserve">así como </w:t>
      </w:r>
      <w:r w:rsidR="00412385" w:rsidRPr="00A62B07">
        <w:rPr>
          <w:b/>
          <w:bCs/>
          <w:lang w:val="es-ES_tradnl"/>
        </w:rPr>
        <w:t xml:space="preserve">el Convenio sobre las Trabajadoras y los Trabajadores Domésticos, 2011 (núm. 189), de la </w:t>
      </w:r>
      <w:r w:rsidR="009F43F2">
        <w:rPr>
          <w:b/>
          <w:bCs/>
          <w:lang w:val="es-ES_tradnl"/>
        </w:rPr>
        <w:t>OIT</w:t>
      </w:r>
      <w:r w:rsidR="00412385" w:rsidRPr="00A62B07">
        <w:rPr>
          <w:b/>
          <w:bCs/>
          <w:lang w:val="es-ES_tradnl"/>
        </w:rPr>
        <w:t>.</w:t>
      </w:r>
      <w:r w:rsidR="00412385" w:rsidRPr="00A62B07">
        <w:rPr>
          <w:b/>
          <w:lang w:val="es-ES_tradnl"/>
        </w:rPr>
        <w:t xml:space="preserve"> Por último, el Comité recomienda al Estado parte que considere la posibilidad de ratificar </w:t>
      </w:r>
      <w:r w:rsidR="00412385" w:rsidRPr="00A62B07">
        <w:rPr>
          <w:b/>
          <w:bCs/>
          <w:noProof/>
          <w:lang w:val="es-ES_tradnl"/>
        </w:rPr>
        <w:t>la Convención Interamericana contra el Racismo, la Discriminación Racial y Formas Conexas de Intolerancia</w:t>
      </w:r>
      <w:r w:rsidR="00D87164">
        <w:rPr>
          <w:b/>
          <w:bCs/>
          <w:noProof/>
          <w:lang w:val="es-ES_tradnl"/>
        </w:rPr>
        <w:t>,</w:t>
      </w:r>
      <w:r w:rsidR="00412385" w:rsidRPr="00A62B07">
        <w:rPr>
          <w:b/>
          <w:bCs/>
          <w:noProof/>
          <w:lang w:val="es-ES_tradnl"/>
        </w:rPr>
        <w:t xml:space="preserve"> de 2013, y la Convención Interamericana </w:t>
      </w:r>
      <w:r w:rsidR="002E609E">
        <w:rPr>
          <w:b/>
          <w:bCs/>
          <w:noProof/>
          <w:lang w:val="es-ES_tradnl"/>
        </w:rPr>
        <w:t>c</w:t>
      </w:r>
      <w:r w:rsidR="00412385" w:rsidRPr="00A62B07">
        <w:rPr>
          <w:b/>
          <w:bCs/>
          <w:noProof/>
          <w:lang w:val="es-ES_tradnl"/>
        </w:rPr>
        <w:t>ontra Toda Forma de Discriminación e Intolerancia</w:t>
      </w:r>
      <w:r w:rsidR="00D87164">
        <w:rPr>
          <w:b/>
          <w:bCs/>
          <w:noProof/>
          <w:lang w:val="es-ES_tradnl"/>
        </w:rPr>
        <w:t>,</w:t>
      </w:r>
      <w:r w:rsidR="00412385" w:rsidRPr="00A62B07">
        <w:rPr>
          <w:b/>
          <w:bCs/>
          <w:noProof/>
          <w:lang w:val="es-ES_tradnl"/>
        </w:rPr>
        <w:t xml:space="preserve"> de 2013</w:t>
      </w:r>
      <w:r w:rsidR="00412385" w:rsidRPr="00A62B07">
        <w:rPr>
          <w:b/>
          <w:lang w:val="es-ES_tradnl"/>
        </w:rPr>
        <w:t>.</w:t>
      </w:r>
    </w:p>
    <w:p w14:paraId="5A15CFCA" w14:textId="77777777" w:rsidR="00412385" w:rsidRPr="00A62B07" w:rsidRDefault="00412385" w:rsidP="00412385">
      <w:pPr>
        <w:pStyle w:val="H23G"/>
        <w:rPr>
          <w:lang w:val="es-ES_tradnl"/>
        </w:rPr>
      </w:pPr>
      <w:r w:rsidRPr="00A62B07">
        <w:rPr>
          <w:lang w:val="es-ES_tradnl"/>
        </w:rPr>
        <w:tab/>
      </w:r>
      <w:r w:rsidRPr="00A62B07">
        <w:rPr>
          <w:lang w:val="es-ES_tradnl"/>
        </w:rPr>
        <w:tab/>
        <w:t>Seguimiento de la Declaración y el Programa de Acción de Durban</w:t>
      </w:r>
    </w:p>
    <w:p w14:paraId="11D16D59" w14:textId="1FAA7349" w:rsidR="00412385" w:rsidRPr="00A62B07" w:rsidRDefault="006560D5" w:rsidP="00584DFD">
      <w:pPr>
        <w:pStyle w:val="SingleTxtG"/>
        <w:rPr>
          <w:b/>
          <w:lang w:val="es-ES_tradnl"/>
        </w:rPr>
      </w:pPr>
      <w:r w:rsidRPr="00A62B07">
        <w:rPr>
          <w:lang w:val="es-ES_tradnl"/>
        </w:rPr>
        <w:t>37.</w:t>
      </w:r>
      <w:r w:rsidRPr="00A62B07">
        <w:rPr>
          <w:lang w:val="es-ES_tradnl"/>
        </w:rPr>
        <w:tab/>
      </w:r>
      <w:r w:rsidR="00412385" w:rsidRPr="00A62B07">
        <w:rPr>
          <w:b/>
          <w:lang w:val="es-ES_tradnl"/>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 </w:t>
      </w:r>
    </w:p>
    <w:p w14:paraId="2A5CB791" w14:textId="77777777" w:rsidR="00412385" w:rsidRPr="00A62B07" w:rsidRDefault="00412385" w:rsidP="00412385">
      <w:pPr>
        <w:pStyle w:val="H23G"/>
        <w:rPr>
          <w:lang w:val="es-ES_tradnl"/>
        </w:rPr>
      </w:pPr>
      <w:r w:rsidRPr="00A62B07">
        <w:rPr>
          <w:lang w:val="es-ES_tradnl"/>
        </w:rPr>
        <w:tab/>
      </w:r>
      <w:r w:rsidRPr="00A62B07">
        <w:rPr>
          <w:lang w:val="es-ES_tradnl"/>
        </w:rPr>
        <w:tab/>
        <w:t xml:space="preserve">Decenio Internacional de los Afrodescendientes </w:t>
      </w:r>
    </w:p>
    <w:p w14:paraId="41FAED0C" w14:textId="6D34DA5F" w:rsidR="00412385" w:rsidRPr="00A62B07" w:rsidRDefault="006560D5" w:rsidP="00584DFD">
      <w:pPr>
        <w:pStyle w:val="SingleTxtG"/>
        <w:rPr>
          <w:b/>
          <w:lang w:val="es-ES_tradnl"/>
        </w:rPr>
      </w:pPr>
      <w:r w:rsidRPr="00A62B07">
        <w:rPr>
          <w:lang w:val="es-ES_tradnl"/>
        </w:rPr>
        <w:t>38.</w:t>
      </w:r>
      <w:r w:rsidRPr="00A62B07">
        <w:rPr>
          <w:lang w:val="es-ES_tradnl"/>
        </w:rPr>
        <w:tab/>
      </w:r>
      <w:r w:rsidR="00412385" w:rsidRPr="00A62B07">
        <w:rPr>
          <w:b/>
          <w:lang w:val="es-ES_tradnl"/>
        </w:rPr>
        <w:t xml:space="preserve">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 </w:t>
      </w:r>
      <w:r w:rsidR="00412385" w:rsidRPr="00A62B07">
        <w:rPr>
          <w:b/>
          <w:bCs/>
          <w:lang w:val="es-ES_tradnl"/>
        </w:rPr>
        <w:t>en colaboración con las organizaciones y los pueblos afrodescendientes</w:t>
      </w:r>
      <w:r w:rsidR="00412385" w:rsidRPr="00A62B07">
        <w:rPr>
          <w:b/>
          <w:lang w:val="es-ES_tradnl"/>
        </w:rPr>
        <w:t xml:space="preserve">. El Comité solicita al Estado parte que incluya en su próximo informe información precisa sobre las medidas concretas adoptadas en ese marco, teniendo en cuenta su recomendación general núm. 34 (2011) sobre la discriminación racial contra afrodescendientes. </w:t>
      </w:r>
    </w:p>
    <w:p w14:paraId="5264C81D" w14:textId="77777777" w:rsidR="00412385" w:rsidRPr="00A62B07" w:rsidRDefault="00412385" w:rsidP="00412385">
      <w:pPr>
        <w:pStyle w:val="H23G"/>
        <w:rPr>
          <w:lang w:val="es-ES_tradnl"/>
        </w:rPr>
      </w:pPr>
      <w:r w:rsidRPr="00A62B07">
        <w:rPr>
          <w:lang w:val="es-ES_tradnl"/>
        </w:rPr>
        <w:tab/>
      </w:r>
      <w:r w:rsidRPr="00A62B07">
        <w:rPr>
          <w:lang w:val="es-ES_tradnl"/>
        </w:rPr>
        <w:tab/>
        <w:t>Consultas con la sociedad civil</w:t>
      </w:r>
    </w:p>
    <w:p w14:paraId="7F5DE9CE" w14:textId="6601C6CF" w:rsidR="00412385" w:rsidRPr="00A62B07" w:rsidRDefault="006560D5" w:rsidP="00584DFD">
      <w:pPr>
        <w:pStyle w:val="SingleTxtG"/>
        <w:rPr>
          <w:b/>
          <w:lang w:val="es-ES_tradnl"/>
        </w:rPr>
      </w:pPr>
      <w:r w:rsidRPr="00A62B07">
        <w:rPr>
          <w:lang w:val="es-ES_tradnl"/>
        </w:rPr>
        <w:t>39.</w:t>
      </w:r>
      <w:r w:rsidRPr="00A62B07">
        <w:rPr>
          <w:lang w:val="es-ES_tradnl"/>
        </w:rPr>
        <w:tab/>
      </w:r>
      <w:r w:rsidR="00412385" w:rsidRPr="00A62B07">
        <w:rPr>
          <w:b/>
          <w:lang w:val="es-ES_tradnl"/>
        </w:rPr>
        <w:t>El Comité recomienda al Estado parte que siga celebrando consultas y ampliando su diálogo con las organizaciones de la sociedad civil que se dedican a la protección de los derechos humanos, en particular las que se dedican a la lucha contra la discriminación racial, así como con la Comisión Nacional de Derechos Humanos, en relación con la preparación del próximo informe periódico y el seguimiento de las presentes observaciones finales.</w:t>
      </w:r>
    </w:p>
    <w:p w14:paraId="50DF8BE8" w14:textId="77777777" w:rsidR="00412385" w:rsidRPr="00A62B07" w:rsidRDefault="00412385" w:rsidP="00412385">
      <w:pPr>
        <w:pStyle w:val="H23G"/>
        <w:rPr>
          <w:lang w:val="es-ES_tradnl"/>
        </w:rPr>
      </w:pPr>
      <w:r w:rsidRPr="00A62B07">
        <w:rPr>
          <w:lang w:val="es-ES_tradnl"/>
        </w:rPr>
        <w:tab/>
      </w:r>
      <w:r w:rsidRPr="00A62B07">
        <w:rPr>
          <w:lang w:val="es-ES_tradnl"/>
        </w:rPr>
        <w:tab/>
        <w:t>Difusión de información</w:t>
      </w:r>
    </w:p>
    <w:p w14:paraId="2B0717BA" w14:textId="46F5FD43" w:rsidR="00412385" w:rsidRPr="00A62B07" w:rsidRDefault="006560D5" w:rsidP="00584DFD">
      <w:pPr>
        <w:pStyle w:val="SingleTxtG"/>
        <w:rPr>
          <w:b/>
          <w:bCs/>
          <w:noProof/>
          <w:lang w:val="es-ES_tradnl"/>
        </w:rPr>
      </w:pPr>
      <w:r w:rsidRPr="00A62B07">
        <w:rPr>
          <w:bCs/>
          <w:noProof/>
          <w:lang w:val="es-ES_tradnl"/>
        </w:rPr>
        <w:t>40.</w:t>
      </w:r>
      <w:r w:rsidRPr="00A62B07">
        <w:rPr>
          <w:bCs/>
          <w:noProof/>
          <w:lang w:val="es-ES_tradnl"/>
        </w:rPr>
        <w:tab/>
      </w:r>
      <w:r w:rsidR="00412385" w:rsidRPr="00A62B07">
        <w:rPr>
          <w:b/>
          <w:bCs/>
          <w:noProof/>
          <w:lang w:val="es-ES_tradnl"/>
        </w:rPr>
        <w:t xml:space="preserve">El Comité recomienda que el </w:t>
      </w:r>
      <w:r w:rsidR="00412385" w:rsidRPr="00A62B07">
        <w:rPr>
          <w:b/>
          <w:noProof/>
          <w:lang w:val="es-ES_tradnl"/>
        </w:rPr>
        <w:t>Estado</w:t>
      </w:r>
      <w:r w:rsidR="00412385" w:rsidRPr="00A62B07">
        <w:rPr>
          <w:b/>
          <w:bCs/>
          <w:noProof/>
          <w:lang w:val="es-ES_tradnl"/>
        </w:rPr>
        <w:t xml:space="preserve"> parte ponga sus informes a disposición del </w:t>
      </w:r>
      <w:r w:rsidR="00412385" w:rsidRPr="00A62B07">
        <w:rPr>
          <w:b/>
          <w:noProof/>
          <w:lang w:val="es-ES_tradnl"/>
        </w:rPr>
        <w:t>público</w:t>
      </w:r>
      <w:r w:rsidR="00412385" w:rsidRPr="00A62B07">
        <w:rPr>
          <w:b/>
          <w:bCs/>
          <w:noProof/>
          <w:lang w:val="es-ES_tradnl"/>
        </w:rPr>
        <w:t xml:space="preserve"> </w:t>
      </w:r>
      <w:r w:rsidR="00412385" w:rsidRPr="00A62B07">
        <w:rPr>
          <w:b/>
          <w:noProof/>
          <w:lang w:val="es-ES_tradnl"/>
        </w:rPr>
        <w:t>desde</w:t>
      </w:r>
      <w:r w:rsidR="00412385" w:rsidRPr="00A62B07">
        <w:rPr>
          <w:b/>
          <w:bCs/>
          <w:noProof/>
          <w:lang w:val="es-ES_tradnl"/>
        </w:rPr>
        <w:t xml:space="preserve"> el momento mismo de su presentación y que difunda las presentes observaciones finales en el idioma oficial, así como en otras lenguas de uso común en el Estado parte.</w:t>
      </w:r>
    </w:p>
    <w:p w14:paraId="4A26093F" w14:textId="77777777" w:rsidR="00412385" w:rsidRPr="00A62B07" w:rsidRDefault="00412385" w:rsidP="00412385">
      <w:pPr>
        <w:pStyle w:val="H23G"/>
        <w:rPr>
          <w:lang w:val="es-ES_tradnl"/>
        </w:rPr>
      </w:pPr>
      <w:r w:rsidRPr="00A62B07">
        <w:rPr>
          <w:lang w:val="es-ES_tradnl"/>
        </w:rPr>
        <w:tab/>
      </w:r>
      <w:r w:rsidRPr="00A62B07">
        <w:rPr>
          <w:lang w:val="es-ES_tradnl"/>
        </w:rPr>
        <w:tab/>
        <w:t>Seguimiento de las presentes observaciones finales</w:t>
      </w:r>
    </w:p>
    <w:p w14:paraId="303D8516" w14:textId="6A306B49" w:rsidR="00412385" w:rsidRPr="00A62B07" w:rsidRDefault="006560D5" w:rsidP="00584DFD">
      <w:pPr>
        <w:pStyle w:val="SingleTxtG"/>
        <w:rPr>
          <w:b/>
          <w:strike/>
          <w:lang w:val="es-ES_tradnl"/>
        </w:rPr>
      </w:pPr>
      <w:r w:rsidRPr="00A62B07">
        <w:rPr>
          <w:lang w:val="es-ES_tradnl"/>
        </w:rPr>
        <w:t>41.</w:t>
      </w:r>
      <w:r w:rsidRPr="00A62B07">
        <w:rPr>
          <w:lang w:val="es-ES_tradnl"/>
        </w:rPr>
        <w:tab/>
      </w:r>
      <w:r w:rsidR="00412385" w:rsidRPr="00A62B07">
        <w:rPr>
          <w:b/>
          <w:lang w:val="es-ES_tradnl"/>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w:t>
      </w:r>
      <w:r w:rsidR="00412385" w:rsidRPr="00A62B07">
        <w:rPr>
          <w:b/>
          <w:lang w:val="es-ES_tradnl"/>
        </w:rPr>
        <w:lastRenderedPageBreak/>
        <w:t>aplicación de las recomendaciones que figuran en los párrafos 11</w:t>
      </w:r>
      <w:r w:rsidR="00E37537">
        <w:rPr>
          <w:b/>
          <w:lang w:val="es-ES_tradnl"/>
        </w:rPr>
        <w:t xml:space="preserve"> (</w:t>
      </w:r>
      <w:r w:rsidR="00AC739F">
        <w:rPr>
          <w:b/>
          <w:lang w:val="es-ES_tradnl"/>
        </w:rPr>
        <w:t>o</w:t>
      </w:r>
      <w:r w:rsidR="00E37537">
        <w:rPr>
          <w:b/>
          <w:lang w:val="es-ES_tradnl"/>
        </w:rPr>
        <w:t>dio racial e incitación a la discriminación racial)</w:t>
      </w:r>
      <w:r w:rsidR="00412385" w:rsidRPr="00A62B07">
        <w:rPr>
          <w:b/>
          <w:lang w:val="es-ES_tradnl"/>
        </w:rPr>
        <w:t>, 21</w:t>
      </w:r>
      <w:r w:rsidR="00D30E56">
        <w:rPr>
          <w:b/>
          <w:lang w:val="es-ES_tradnl"/>
        </w:rPr>
        <w:t>, apartado</w:t>
      </w:r>
      <w:r w:rsidR="00412385" w:rsidRPr="00A62B07">
        <w:rPr>
          <w:b/>
          <w:lang w:val="es-ES_tradnl"/>
        </w:rPr>
        <w:t xml:space="preserve"> </w:t>
      </w:r>
      <w:r w:rsidR="00087170">
        <w:rPr>
          <w:b/>
          <w:lang w:val="es-ES_tradnl"/>
        </w:rPr>
        <w:t>b</w:t>
      </w:r>
      <w:r w:rsidR="00412385" w:rsidRPr="00A62B07">
        <w:rPr>
          <w:b/>
          <w:lang w:val="es-ES_tradnl"/>
        </w:rPr>
        <w:t>)</w:t>
      </w:r>
      <w:r w:rsidR="00E37537">
        <w:rPr>
          <w:b/>
          <w:lang w:val="es-ES_tradnl"/>
        </w:rPr>
        <w:t xml:space="preserve"> (</w:t>
      </w:r>
      <w:r w:rsidR="00AC739F">
        <w:rPr>
          <w:b/>
          <w:lang w:val="es-ES_tradnl"/>
        </w:rPr>
        <w:t>c</w:t>
      </w:r>
      <w:r w:rsidR="00E37537">
        <w:rPr>
          <w:b/>
          <w:lang w:val="es-ES_tradnl"/>
        </w:rPr>
        <w:t>onsentimiento libre, previo e informado)</w:t>
      </w:r>
      <w:r w:rsidR="00412385" w:rsidRPr="00A62B07">
        <w:rPr>
          <w:b/>
          <w:lang w:val="es-ES_tradnl"/>
        </w:rPr>
        <w:t xml:space="preserve">, </w:t>
      </w:r>
      <w:r w:rsidR="00D30E56">
        <w:rPr>
          <w:b/>
          <w:lang w:val="es-ES_tradnl"/>
        </w:rPr>
        <w:t xml:space="preserve">y </w:t>
      </w:r>
      <w:r w:rsidR="00412385" w:rsidRPr="00A62B07">
        <w:rPr>
          <w:b/>
          <w:lang w:val="es-ES_tradnl"/>
        </w:rPr>
        <w:t>3</w:t>
      </w:r>
      <w:r w:rsidR="00087170">
        <w:rPr>
          <w:b/>
          <w:lang w:val="es-ES_tradnl"/>
        </w:rPr>
        <w:t>1</w:t>
      </w:r>
      <w:r w:rsidR="00D30E56">
        <w:rPr>
          <w:b/>
          <w:lang w:val="es-ES_tradnl"/>
        </w:rPr>
        <w:t>, apartado</w:t>
      </w:r>
      <w:r w:rsidR="00412385" w:rsidRPr="00A62B07">
        <w:rPr>
          <w:b/>
          <w:lang w:val="es-ES_tradnl"/>
        </w:rPr>
        <w:t xml:space="preserve"> b)</w:t>
      </w:r>
      <w:r w:rsidR="00E37537">
        <w:rPr>
          <w:b/>
          <w:lang w:val="es-ES_tradnl"/>
        </w:rPr>
        <w:t xml:space="preserve"> (</w:t>
      </w:r>
      <w:r w:rsidR="00D65E6F">
        <w:rPr>
          <w:b/>
          <w:lang w:val="es-ES_tradnl"/>
        </w:rPr>
        <w:t>p</w:t>
      </w:r>
      <w:r w:rsidR="00E37537">
        <w:rPr>
          <w:b/>
          <w:lang w:val="es-ES_tradnl"/>
        </w:rPr>
        <w:t>ersonas defensoras de derechos humanos)</w:t>
      </w:r>
      <w:r w:rsidR="000629BD">
        <w:rPr>
          <w:b/>
          <w:lang w:val="es-ES_tradnl"/>
        </w:rPr>
        <w:t xml:space="preserve"> </w:t>
      </w:r>
      <w:r w:rsidR="000629BD" w:rsidRPr="00584DFD">
        <w:rPr>
          <w:b/>
          <w:i/>
          <w:iCs/>
          <w:lang w:val="es-ES_tradnl"/>
        </w:rPr>
        <w:t>supra</w:t>
      </w:r>
      <w:r w:rsidR="00412385" w:rsidRPr="00A62B07">
        <w:rPr>
          <w:b/>
          <w:lang w:val="es-ES_tradnl"/>
        </w:rPr>
        <w:t>.</w:t>
      </w:r>
    </w:p>
    <w:p w14:paraId="4327769B" w14:textId="77777777" w:rsidR="00412385" w:rsidRPr="00A62B07" w:rsidRDefault="00412385" w:rsidP="00412385">
      <w:pPr>
        <w:pStyle w:val="H23G"/>
        <w:rPr>
          <w:lang w:val="es-ES_tradnl"/>
        </w:rPr>
      </w:pPr>
      <w:r w:rsidRPr="00A62B07">
        <w:rPr>
          <w:lang w:val="es-ES_tradnl"/>
        </w:rPr>
        <w:tab/>
      </w:r>
      <w:r w:rsidRPr="00A62B07">
        <w:rPr>
          <w:lang w:val="es-ES_tradnl"/>
        </w:rPr>
        <w:tab/>
        <w:t>Párrafos de particular importancia</w:t>
      </w:r>
    </w:p>
    <w:p w14:paraId="5BFDFB70" w14:textId="5E90D052" w:rsidR="00412385" w:rsidRPr="00A62B07" w:rsidRDefault="006560D5" w:rsidP="00584DFD">
      <w:pPr>
        <w:pStyle w:val="SingleTxtG"/>
        <w:rPr>
          <w:b/>
          <w:lang w:val="es-ES_tradnl"/>
        </w:rPr>
      </w:pPr>
      <w:r w:rsidRPr="00A62B07">
        <w:rPr>
          <w:lang w:val="es-ES_tradnl"/>
        </w:rPr>
        <w:t>42.</w:t>
      </w:r>
      <w:r w:rsidRPr="00A62B07">
        <w:rPr>
          <w:lang w:val="es-ES_tradnl"/>
        </w:rPr>
        <w:tab/>
      </w:r>
      <w:r w:rsidR="00412385" w:rsidRPr="00A62B07">
        <w:rPr>
          <w:b/>
          <w:lang w:val="es-ES_tradnl"/>
        </w:rPr>
        <w:t>El Comité desea señalar a la atención del Estado parte la particular importancia de las recomendaciones que figuran en los párrafos 7, 15, 23, 25</w:t>
      </w:r>
      <w:r w:rsidR="00D30E56">
        <w:rPr>
          <w:b/>
          <w:lang w:val="es-ES_tradnl"/>
        </w:rPr>
        <w:t xml:space="preserve"> y</w:t>
      </w:r>
      <w:r w:rsidR="00087170">
        <w:rPr>
          <w:b/>
          <w:lang w:val="es-ES_tradnl"/>
        </w:rPr>
        <w:t xml:space="preserve"> </w:t>
      </w:r>
      <w:r w:rsidR="00087170" w:rsidRPr="00A62B07">
        <w:rPr>
          <w:b/>
          <w:lang w:val="es-ES_tradnl"/>
        </w:rPr>
        <w:t>35</w:t>
      </w:r>
      <w:r w:rsidR="00D30E56">
        <w:rPr>
          <w:b/>
          <w:lang w:val="es-ES_tradnl"/>
        </w:rPr>
        <w:t>, apartado</w:t>
      </w:r>
      <w:r w:rsidR="00087170" w:rsidRPr="00A62B07">
        <w:rPr>
          <w:b/>
          <w:lang w:val="es-ES_tradnl"/>
        </w:rPr>
        <w:t xml:space="preserve"> e)</w:t>
      </w:r>
      <w:r w:rsidR="00D30E56">
        <w:rPr>
          <w:b/>
          <w:lang w:val="es-ES_tradnl"/>
        </w:rPr>
        <w:t xml:space="preserve"> </w:t>
      </w:r>
      <w:r w:rsidR="00D30E56" w:rsidRPr="00584DFD">
        <w:rPr>
          <w:b/>
          <w:i/>
          <w:iCs/>
          <w:lang w:val="es-ES_tradnl"/>
        </w:rPr>
        <w:t>supra</w:t>
      </w:r>
      <w:r w:rsidR="00412385" w:rsidRPr="00A62B07">
        <w:rPr>
          <w:b/>
          <w:lang w:val="es-ES_tradnl"/>
        </w:rPr>
        <w:t xml:space="preserve"> y le solicita que en su próximo informe periódico facilite información detallada sobre las medidas concretas que haya adoptado para aplicarlas.</w:t>
      </w:r>
    </w:p>
    <w:p w14:paraId="39A3DD71" w14:textId="77777777" w:rsidR="00412385" w:rsidRPr="00A62B07" w:rsidRDefault="00412385" w:rsidP="00412385">
      <w:pPr>
        <w:pStyle w:val="H23G"/>
        <w:rPr>
          <w:lang w:val="es-ES_tradnl"/>
        </w:rPr>
      </w:pPr>
      <w:r w:rsidRPr="00A62B07">
        <w:rPr>
          <w:lang w:val="es-ES_tradnl"/>
        </w:rPr>
        <w:tab/>
      </w:r>
      <w:r w:rsidRPr="00A62B07">
        <w:rPr>
          <w:lang w:val="es-ES_tradnl"/>
        </w:rPr>
        <w:tab/>
        <w:t>Preparación del próximo informe periódico</w:t>
      </w:r>
    </w:p>
    <w:p w14:paraId="27BB2F23" w14:textId="7494BCD7" w:rsidR="00412385" w:rsidRDefault="006560D5" w:rsidP="006560D5">
      <w:pPr>
        <w:pStyle w:val="SingleTxtG"/>
        <w:rPr>
          <w:b/>
          <w:lang w:val="es-ES_tradnl"/>
        </w:rPr>
      </w:pPr>
      <w:r w:rsidRPr="00A92321">
        <w:rPr>
          <w:lang w:val="es-419"/>
        </w:rPr>
        <w:t>43.</w:t>
      </w:r>
      <w:r w:rsidRPr="00A92321">
        <w:rPr>
          <w:lang w:val="es-419"/>
        </w:rPr>
        <w:tab/>
      </w:r>
      <w:r w:rsidR="00412385" w:rsidRPr="00A92321">
        <w:rPr>
          <w:b/>
          <w:lang w:val="es-ES_tradnl"/>
        </w:rPr>
        <w:t>El Comité recomienda al Estado parte que presente sus informes periódicos 22</w:t>
      </w:r>
      <w:r w:rsidR="00D30E56">
        <w:rPr>
          <w:b/>
          <w:lang w:val="es-ES_tradnl"/>
        </w:rPr>
        <w:t>º</w:t>
      </w:r>
      <w:r w:rsidR="00412385" w:rsidRPr="00A92321">
        <w:rPr>
          <w:b/>
          <w:lang w:val="es-ES_tradnl"/>
        </w:rPr>
        <w:t xml:space="preserve"> a 24</w:t>
      </w:r>
      <w:r w:rsidR="00D30E56">
        <w:rPr>
          <w:b/>
          <w:lang w:val="es-ES_tradnl"/>
        </w:rPr>
        <w:t>º</w:t>
      </w:r>
      <w:r w:rsidR="00412385" w:rsidRPr="00A92321">
        <w:rPr>
          <w:b/>
          <w:lang w:val="es-ES_tradnl"/>
        </w:rPr>
        <w:t xml:space="preserve"> combinados, en un solo documento, a más tardar el 22 de marzo de 2022, teniendo en cuenta las directrices relativas a la presentación de informes aprobadas por el Comité en su 71</w:t>
      </w:r>
      <w:r w:rsidR="00412385" w:rsidRPr="00A92321">
        <w:rPr>
          <w:b/>
          <w:vertAlign w:val="superscript"/>
          <w:lang w:val="es-ES_tradnl"/>
        </w:rPr>
        <w:t>er</w:t>
      </w:r>
      <w:r w:rsidR="00412385" w:rsidRPr="00A92321">
        <w:rPr>
          <w:b/>
          <w:lang w:val="es-ES_tradnl"/>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14:paraId="4B52D51C" w14:textId="78CAEE8D" w:rsidR="00381C24" w:rsidRPr="00584DFD" w:rsidRDefault="006560D5" w:rsidP="00584DFD">
      <w:pPr>
        <w:pStyle w:val="SingleTxtG"/>
        <w:suppressAutoHyphens/>
        <w:spacing w:before="240" w:after="0"/>
        <w:jc w:val="center"/>
        <w:rPr>
          <w:b/>
          <w:bCs/>
          <w:u w:val="single"/>
          <w:lang w:val="es-ES_tradnl"/>
        </w:rPr>
      </w:pPr>
      <w:r>
        <w:rPr>
          <w:u w:val="single"/>
          <w:lang w:val="es-419"/>
        </w:rPr>
        <w:tab/>
      </w:r>
      <w:r>
        <w:rPr>
          <w:u w:val="single"/>
          <w:lang w:val="es-419"/>
        </w:rPr>
        <w:tab/>
      </w:r>
      <w:r>
        <w:rPr>
          <w:u w:val="single"/>
          <w:lang w:val="es-419"/>
        </w:rPr>
        <w:tab/>
      </w:r>
      <w:r>
        <w:rPr>
          <w:u w:val="single"/>
          <w:lang w:val="es-419"/>
        </w:rPr>
        <w:tab/>
      </w:r>
    </w:p>
    <w:sectPr w:rsidR="00381C24" w:rsidRPr="00584DFD"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CCFB" w14:textId="77777777" w:rsidR="00620497" w:rsidRDefault="00620497">
      <w:r>
        <w:separator/>
      </w:r>
    </w:p>
  </w:endnote>
  <w:endnote w:type="continuationSeparator" w:id="0">
    <w:p w14:paraId="149CE09C" w14:textId="77777777" w:rsidR="00620497" w:rsidRDefault="0062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charset w:val="00"/>
    <w:family w:val="roman"/>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7FE0" w14:textId="678D24AF" w:rsidR="00FC5564" w:rsidRPr="00374A8E" w:rsidRDefault="00FC5564"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4A1263">
      <w:rPr>
        <w:b/>
        <w:noProof/>
        <w:sz w:val="18"/>
      </w:rPr>
      <w:t>10</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970F" w14:textId="270C4B10" w:rsidR="00FC5564" w:rsidRPr="001A4396" w:rsidRDefault="00FC5564"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4A1263">
      <w:rPr>
        <w:b/>
        <w:noProof/>
        <w:sz w:val="18"/>
      </w:rPr>
      <w:t>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11E3" w14:textId="7D408D5E" w:rsidR="00FC5564" w:rsidRPr="00D60FB6" w:rsidRDefault="00D60FB6" w:rsidP="00D60FB6">
    <w:pPr>
      <w:pStyle w:val="Piedepgina"/>
      <w:spacing w:before="120" w:line="240" w:lineRule="auto"/>
      <w:rPr>
        <w:sz w:val="20"/>
      </w:rPr>
    </w:pPr>
    <w:proofErr w:type="spellStart"/>
    <w:r>
      <w:rPr>
        <w:sz w:val="20"/>
      </w:rPr>
      <w:t>GE.19</w:t>
    </w:r>
    <w:proofErr w:type="spellEnd"/>
    <w:r>
      <w:rPr>
        <w:sz w:val="20"/>
      </w:rPr>
      <w:t>-</w:t>
    </w:r>
    <w:proofErr w:type="gramStart"/>
    <w:r>
      <w:rPr>
        <w:sz w:val="20"/>
      </w:rPr>
      <w:t>16098  (</w:t>
    </w:r>
    <w:proofErr w:type="gramEnd"/>
    <w:r>
      <w:rPr>
        <w:sz w:val="20"/>
      </w:rPr>
      <w:t>S)</w:t>
    </w:r>
    <w:r>
      <w:rPr>
        <w:sz w:val="20"/>
      </w:rPr>
      <w:br/>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sz w:val="56"/>
      </w:rPr>
      <w:t></w:t>
    </w:r>
    <w:r w:rsidRPr="00D60FB6">
      <w:rPr>
        <w:rFonts w:ascii="C39T30Lfz" w:hAnsi="C39T30Lfz"/>
        <w:noProof/>
        <w:sz w:val="56"/>
        <w:lang w:val="fr-CH" w:eastAsia="zh-CN"/>
      </w:rPr>
      <w:drawing>
        <wp:anchor distT="0" distB="0" distL="114300" distR="114300" simplePos="0" relativeHeight="251660288" behindDoc="0" locked="1" layoutInCell="1" allowOverlap="1" wp14:anchorId="307C4DA1" wp14:editId="2BBAE458">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04571F0" wp14:editId="50162970">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ERD/C/MEX/CO/18-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CO/18-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33F6" w14:textId="77777777" w:rsidR="00620497" w:rsidRPr="001075E9" w:rsidRDefault="00620497" w:rsidP="001075E9">
      <w:pPr>
        <w:tabs>
          <w:tab w:val="right" w:pos="2155"/>
        </w:tabs>
        <w:spacing w:after="80" w:line="240" w:lineRule="auto"/>
        <w:ind w:left="680"/>
        <w:rPr>
          <w:u w:val="single"/>
        </w:rPr>
      </w:pPr>
      <w:r>
        <w:rPr>
          <w:u w:val="single"/>
        </w:rPr>
        <w:tab/>
      </w:r>
    </w:p>
  </w:footnote>
  <w:footnote w:type="continuationSeparator" w:id="0">
    <w:p w14:paraId="7AD6BBEF" w14:textId="77777777" w:rsidR="00620497" w:rsidRDefault="00620497" w:rsidP="00407B78">
      <w:pPr>
        <w:tabs>
          <w:tab w:val="right" w:pos="2155"/>
        </w:tabs>
        <w:spacing w:after="80"/>
        <w:ind w:left="680"/>
        <w:rPr>
          <w:u w:val="single"/>
        </w:rPr>
      </w:pPr>
      <w:r>
        <w:rPr>
          <w:u w:val="single"/>
        </w:rPr>
        <w:tab/>
      </w:r>
    </w:p>
  </w:footnote>
  <w:footnote w:id="1">
    <w:p w14:paraId="2487EF31" w14:textId="4929B755" w:rsidR="00EC3D32" w:rsidRPr="0085493C" w:rsidRDefault="00EC3D32" w:rsidP="00EC3D32">
      <w:pPr>
        <w:pStyle w:val="Textonotapie"/>
        <w:rPr>
          <w:sz w:val="20"/>
        </w:rPr>
      </w:pPr>
      <w:r>
        <w:tab/>
      </w:r>
      <w:r w:rsidRPr="0085493C">
        <w:rPr>
          <w:rStyle w:val="Refdenotaalpie"/>
          <w:sz w:val="20"/>
          <w:vertAlign w:val="baseline"/>
        </w:rPr>
        <w:t>*</w:t>
      </w:r>
      <w:r w:rsidRPr="0085493C">
        <w:rPr>
          <w:rStyle w:val="Refdenotaalpie"/>
          <w:vertAlign w:val="baseline"/>
        </w:rPr>
        <w:tab/>
        <w:t xml:space="preserve">Aprobadas por el Comité en su </w:t>
      </w:r>
      <w:r>
        <w:t>99</w:t>
      </w:r>
      <w:r w:rsidR="009E624B">
        <w:t>º</w:t>
      </w:r>
      <w:r w:rsidRPr="0085493C">
        <w:rPr>
          <w:rStyle w:val="Refdenotaalpie"/>
          <w:vertAlign w:val="baseline"/>
        </w:rPr>
        <w:t xml:space="preserve"> período de sesiones (</w:t>
      </w:r>
      <w:r>
        <w:t xml:space="preserve">5 </w:t>
      </w:r>
      <w:r w:rsidR="00824F76">
        <w:t>a 29</w:t>
      </w:r>
      <w:r w:rsidR="00002152">
        <w:t xml:space="preserve"> </w:t>
      </w:r>
      <w:r>
        <w:t>de agosto de 2019</w:t>
      </w:r>
      <w:r w:rsidRPr="0085493C">
        <w:rPr>
          <w:rStyle w:val="Refdenotaalpi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5268" w14:textId="1C2EA06B" w:rsidR="00FC5564" w:rsidRPr="001A4396" w:rsidRDefault="00EC3D32">
    <w:pPr>
      <w:pStyle w:val="Encabezado"/>
    </w:pPr>
    <w:r>
      <w:t>CERD/C/MEX/CO/18-21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6B28" w14:textId="43CCF2D3" w:rsidR="00FC5564" w:rsidRPr="00935A0B" w:rsidRDefault="00EC3D32" w:rsidP="00EC3D32">
    <w:pPr>
      <w:pStyle w:val="Encabezado"/>
      <w:jc w:val="right"/>
      <w:rPr>
        <w:u w:val="double"/>
      </w:rPr>
    </w:pPr>
    <w:r>
      <w:t>CERD/C/MEX/CO/18-21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4D38" w14:textId="77777777" w:rsidR="00FC5564" w:rsidRDefault="00FC5564"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D7613F"/>
    <w:multiLevelType w:val="hybridMultilevel"/>
    <w:tmpl w:val="B9FA4BB4"/>
    <w:lvl w:ilvl="0" w:tplc="B1721592">
      <w:start w:val="1"/>
      <w:numFmt w:val="decimal"/>
      <w:lvlText w:val="%1."/>
      <w:lvlJc w:val="left"/>
      <w:pPr>
        <w:ind w:left="1637" w:hanging="360"/>
      </w:pPr>
      <w:rPr>
        <w:b w:val="0"/>
        <w:strike w:val="0"/>
        <w:color w:val="auto"/>
      </w:rPr>
    </w:lvl>
    <w:lvl w:ilvl="1" w:tplc="7C92889A">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5469E6"/>
    <w:multiLevelType w:val="hybridMultilevel"/>
    <w:tmpl w:val="F6D844FC"/>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3B424AA"/>
    <w:multiLevelType w:val="hybridMultilevel"/>
    <w:tmpl w:val="7CE4A374"/>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8B30BC"/>
    <w:multiLevelType w:val="hybridMultilevel"/>
    <w:tmpl w:val="AA04D0FE"/>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23D97FE7"/>
    <w:multiLevelType w:val="hybridMultilevel"/>
    <w:tmpl w:val="A0DA6C0C"/>
    <w:lvl w:ilvl="0" w:tplc="08090017">
      <w:start w:val="1"/>
      <w:numFmt w:val="lowerLetter"/>
      <w:lvlText w:val="%1)"/>
      <w:lvlJc w:val="left"/>
      <w:pPr>
        <w:ind w:left="1854" w:hanging="360"/>
      </w:pPr>
    </w:lvl>
    <w:lvl w:ilvl="1" w:tplc="A64641FC">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026CC"/>
    <w:multiLevelType w:val="hybridMultilevel"/>
    <w:tmpl w:val="3AC2A314"/>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DD425BA"/>
    <w:multiLevelType w:val="hybridMultilevel"/>
    <w:tmpl w:val="7E9A3660"/>
    <w:lvl w:ilvl="0" w:tplc="08090017">
      <w:start w:val="1"/>
      <w:numFmt w:val="lowerLetter"/>
      <w:lvlText w:val="%1)"/>
      <w:lvlJc w:val="left"/>
      <w:pPr>
        <w:ind w:left="1854" w:hanging="360"/>
      </w:pPr>
    </w:lvl>
    <w:lvl w:ilvl="1" w:tplc="7B002646">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0F53E8A"/>
    <w:multiLevelType w:val="hybridMultilevel"/>
    <w:tmpl w:val="B054F944"/>
    <w:lvl w:ilvl="0" w:tplc="7660C7C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819336B"/>
    <w:multiLevelType w:val="hybridMultilevel"/>
    <w:tmpl w:val="AE9068A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1F85C0A"/>
    <w:multiLevelType w:val="hybridMultilevel"/>
    <w:tmpl w:val="53CE909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4AB7436"/>
    <w:multiLevelType w:val="hybridMultilevel"/>
    <w:tmpl w:val="023AA23A"/>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9CF7B1E"/>
    <w:multiLevelType w:val="hybridMultilevel"/>
    <w:tmpl w:val="1834050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97936"/>
    <w:multiLevelType w:val="hybridMultilevel"/>
    <w:tmpl w:val="D6EE2B6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D73351A"/>
    <w:multiLevelType w:val="hybridMultilevel"/>
    <w:tmpl w:val="8FE49CD4"/>
    <w:lvl w:ilvl="0" w:tplc="08090017">
      <w:start w:val="1"/>
      <w:numFmt w:val="lowerLetter"/>
      <w:lvlText w:val="%1)"/>
      <w:lvlJc w:val="left"/>
      <w:pPr>
        <w:ind w:left="1854" w:hanging="360"/>
      </w:pPr>
    </w:lvl>
    <w:lvl w:ilvl="1" w:tplc="05A25F2A">
      <w:start w:val="1"/>
      <w:numFmt w:val="lowerLetter"/>
      <w:lvlText w:val="%2)"/>
      <w:lvlJc w:val="left"/>
      <w:pPr>
        <w:ind w:left="2574" w:hanging="360"/>
      </w:pPr>
      <w:rPr>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ED669D5"/>
    <w:multiLevelType w:val="hybridMultilevel"/>
    <w:tmpl w:val="9F4A7BF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895F5F"/>
    <w:multiLevelType w:val="hybridMultilevel"/>
    <w:tmpl w:val="23EA3434"/>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6294BE9"/>
    <w:multiLevelType w:val="hybridMultilevel"/>
    <w:tmpl w:val="EB92DF0E"/>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D9804BC"/>
    <w:multiLevelType w:val="hybridMultilevel"/>
    <w:tmpl w:val="B9FA4BB4"/>
    <w:lvl w:ilvl="0" w:tplc="B1721592">
      <w:start w:val="1"/>
      <w:numFmt w:val="decimal"/>
      <w:lvlText w:val="%1."/>
      <w:lvlJc w:val="left"/>
      <w:pPr>
        <w:ind w:left="1637" w:hanging="360"/>
      </w:pPr>
      <w:rPr>
        <w:b w:val="0"/>
        <w:strike w:val="0"/>
        <w:color w:val="auto"/>
      </w:rPr>
    </w:lvl>
    <w:lvl w:ilvl="1" w:tplc="7C92889A">
      <w:start w:val="1"/>
      <w:numFmt w:val="lowerLetter"/>
      <w:lvlText w:val="%2)"/>
      <w:lvlJc w:val="left"/>
      <w:pPr>
        <w:ind w:left="2784" w:hanging="57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EC356B5"/>
    <w:multiLevelType w:val="hybridMultilevel"/>
    <w:tmpl w:val="1D2A5B60"/>
    <w:lvl w:ilvl="0" w:tplc="08090017">
      <w:start w:val="1"/>
      <w:numFmt w:val="lowerLetter"/>
      <w:lvlText w:val="%1)"/>
      <w:lvlJc w:val="left"/>
      <w:pPr>
        <w:ind w:left="2421" w:hanging="360"/>
      </w:pPr>
    </w:lvl>
    <w:lvl w:ilvl="1" w:tplc="C9961832">
      <w:start w:val="1"/>
      <w:numFmt w:val="lowerLetter"/>
      <w:lvlText w:val="%2)"/>
      <w:lvlJc w:val="left"/>
      <w:pPr>
        <w:ind w:left="3141" w:hanging="360"/>
      </w:pPr>
      <w:rPr>
        <w:b/>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32"/>
  </w:num>
  <w:num w:numId="2">
    <w:abstractNumId w:val="29"/>
  </w:num>
  <w:num w:numId="3">
    <w:abstractNumId w:val="23"/>
  </w:num>
  <w:num w:numId="4">
    <w:abstractNumId w:val="11"/>
  </w:num>
  <w:num w:numId="5">
    <w:abstractNumId w:val="2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9"/>
  </w:num>
  <w:num w:numId="19">
    <w:abstractNumId w:val="14"/>
  </w:num>
  <w:num w:numId="20">
    <w:abstractNumId w:val="22"/>
  </w:num>
  <w:num w:numId="21">
    <w:abstractNumId w:val="30"/>
  </w:num>
  <w:num w:numId="22">
    <w:abstractNumId w:val="15"/>
  </w:num>
  <w:num w:numId="23">
    <w:abstractNumId w:val="28"/>
  </w:num>
  <w:num w:numId="24">
    <w:abstractNumId w:val="17"/>
  </w:num>
  <w:num w:numId="25">
    <w:abstractNumId w:val="24"/>
  </w:num>
  <w:num w:numId="26">
    <w:abstractNumId w:val="18"/>
  </w:num>
  <w:num w:numId="27">
    <w:abstractNumId w:val="13"/>
  </w:num>
  <w:num w:numId="28">
    <w:abstractNumId w:val="31"/>
  </w:num>
  <w:num w:numId="29">
    <w:abstractNumId w:val="12"/>
  </w:num>
  <w:num w:numId="30">
    <w:abstractNumId w:val="34"/>
  </w:num>
  <w:num w:numId="31">
    <w:abstractNumId w:val="20"/>
  </w:num>
  <w:num w:numId="32">
    <w:abstractNumId w:val="27"/>
  </w:num>
  <w:num w:numId="33">
    <w:abstractNumId w:val="26"/>
  </w:num>
  <w:num w:numId="34">
    <w:abstractNumId w:val="21"/>
  </w:num>
  <w:num w:numId="3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165D"/>
    <w:rsid w:val="00002152"/>
    <w:rsid w:val="000107AA"/>
    <w:rsid w:val="000176AF"/>
    <w:rsid w:val="00023DD9"/>
    <w:rsid w:val="00033EE1"/>
    <w:rsid w:val="00042B72"/>
    <w:rsid w:val="00045E75"/>
    <w:rsid w:val="000527F4"/>
    <w:rsid w:val="00053EA6"/>
    <w:rsid w:val="0005440A"/>
    <w:rsid w:val="000558BD"/>
    <w:rsid w:val="00057E8D"/>
    <w:rsid w:val="00060CD0"/>
    <w:rsid w:val="000629BD"/>
    <w:rsid w:val="00070C54"/>
    <w:rsid w:val="00085108"/>
    <w:rsid w:val="00087170"/>
    <w:rsid w:val="0009016D"/>
    <w:rsid w:val="000951C0"/>
    <w:rsid w:val="000A1CA7"/>
    <w:rsid w:val="000A3286"/>
    <w:rsid w:val="000B5103"/>
    <w:rsid w:val="000B57E7"/>
    <w:rsid w:val="000B6373"/>
    <w:rsid w:val="000C156D"/>
    <w:rsid w:val="000D1056"/>
    <w:rsid w:val="000D1683"/>
    <w:rsid w:val="000D3664"/>
    <w:rsid w:val="000E2F6B"/>
    <w:rsid w:val="000F09DF"/>
    <w:rsid w:val="000F3C5D"/>
    <w:rsid w:val="000F4C52"/>
    <w:rsid w:val="000F61B2"/>
    <w:rsid w:val="00100512"/>
    <w:rsid w:val="001006A6"/>
    <w:rsid w:val="001075E9"/>
    <w:rsid w:val="001133C4"/>
    <w:rsid w:val="00113E09"/>
    <w:rsid w:val="00114C94"/>
    <w:rsid w:val="00115F22"/>
    <w:rsid w:val="0016508C"/>
    <w:rsid w:val="00180183"/>
    <w:rsid w:val="0018024D"/>
    <w:rsid w:val="00183D90"/>
    <w:rsid w:val="0018649F"/>
    <w:rsid w:val="00186789"/>
    <w:rsid w:val="0019263C"/>
    <w:rsid w:val="00196219"/>
    <w:rsid w:val="00196389"/>
    <w:rsid w:val="001A0B2C"/>
    <w:rsid w:val="001A4396"/>
    <w:rsid w:val="001B3EF6"/>
    <w:rsid w:val="001B4830"/>
    <w:rsid w:val="001C3CF0"/>
    <w:rsid w:val="001C4EDB"/>
    <w:rsid w:val="001C7A89"/>
    <w:rsid w:val="001D448E"/>
    <w:rsid w:val="001F52EE"/>
    <w:rsid w:val="00204B26"/>
    <w:rsid w:val="00211539"/>
    <w:rsid w:val="0022219C"/>
    <w:rsid w:val="00225FAC"/>
    <w:rsid w:val="00230D0F"/>
    <w:rsid w:val="0023572E"/>
    <w:rsid w:val="00236644"/>
    <w:rsid w:val="0023693B"/>
    <w:rsid w:val="002545A3"/>
    <w:rsid w:val="002600D9"/>
    <w:rsid w:val="002624BB"/>
    <w:rsid w:val="002634D9"/>
    <w:rsid w:val="002648D7"/>
    <w:rsid w:val="002658B0"/>
    <w:rsid w:val="00273051"/>
    <w:rsid w:val="00281328"/>
    <w:rsid w:val="00287135"/>
    <w:rsid w:val="00292E43"/>
    <w:rsid w:val="002A02C6"/>
    <w:rsid w:val="002A2EFC"/>
    <w:rsid w:val="002A302E"/>
    <w:rsid w:val="002B397C"/>
    <w:rsid w:val="002B574D"/>
    <w:rsid w:val="002B5826"/>
    <w:rsid w:val="002C0E18"/>
    <w:rsid w:val="002C3E82"/>
    <w:rsid w:val="002D36A4"/>
    <w:rsid w:val="002D4172"/>
    <w:rsid w:val="002D5AAC"/>
    <w:rsid w:val="002E1438"/>
    <w:rsid w:val="002E609E"/>
    <w:rsid w:val="002E7490"/>
    <w:rsid w:val="002E7A72"/>
    <w:rsid w:val="002F405F"/>
    <w:rsid w:val="00301299"/>
    <w:rsid w:val="00302A24"/>
    <w:rsid w:val="003035A3"/>
    <w:rsid w:val="00307FB6"/>
    <w:rsid w:val="003103F4"/>
    <w:rsid w:val="00312AC2"/>
    <w:rsid w:val="00317339"/>
    <w:rsid w:val="00321104"/>
    <w:rsid w:val="00322004"/>
    <w:rsid w:val="003402C2"/>
    <w:rsid w:val="00340DEB"/>
    <w:rsid w:val="00346FF2"/>
    <w:rsid w:val="00347A9F"/>
    <w:rsid w:val="0036216F"/>
    <w:rsid w:val="003657CC"/>
    <w:rsid w:val="003670BB"/>
    <w:rsid w:val="0037488A"/>
    <w:rsid w:val="00374A8E"/>
    <w:rsid w:val="00376E4E"/>
    <w:rsid w:val="00377AFB"/>
    <w:rsid w:val="00381C24"/>
    <w:rsid w:val="003958D0"/>
    <w:rsid w:val="00397610"/>
    <w:rsid w:val="003A3CE4"/>
    <w:rsid w:val="003B00E5"/>
    <w:rsid w:val="003B11C8"/>
    <w:rsid w:val="003B7304"/>
    <w:rsid w:val="003D1790"/>
    <w:rsid w:val="003D3526"/>
    <w:rsid w:val="003D454D"/>
    <w:rsid w:val="003D4EEA"/>
    <w:rsid w:val="003D6976"/>
    <w:rsid w:val="003D7EA0"/>
    <w:rsid w:val="003E0332"/>
    <w:rsid w:val="003F17FF"/>
    <w:rsid w:val="003F381F"/>
    <w:rsid w:val="003F43D1"/>
    <w:rsid w:val="003F6FF0"/>
    <w:rsid w:val="003F726C"/>
    <w:rsid w:val="003F75C3"/>
    <w:rsid w:val="003F7862"/>
    <w:rsid w:val="004005ED"/>
    <w:rsid w:val="00404EB7"/>
    <w:rsid w:val="00407B78"/>
    <w:rsid w:val="00411131"/>
    <w:rsid w:val="00412385"/>
    <w:rsid w:val="00421F87"/>
    <w:rsid w:val="00423863"/>
    <w:rsid w:val="00424203"/>
    <w:rsid w:val="00425895"/>
    <w:rsid w:val="00432A20"/>
    <w:rsid w:val="004341F4"/>
    <w:rsid w:val="00442B42"/>
    <w:rsid w:val="004452DE"/>
    <w:rsid w:val="00452699"/>
    <w:rsid w:val="00454E07"/>
    <w:rsid w:val="00456393"/>
    <w:rsid w:val="004605D7"/>
    <w:rsid w:val="004617C0"/>
    <w:rsid w:val="00462F96"/>
    <w:rsid w:val="004632E2"/>
    <w:rsid w:val="00466AE8"/>
    <w:rsid w:val="00473A94"/>
    <w:rsid w:val="00474E6E"/>
    <w:rsid w:val="00475A38"/>
    <w:rsid w:val="00475BB7"/>
    <w:rsid w:val="00491FC4"/>
    <w:rsid w:val="00494109"/>
    <w:rsid w:val="004A09B8"/>
    <w:rsid w:val="004A0B4B"/>
    <w:rsid w:val="004A1263"/>
    <w:rsid w:val="004A3E35"/>
    <w:rsid w:val="004A42D6"/>
    <w:rsid w:val="004B523B"/>
    <w:rsid w:val="004B6376"/>
    <w:rsid w:val="004B6CC2"/>
    <w:rsid w:val="004C3192"/>
    <w:rsid w:val="004C7DA1"/>
    <w:rsid w:val="004D1828"/>
    <w:rsid w:val="004D2A95"/>
    <w:rsid w:val="004D49FC"/>
    <w:rsid w:val="004D7D33"/>
    <w:rsid w:val="004E6FDA"/>
    <w:rsid w:val="004F25C0"/>
    <w:rsid w:val="004F33D9"/>
    <w:rsid w:val="00500B57"/>
    <w:rsid w:val="0050108D"/>
    <w:rsid w:val="00513081"/>
    <w:rsid w:val="005148C0"/>
    <w:rsid w:val="005172CB"/>
    <w:rsid w:val="0051783D"/>
    <w:rsid w:val="00517901"/>
    <w:rsid w:val="00521DC1"/>
    <w:rsid w:val="00526683"/>
    <w:rsid w:val="00536ABD"/>
    <w:rsid w:val="00537188"/>
    <w:rsid w:val="00540936"/>
    <w:rsid w:val="0054530D"/>
    <w:rsid w:val="0055009D"/>
    <w:rsid w:val="00550D03"/>
    <w:rsid w:val="00553AF4"/>
    <w:rsid w:val="00565787"/>
    <w:rsid w:val="00567B62"/>
    <w:rsid w:val="005709E0"/>
    <w:rsid w:val="00570FB7"/>
    <w:rsid w:val="00572E19"/>
    <w:rsid w:val="00584DFD"/>
    <w:rsid w:val="00587FF5"/>
    <w:rsid w:val="005948CB"/>
    <w:rsid w:val="005961C8"/>
    <w:rsid w:val="005969C1"/>
    <w:rsid w:val="005A0328"/>
    <w:rsid w:val="005A121A"/>
    <w:rsid w:val="005A372F"/>
    <w:rsid w:val="005A59D4"/>
    <w:rsid w:val="005B404D"/>
    <w:rsid w:val="005B4052"/>
    <w:rsid w:val="005C5CF3"/>
    <w:rsid w:val="005D3B06"/>
    <w:rsid w:val="005D4482"/>
    <w:rsid w:val="005D7914"/>
    <w:rsid w:val="005E04D9"/>
    <w:rsid w:val="005E1C06"/>
    <w:rsid w:val="005E2216"/>
    <w:rsid w:val="005E582A"/>
    <w:rsid w:val="005F08D3"/>
    <w:rsid w:val="005F0B42"/>
    <w:rsid w:val="00603AEA"/>
    <w:rsid w:val="00605B5B"/>
    <w:rsid w:val="00611D51"/>
    <w:rsid w:val="0061364E"/>
    <w:rsid w:val="00615628"/>
    <w:rsid w:val="00620497"/>
    <w:rsid w:val="00621949"/>
    <w:rsid w:val="00625113"/>
    <w:rsid w:val="00634999"/>
    <w:rsid w:val="00640759"/>
    <w:rsid w:val="00640E10"/>
    <w:rsid w:val="0065080A"/>
    <w:rsid w:val="006518D1"/>
    <w:rsid w:val="006551F6"/>
    <w:rsid w:val="006560D5"/>
    <w:rsid w:val="0066162F"/>
    <w:rsid w:val="00675DF6"/>
    <w:rsid w:val="0067639A"/>
    <w:rsid w:val="00676AAC"/>
    <w:rsid w:val="00676E15"/>
    <w:rsid w:val="00681A10"/>
    <w:rsid w:val="00683950"/>
    <w:rsid w:val="006B17CC"/>
    <w:rsid w:val="006C2031"/>
    <w:rsid w:val="006C23D2"/>
    <w:rsid w:val="006C79A1"/>
    <w:rsid w:val="006D317E"/>
    <w:rsid w:val="006D461A"/>
    <w:rsid w:val="006D57DC"/>
    <w:rsid w:val="006E33EC"/>
    <w:rsid w:val="006F0532"/>
    <w:rsid w:val="006F281B"/>
    <w:rsid w:val="006F35EE"/>
    <w:rsid w:val="007021FF"/>
    <w:rsid w:val="00707D99"/>
    <w:rsid w:val="00712154"/>
    <w:rsid w:val="00712895"/>
    <w:rsid w:val="00722AF7"/>
    <w:rsid w:val="0072333D"/>
    <w:rsid w:val="0073196A"/>
    <w:rsid w:val="007368D3"/>
    <w:rsid w:val="00750C64"/>
    <w:rsid w:val="00757357"/>
    <w:rsid w:val="0076176B"/>
    <w:rsid w:val="00766351"/>
    <w:rsid w:val="0076662B"/>
    <w:rsid w:val="00774DC4"/>
    <w:rsid w:val="00781E94"/>
    <w:rsid w:val="00784638"/>
    <w:rsid w:val="007910B6"/>
    <w:rsid w:val="007A174E"/>
    <w:rsid w:val="007A5032"/>
    <w:rsid w:val="007B17B6"/>
    <w:rsid w:val="007C333F"/>
    <w:rsid w:val="007D0A6D"/>
    <w:rsid w:val="007D6DE5"/>
    <w:rsid w:val="007E072F"/>
    <w:rsid w:val="007E7705"/>
    <w:rsid w:val="007F2D46"/>
    <w:rsid w:val="00802F32"/>
    <w:rsid w:val="00805D1C"/>
    <w:rsid w:val="0081481E"/>
    <w:rsid w:val="00816A2E"/>
    <w:rsid w:val="00817DB0"/>
    <w:rsid w:val="008238A9"/>
    <w:rsid w:val="00824F76"/>
    <w:rsid w:val="00825EB6"/>
    <w:rsid w:val="00825F8D"/>
    <w:rsid w:val="00830667"/>
    <w:rsid w:val="00834B71"/>
    <w:rsid w:val="00840649"/>
    <w:rsid w:val="00841CBA"/>
    <w:rsid w:val="00851AB5"/>
    <w:rsid w:val="00853557"/>
    <w:rsid w:val="00863D01"/>
    <w:rsid w:val="0086445C"/>
    <w:rsid w:val="008721A4"/>
    <w:rsid w:val="00877429"/>
    <w:rsid w:val="00881254"/>
    <w:rsid w:val="00886BF3"/>
    <w:rsid w:val="00894693"/>
    <w:rsid w:val="008A08D7"/>
    <w:rsid w:val="008A405B"/>
    <w:rsid w:val="008A43CD"/>
    <w:rsid w:val="008B3E7F"/>
    <w:rsid w:val="008B6909"/>
    <w:rsid w:val="008C21BD"/>
    <w:rsid w:val="008C7893"/>
    <w:rsid w:val="008D1F4B"/>
    <w:rsid w:val="008D620F"/>
    <w:rsid w:val="008F0E5D"/>
    <w:rsid w:val="00900EF7"/>
    <w:rsid w:val="009016F0"/>
    <w:rsid w:val="0090575F"/>
    <w:rsid w:val="00906890"/>
    <w:rsid w:val="00911BE4"/>
    <w:rsid w:val="00935A0B"/>
    <w:rsid w:val="00935A81"/>
    <w:rsid w:val="00937C1B"/>
    <w:rsid w:val="00945595"/>
    <w:rsid w:val="00951972"/>
    <w:rsid w:val="00952AE4"/>
    <w:rsid w:val="00953B31"/>
    <w:rsid w:val="009608F3"/>
    <w:rsid w:val="00962D15"/>
    <w:rsid w:val="009758FE"/>
    <w:rsid w:val="00982174"/>
    <w:rsid w:val="00984D22"/>
    <w:rsid w:val="00987624"/>
    <w:rsid w:val="009901A9"/>
    <w:rsid w:val="009906D2"/>
    <w:rsid w:val="00991EEC"/>
    <w:rsid w:val="00993286"/>
    <w:rsid w:val="00995F75"/>
    <w:rsid w:val="00997406"/>
    <w:rsid w:val="009A7FC7"/>
    <w:rsid w:val="009B2B4A"/>
    <w:rsid w:val="009B72D5"/>
    <w:rsid w:val="009C2573"/>
    <w:rsid w:val="009C3D8E"/>
    <w:rsid w:val="009D0EAF"/>
    <w:rsid w:val="009E24A3"/>
    <w:rsid w:val="009E624B"/>
    <w:rsid w:val="009F43F2"/>
    <w:rsid w:val="00A00BB0"/>
    <w:rsid w:val="00A03442"/>
    <w:rsid w:val="00A05A46"/>
    <w:rsid w:val="00A066E1"/>
    <w:rsid w:val="00A16957"/>
    <w:rsid w:val="00A17707"/>
    <w:rsid w:val="00A17BB5"/>
    <w:rsid w:val="00A231E3"/>
    <w:rsid w:val="00A26634"/>
    <w:rsid w:val="00A26B62"/>
    <w:rsid w:val="00A27216"/>
    <w:rsid w:val="00A32382"/>
    <w:rsid w:val="00A35A1C"/>
    <w:rsid w:val="00A41192"/>
    <w:rsid w:val="00A44B2D"/>
    <w:rsid w:val="00A4526D"/>
    <w:rsid w:val="00A5193B"/>
    <w:rsid w:val="00A563D5"/>
    <w:rsid w:val="00A62B07"/>
    <w:rsid w:val="00A672F6"/>
    <w:rsid w:val="00A7027B"/>
    <w:rsid w:val="00A711FB"/>
    <w:rsid w:val="00A74201"/>
    <w:rsid w:val="00A831B4"/>
    <w:rsid w:val="00A832EF"/>
    <w:rsid w:val="00A84021"/>
    <w:rsid w:val="00A84795"/>
    <w:rsid w:val="00A86F80"/>
    <w:rsid w:val="00A90C2B"/>
    <w:rsid w:val="00A917B3"/>
    <w:rsid w:val="00A92321"/>
    <w:rsid w:val="00A93CBD"/>
    <w:rsid w:val="00A95431"/>
    <w:rsid w:val="00AA114D"/>
    <w:rsid w:val="00AA5968"/>
    <w:rsid w:val="00AB4B51"/>
    <w:rsid w:val="00AB69AA"/>
    <w:rsid w:val="00AC2579"/>
    <w:rsid w:val="00AC49A8"/>
    <w:rsid w:val="00AC5FCF"/>
    <w:rsid w:val="00AC739F"/>
    <w:rsid w:val="00AD161D"/>
    <w:rsid w:val="00AD25F7"/>
    <w:rsid w:val="00AD5D96"/>
    <w:rsid w:val="00AE0B2C"/>
    <w:rsid w:val="00AE5F3B"/>
    <w:rsid w:val="00AF3B22"/>
    <w:rsid w:val="00AF48B7"/>
    <w:rsid w:val="00AF7644"/>
    <w:rsid w:val="00B02299"/>
    <w:rsid w:val="00B0563A"/>
    <w:rsid w:val="00B10CC7"/>
    <w:rsid w:val="00B12CBC"/>
    <w:rsid w:val="00B13021"/>
    <w:rsid w:val="00B14BAB"/>
    <w:rsid w:val="00B21076"/>
    <w:rsid w:val="00B2159A"/>
    <w:rsid w:val="00B26BE2"/>
    <w:rsid w:val="00B272BE"/>
    <w:rsid w:val="00B310B4"/>
    <w:rsid w:val="00B31B86"/>
    <w:rsid w:val="00B51305"/>
    <w:rsid w:val="00B539E7"/>
    <w:rsid w:val="00B543A7"/>
    <w:rsid w:val="00B563EB"/>
    <w:rsid w:val="00B566DD"/>
    <w:rsid w:val="00B62040"/>
    <w:rsid w:val="00B62458"/>
    <w:rsid w:val="00B62AC7"/>
    <w:rsid w:val="00B65365"/>
    <w:rsid w:val="00B654BC"/>
    <w:rsid w:val="00B70E22"/>
    <w:rsid w:val="00B71C02"/>
    <w:rsid w:val="00B74788"/>
    <w:rsid w:val="00B76C27"/>
    <w:rsid w:val="00B80A93"/>
    <w:rsid w:val="00B93AEF"/>
    <w:rsid w:val="00BA6A4F"/>
    <w:rsid w:val="00BB06B0"/>
    <w:rsid w:val="00BB1AE2"/>
    <w:rsid w:val="00BB3F45"/>
    <w:rsid w:val="00BB5585"/>
    <w:rsid w:val="00BD33EE"/>
    <w:rsid w:val="00BE1A8B"/>
    <w:rsid w:val="00BF0A09"/>
    <w:rsid w:val="00BF2E5C"/>
    <w:rsid w:val="00C106D6"/>
    <w:rsid w:val="00C132FC"/>
    <w:rsid w:val="00C15330"/>
    <w:rsid w:val="00C2230A"/>
    <w:rsid w:val="00C45C4E"/>
    <w:rsid w:val="00C51587"/>
    <w:rsid w:val="00C60F0C"/>
    <w:rsid w:val="00C60F9F"/>
    <w:rsid w:val="00C61042"/>
    <w:rsid w:val="00C62436"/>
    <w:rsid w:val="00C642E7"/>
    <w:rsid w:val="00C713C5"/>
    <w:rsid w:val="00C73AE9"/>
    <w:rsid w:val="00C805C9"/>
    <w:rsid w:val="00C81588"/>
    <w:rsid w:val="00C92939"/>
    <w:rsid w:val="00C97634"/>
    <w:rsid w:val="00CA1679"/>
    <w:rsid w:val="00CB151C"/>
    <w:rsid w:val="00CB242B"/>
    <w:rsid w:val="00CB2543"/>
    <w:rsid w:val="00CB5D8F"/>
    <w:rsid w:val="00CC0BAD"/>
    <w:rsid w:val="00CC6DB8"/>
    <w:rsid w:val="00CD3B41"/>
    <w:rsid w:val="00CD6021"/>
    <w:rsid w:val="00CD609E"/>
    <w:rsid w:val="00CD6D9C"/>
    <w:rsid w:val="00CE5A1A"/>
    <w:rsid w:val="00CF1A8E"/>
    <w:rsid w:val="00CF2B11"/>
    <w:rsid w:val="00CF55F6"/>
    <w:rsid w:val="00CF644B"/>
    <w:rsid w:val="00CF6A31"/>
    <w:rsid w:val="00D0060B"/>
    <w:rsid w:val="00D03456"/>
    <w:rsid w:val="00D04407"/>
    <w:rsid w:val="00D05172"/>
    <w:rsid w:val="00D072FF"/>
    <w:rsid w:val="00D1018D"/>
    <w:rsid w:val="00D179C8"/>
    <w:rsid w:val="00D30E56"/>
    <w:rsid w:val="00D33C01"/>
    <w:rsid w:val="00D33D63"/>
    <w:rsid w:val="00D3596D"/>
    <w:rsid w:val="00D36479"/>
    <w:rsid w:val="00D46913"/>
    <w:rsid w:val="00D46FF5"/>
    <w:rsid w:val="00D4778E"/>
    <w:rsid w:val="00D5703B"/>
    <w:rsid w:val="00D60FB6"/>
    <w:rsid w:val="00D65E6F"/>
    <w:rsid w:val="00D65F3D"/>
    <w:rsid w:val="00D72BF3"/>
    <w:rsid w:val="00D7481B"/>
    <w:rsid w:val="00D76B3A"/>
    <w:rsid w:val="00D82740"/>
    <w:rsid w:val="00D82805"/>
    <w:rsid w:val="00D87164"/>
    <w:rsid w:val="00D87AD4"/>
    <w:rsid w:val="00D90138"/>
    <w:rsid w:val="00DA45E9"/>
    <w:rsid w:val="00DB3B1A"/>
    <w:rsid w:val="00DB3EC3"/>
    <w:rsid w:val="00DC2ADD"/>
    <w:rsid w:val="00DC4A48"/>
    <w:rsid w:val="00DD085A"/>
    <w:rsid w:val="00DD1287"/>
    <w:rsid w:val="00DE0D0E"/>
    <w:rsid w:val="00DE2D75"/>
    <w:rsid w:val="00DE362B"/>
    <w:rsid w:val="00DE38FE"/>
    <w:rsid w:val="00DE7B4A"/>
    <w:rsid w:val="00DF0C0C"/>
    <w:rsid w:val="00DF47D2"/>
    <w:rsid w:val="00E0297C"/>
    <w:rsid w:val="00E12ECD"/>
    <w:rsid w:val="00E1685B"/>
    <w:rsid w:val="00E31CF9"/>
    <w:rsid w:val="00E325DC"/>
    <w:rsid w:val="00E32B1D"/>
    <w:rsid w:val="00E37537"/>
    <w:rsid w:val="00E37937"/>
    <w:rsid w:val="00E45B6C"/>
    <w:rsid w:val="00E5537D"/>
    <w:rsid w:val="00E56EE3"/>
    <w:rsid w:val="00E6610B"/>
    <w:rsid w:val="00E701F8"/>
    <w:rsid w:val="00E7390E"/>
    <w:rsid w:val="00E73F76"/>
    <w:rsid w:val="00E86371"/>
    <w:rsid w:val="00EA15AD"/>
    <w:rsid w:val="00EA2C9F"/>
    <w:rsid w:val="00EB722A"/>
    <w:rsid w:val="00EC1FB7"/>
    <w:rsid w:val="00EC3D32"/>
    <w:rsid w:val="00EC5ACF"/>
    <w:rsid w:val="00ED0BDA"/>
    <w:rsid w:val="00ED3749"/>
    <w:rsid w:val="00EE076E"/>
    <w:rsid w:val="00EE7654"/>
    <w:rsid w:val="00EF1360"/>
    <w:rsid w:val="00EF2DA9"/>
    <w:rsid w:val="00EF3220"/>
    <w:rsid w:val="00EF5399"/>
    <w:rsid w:val="00F02A27"/>
    <w:rsid w:val="00F053F5"/>
    <w:rsid w:val="00F060AD"/>
    <w:rsid w:val="00F11C5F"/>
    <w:rsid w:val="00F14335"/>
    <w:rsid w:val="00F17B78"/>
    <w:rsid w:val="00F209E4"/>
    <w:rsid w:val="00F309A3"/>
    <w:rsid w:val="00F30A1E"/>
    <w:rsid w:val="00F35538"/>
    <w:rsid w:val="00F37BF0"/>
    <w:rsid w:val="00F55D09"/>
    <w:rsid w:val="00F55DD7"/>
    <w:rsid w:val="00F616D0"/>
    <w:rsid w:val="00F63772"/>
    <w:rsid w:val="00F6650C"/>
    <w:rsid w:val="00F66C71"/>
    <w:rsid w:val="00F763AD"/>
    <w:rsid w:val="00F76A49"/>
    <w:rsid w:val="00F77C8C"/>
    <w:rsid w:val="00F83FBB"/>
    <w:rsid w:val="00F85E4C"/>
    <w:rsid w:val="00F90B12"/>
    <w:rsid w:val="00F92596"/>
    <w:rsid w:val="00F9377E"/>
    <w:rsid w:val="00F94155"/>
    <w:rsid w:val="00F94488"/>
    <w:rsid w:val="00FA24E7"/>
    <w:rsid w:val="00FA3608"/>
    <w:rsid w:val="00FA5AFD"/>
    <w:rsid w:val="00FB7AC3"/>
    <w:rsid w:val="00FC2427"/>
    <w:rsid w:val="00FC4B96"/>
    <w:rsid w:val="00FC5564"/>
    <w:rsid w:val="00FD0E77"/>
    <w:rsid w:val="00FD234F"/>
    <w:rsid w:val="00FD28CE"/>
    <w:rsid w:val="00FD2EF7"/>
    <w:rsid w:val="00FE447E"/>
    <w:rsid w:val="00FE45D3"/>
    <w:rsid w:val="00FE704C"/>
    <w:rsid w:val="00FF0160"/>
    <w:rsid w:val="00FF5F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04D0468"/>
  <w15:docId w15:val="{8BE24943-EDFF-495D-A577-C113ADD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link w:val="HTMLconformatoprevioCar"/>
    <w:uiPriority w:val="99"/>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locked/>
    <w:rsid w:val="00211539"/>
    <w:rPr>
      <w:rFonts w:eastAsiaTheme="minorEastAsia"/>
      <w:lang w:val="es-ES" w:eastAsia="es-ES"/>
    </w:rPr>
  </w:style>
  <w:style w:type="character" w:styleId="Refdecomentario">
    <w:name w:val="annotation reference"/>
    <w:basedOn w:val="Fuentedeprrafopredeter"/>
    <w:semiHidden/>
    <w:unhideWhenUsed/>
    <w:rsid w:val="002634D9"/>
    <w:rPr>
      <w:sz w:val="16"/>
      <w:szCs w:val="16"/>
    </w:rPr>
  </w:style>
  <w:style w:type="paragraph" w:styleId="Textocomentario">
    <w:name w:val="annotation text"/>
    <w:basedOn w:val="Normal"/>
    <w:link w:val="TextocomentarioCar"/>
    <w:semiHidden/>
    <w:unhideWhenUsed/>
    <w:rsid w:val="002634D9"/>
    <w:pPr>
      <w:spacing w:line="240" w:lineRule="auto"/>
    </w:pPr>
  </w:style>
  <w:style w:type="character" w:customStyle="1" w:styleId="TextocomentarioCar">
    <w:name w:val="Texto comentario Car"/>
    <w:basedOn w:val="Fuentedeprrafopredeter"/>
    <w:link w:val="Textocomentario"/>
    <w:semiHidden/>
    <w:rsid w:val="002634D9"/>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2634D9"/>
    <w:rPr>
      <w:b/>
      <w:bCs/>
    </w:rPr>
  </w:style>
  <w:style w:type="character" w:customStyle="1" w:styleId="AsuntodelcomentarioCar">
    <w:name w:val="Asunto del comentario Car"/>
    <w:basedOn w:val="TextocomentarioCar"/>
    <w:link w:val="Asuntodelcomentario"/>
    <w:semiHidden/>
    <w:rsid w:val="002634D9"/>
    <w:rPr>
      <w:rFonts w:eastAsiaTheme="minorEastAsia"/>
      <w:b/>
      <w:bCs/>
      <w:lang w:val="es-ES" w:eastAsia="es-ES"/>
    </w:rPr>
  </w:style>
  <w:style w:type="character" w:customStyle="1" w:styleId="HTMLconformatoprevioCar">
    <w:name w:val="HTML con formato previo Car"/>
    <w:basedOn w:val="Fuentedeprrafopredeter"/>
    <w:link w:val="HTMLconformatoprevio"/>
    <w:uiPriority w:val="99"/>
    <w:rsid w:val="00CB2543"/>
    <w:rPr>
      <w:rFonts w:ascii="Courier New" w:eastAsiaTheme="minorEastAsia"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2073">
      <w:bodyDiv w:val="1"/>
      <w:marLeft w:val="0"/>
      <w:marRight w:val="0"/>
      <w:marTop w:val="0"/>
      <w:marBottom w:val="0"/>
      <w:divBdr>
        <w:top w:val="none" w:sz="0" w:space="0" w:color="auto"/>
        <w:left w:val="none" w:sz="0" w:space="0" w:color="auto"/>
        <w:bottom w:val="none" w:sz="0" w:space="0" w:color="auto"/>
        <w:right w:val="none" w:sz="0" w:space="0" w:color="auto"/>
      </w:divBdr>
    </w:div>
    <w:div w:id="450902105">
      <w:bodyDiv w:val="1"/>
      <w:marLeft w:val="0"/>
      <w:marRight w:val="0"/>
      <w:marTop w:val="0"/>
      <w:marBottom w:val="0"/>
      <w:divBdr>
        <w:top w:val="none" w:sz="0" w:space="0" w:color="auto"/>
        <w:left w:val="none" w:sz="0" w:space="0" w:color="auto"/>
        <w:bottom w:val="none" w:sz="0" w:space="0" w:color="auto"/>
        <w:right w:val="none" w:sz="0" w:space="0" w:color="auto"/>
      </w:divBdr>
      <w:divsChild>
        <w:div w:id="1177236614">
          <w:marLeft w:val="0"/>
          <w:marRight w:val="0"/>
          <w:marTop w:val="0"/>
          <w:marBottom w:val="0"/>
          <w:divBdr>
            <w:top w:val="none" w:sz="0" w:space="0" w:color="auto"/>
            <w:left w:val="none" w:sz="0" w:space="0" w:color="auto"/>
            <w:bottom w:val="none" w:sz="0" w:space="0" w:color="auto"/>
            <w:right w:val="none" w:sz="0" w:space="0" w:color="auto"/>
          </w:divBdr>
          <w:divsChild>
            <w:div w:id="2143573190">
              <w:marLeft w:val="0"/>
              <w:marRight w:val="0"/>
              <w:marTop w:val="0"/>
              <w:marBottom w:val="0"/>
              <w:divBdr>
                <w:top w:val="none" w:sz="0" w:space="0" w:color="auto"/>
                <w:left w:val="none" w:sz="0" w:space="0" w:color="auto"/>
                <w:bottom w:val="none" w:sz="0" w:space="0" w:color="auto"/>
                <w:right w:val="none" w:sz="0" w:space="0" w:color="auto"/>
              </w:divBdr>
              <w:divsChild>
                <w:div w:id="8926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6755">
      <w:bodyDiv w:val="1"/>
      <w:marLeft w:val="0"/>
      <w:marRight w:val="0"/>
      <w:marTop w:val="0"/>
      <w:marBottom w:val="0"/>
      <w:divBdr>
        <w:top w:val="none" w:sz="0" w:space="0" w:color="auto"/>
        <w:left w:val="none" w:sz="0" w:space="0" w:color="auto"/>
        <w:bottom w:val="none" w:sz="0" w:space="0" w:color="auto"/>
        <w:right w:val="none" w:sz="0" w:space="0" w:color="auto"/>
      </w:divBdr>
    </w:div>
    <w:div w:id="772630052">
      <w:bodyDiv w:val="1"/>
      <w:marLeft w:val="0"/>
      <w:marRight w:val="0"/>
      <w:marTop w:val="0"/>
      <w:marBottom w:val="0"/>
      <w:divBdr>
        <w:top w:val="none" w:sz="0" w:space="0" w:color="auto"/>
        <w:left w:val="none" w:sz="0" w:space="0" w:color="auto"/>
        <w:bottom w:val="none" w:sz="0" w:space="0" w:color="auto"/>
        <w:right w:val="none" w:sz="0" w:space="0" w:color="auto"/>
      </w:divBdr>
      <w:divsChild>
        <w:div w:id="1680348493">
          <w:marLeft w:val="0"/>
          <w:marRight w:val="0"/>
          <w:marTop w:val="0"/>
          <w:marBottom w:val="0"/>
          <w:divBdr>
            <w:top w:val="none" w:sz="0" w:space="0" w:color="auto"/>
            <w:left w:val="none" w:sz="0" w:space="0" w:color="auto"/>
            <w:bottom w:val="none" w:sz="0" w:space="0" w:color="auto"/>
            <w:right w:val="none" w:sz="0" w:space="0" w:color="auto"/>
          </w:divBdr>
          <w:divsChild>
            <w:div w:id="1392533230">
              <w:marLeft w:val="0"/>
              <w:marRight w:val="0"/>
              <w:marTop w:val="0"/>
              <w:marBottom w:val="0"/>
              <w:divBdr>
                <w:top w:val="none" w:sz="0" w:space="0" w:color="auto"/>
                <w:left w:val="none" w:sz="0" w:space="0" w:color="auto"/>
                <w:bottom w:val="none" w:sz="0" w:space="0" w:color="auto"/>
                <w:right w:val="none" w:sz="0" w:space="0" w:color="auto"/>
              </w:divBdr>
              <w:divsChild>
                <w:div w:id="7283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47253310">
      <w:bodyDiv w:val="1"/>
      <w:marLeft w:val="0"/>
      <w:marRight w:val="0"/>
      <w:marTop w:val="0"/>
      <w:marBottom w:val="0"/>
      <w:divBdr>
        <w:top w:val="none" w:sz="0" w:space="0" w:color="auto"/>
        <w:left w:val="none" w:sz="0" w:space="0" w:color="auto"/>
        <w:bottom w:val="none" w:sz="0" w:space="0" w:color="auto"/>
        <w:right w:val="none" w:sz="0" w:space="0" w:color="auto"/>
      </w:divBdr>
      <w:divsChild>
        <w:div w:id="653683120">
          <w:marLeft w:val="0"/>
          <w:marRight w:val="0"/>
          <w:marTop w:val="0"/>
          <w:marBottom w:val="0"/>
          <w:divBdr>
            <w:top w:val="none" w:sz="0" w:space="0" w:color="auto"/>
            <w:left w:val="none" w:sz="0" w:space="0" w:color="auto"/>
            <w:bottom w:val="none" w:sz="0" w:space="0" w:color="auto"/>
            <w:right w:val="none" w:sz="0" w:space="0" w:color="auto"/>
          </w:divBdr>
          <w:divsChild>
            <w:div w:id="863400765">
              <w:marLeft w:val="0"/>
              <w:marRight w:val="0"/>
              <w:marTop w:val="0"/>
              <w:marBottom w:val="0"/>
              <w:divBdr>
                <w:top w:val="none" w:sz="0" w:space="0" w:color="auto"/>
                <w:left w:val="none" w:sz="0" w:space="0" w:color="auto"/>
                <w:bottom w:val="none" w:sz="0" w:space="0" w:color="auto"/>
                <w:right w:val="none" w:sz="0" w:space="0" w:color="auto"/>
              </w:divBdr>
              <w:divsChild>
                <w:div w:id="5579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7177">
          <w:marLeft w:val="0"/>
          <w:marRight w:val="0"/>
          <w:marTop w:val="0"/>
          <w:marBottom w:val="0"/>
          <w:divBdr>
            <w:top w:val="none" w:sz="0" w:space="0" w:color="auto"/>
            <w:left w:val="none" w:sz="0" w:space="0" w:color="auto"/>
            <w:bottom w:val="none" w:sz="0" w:space="0" w:color="auto"/>
            <w:right w:val="none" w:sz="0" w:space="0" w:color="auto"/>
          </w:divBdr>
          <w:divsChild>
            <w:div w:id="1821656700">
              <w:marLeft w:val="0"/>
              <w:marRight w:val="0"/>
              <w:marTop w:val="0"/>
              <w:marBottom w:val="0"/>
              <w:divBdr>
                <w:top w:val="none" w:sz="0" w:space="0" w:color="auto"/>
                <w:left w:val="none" w:sz="0" w:space="0" w:color="auto"/>
                <w:bottom w:val="none" w:sz="0" w:space="0" w:color="auto"/>
                <w:right w:val="none" w:sz="0" w:space="0" w:color="auto"/>
              </w:divBdr>
              <w:divsChild>
                <w:div w:id="1039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817">
      <w:bodyDiv w:val="1"/>
      <w:marLeft w:val="0"/>
      <w:marRight w:val="0"/>
      <w:marTop w:val="0"/>
      <w:marBottom w:val="0"/>
      <w:divBdr>
        <w:top w:val="none" w:sz="0" w:space="0" w:color="auto"/>
        <w:left w:val="none" w:sz="0" w:space="0" w:color="auto"/>
        <w:bottom w:val="none" w:sz="0" w:space="0" w:color="auto"/>
        <w:right w:val="none" w:sz="0" w:space="0" w:color="auto"/>
      </w:divBdr>
      <w:divsChild>
        <w:div w:id="1967659475">
          <w:marLeft w:val="0"/>
          <w:marRight w:val="0"/>
          <w:marTop w:val="0"/>
          <w:marBottom w:val="0"/>
          <w:divBdr>
            <w:top w:val="none" w:sz="0" w:space="0" w:color="auto"/>
            <w:left w:val="none" w:sz="0" w:space="0" w:color="auto"/>
            <w:bottom w:val="none" w:sz="0" w:space="0" w:color="auto"/>
            <w:right w:val="none" w:sz="0" w:space="0" w:color="auto"/>
          </w:divBdr>
          <w:divsChild>
            <w:div w:id="1121845468">
              <w:marLeft w:val="0"/>
              <w:marRight w:val="0"/>
              <w:marTop w:val="0"/>
              <w:marBottom w:val="0"/>
              <w:divBdr>
                <w:top w:val="none" w:sz="0" w:space="0" w:color="auto"/>
                <w:left w:val="none" w:sz="0" w:space="0" w:color="auto"/>
                <w:bottom w:val="none" w:sz="0" w:space="0" w:color="auto"/>
                <w:right w:val="none" w:sz="0" w:space="0" w:color="auto"/>
              </w:divBdr>
              <w:divsChild>
                <w:div w:id="17071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0575">
      <w:bodyDiv w:val="1"/>
      <w:marLeft w:val="0"/>
      <w:marRight w:val="0"/>
      <w:marTop w:val="0"/>
      <w:marBottom w:val="0"/>
      <w:divBdr>
        <w:top w:val="none" w:sz="0" w:space="0" w:color="auto"/>
        <w:left w:val="none" w:sz="0" w:space="0" w:color="auto"/>
        <w:bottom w:val="none" w:sz="0" w:space="0" w:color="auto"/>
        <w:right w:val="none" w:sz="0" w:space="0" w:color="auto"/>
      </w:divBdr>
      <w:divsChild>
        <w:div w:id="1701661239">
          <w:marLeft w:val="0"/>
          <w:marRight w:val="0"/>
          <w:marTop w:val="0"/>
          <w:marBottom w:val="0"/>
          <w:divBdr>
            <w:top w:val="none" w:sz="0" w:space="0" w:color="auto"/>
            <w:left w:val="none" w:sz="0" w:space="0" w:color="auto"/>
            <w:bottom w:val="none" w:sz="0" w:space="0" w:color="auto"/>
            <w:right w:val="none" w:sz="0" w:space="0" w:color="auto"/>
          </w:divBdr>
          <w:divsChild>
            <w:div w:id="1672640066">
              <w:marLeft w:val="0"/>
              <w:marRight w:val="0"/>
              <w:marTop w:val="0"/>
              <w:marBottom w:val="0"/>
              <w:divBdr>
                <w:top w:val="none" w:sz="0" w:space="0" w:color="auto"/>
                <w:left w:val="none" w:sz="0" w:space="0" w:color="auto"/>
                <w:bottom w:val="none" w:sz="0" w:space="0" w:color="auto"/>
                <w:right w:val="none" w:sz="0" w:space="0" w:color="auto"/>
              </w:divBdr>
              <w:divsChild>
                <w:div w:id="1711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876">
      <w:bodyDiv w:val="1"/>
      <w:marLeft w:val="0"/>
      <w:marRight w:val="0"/>
      <w:marTop w:val="0"/>
      <w:marBottom w:val="0"/>
      <w:divBdr>
        <w:top w:val="none" w:sz="0" w:space="0" w:color="auto"/>
        <w:left w:val="none" w:sz="0" w:space="0" w:color="auto"/>
        <w:bottom w:val="none" w:sz="0" w:space="0" w:color="auto"/>
        <w:right w:val="none" w:sz="0" w:space="0" w:color="auto"/>
      </w:divBdr>
      <w:divsChild>
        <w:div w:id="1147933608">
          <w:marLeft w:val="0"/>
          <w:marRight w:val="0"/>
          <w:marTop w:val="0"/>
          <w:marBottom w:val="0"/>
          <w:divBdr>
            <w:top w:val="none" w:sz="0" w:space="0" w:color="auto"/>
            <w:left w:val="none" w:sz="0" w:space="0" w:color="auto"/>
            <w:bottom w:val="none" w:sz="0" w:space="0" w:color="auto"/>
            <w:right w:val="none" w:sz="0" w:space="0" w:color="auto"/>
          </w:divBdr>
          <w:divsChild>
            <w:div w:id="1239362201">
              <w:marLeft w:val="0"/>
              <w:marRight w:val="0"/>
              <w:marTop w:val="0"/>
              <w:marBottom w:val="0"/>
              <w:divBdr>
                <w:top w:val="none" w:sz="0" w:space="0" w:color="auto"/>
                <w:left w:val="none" w:sz="0" w:space="0" w:color="auto"/>
                <w:bottom w:val="none" w:sz="0" w:space="0" w:color="auto"/>
                <w:right w:val="none" w:sz="0" w:space="0" w:color="auto"/>
              </w:divBdr>
              <w:divsChild>
                <w:div w:id="19670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4965">
          <w:marLeft w:val="0"/>
          <w:marRight w:val="0"/>
          <w:marTop w:val="0"/>
          <w:marBottom w:val="0"/>
          <w:divBdr>
            <w:top w:val="none" w:sz="0" w:space="0" w:color="auto"/>
            <w:left w:val="none" w:sz="0" w:space="0" w:color="auto"/>
            <w:bottom w:val="none" w:sz="0" w:space="0" w:color="auto"/>
            <w:right w:val="none" w:sz="0" w:space="0" w:color="auto"/>
          </w:divBdr>
          <w:divsChild>
            <w:div w:id="1213738067">
              <w:marLeft w:val="0"/>
              <w:marRight w:val="0"/>
              <w:marTop w:val="0"/>
              <w:marBottom w:val="0"/>
              <w:divBdr>
                <w:top w:val="none" w:sz="0" w:space="0" w:color="auto"/>
                <w:left w:val="none" w:sz="0" w:space="0" w:color="auto"/>
                <w:bottom w:val="none" w:sz="0" w:space="0" w:color="auto"/>
                <w:right w:val="none" w:sz="0" w:space="0" w:color="auto"/>
              </w:divBdr>
              <w:divsChild>
                <w:div w:id="6186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11218">
      <w:bodyDiv w:val="1"/>
      <w:marLeft w:val="0"/>
      <w:marRight w:val="0"/>
      <w:marTop w:val="0"/>
      <w:marBottom w:val="0"/>
      <w:divBdr>
        <w:top w:val="none" w:sz="0" w:space="0" w:color="auto"/>
        <w:left w:val="none" w:sz="0" w:space="0" w:color="auto"/>
        <w:bottom w:val="none" w:sz="0" w:space="0" w:color="auto"/>
        <w:right w:val="none" w:sz="0" w:space="0" w:color="auto"/>
      </w:divBdr>
    </w:div>
    <w:div w:id="1665207560">
      <w:bodyDiv w:val="1"/>
      <w:marLeft w:val="0"/>
      <w:marRight w:val="0"/>
      <w:marTop w:val="0"/>
      <w:marBottom w:val="0"/>
      <w:divBdr>
        <w:top w:val="none" w:sz="0" w:space="0" w:color="auto"/>
        <w:left w:val="none" w:sz="0" w:space="0" w:color="auto"/>
        <w:bottom w:val="none" w:sz="0" w:space="0" w:color="auto"/>
        <w:right w:val="none" w:sz="0" w:space="0" w:color="auto"/>
      </w:divBdr>
      <w:divsChild>
        <w:div w:id="484787628">
          <w:marLeft w:val="0"/>
          <w:marRight w:val="0"/>
          <w:marTop w:val="0"/>
          <w:marBottom w:val="0"/>
          <w:divBdr>
            <w:top w:val="none" w:sz="0" w:space="0" w:color="auto"/>
            <w:left w:val="none" w:sz="0" w:space="0" w:color="auto"/>
            <w:bottom w:val="none" w:sz="0" w:space="0" w:color="auto"/>
            <w:right w:val="none" w:sz="0" w:space="0" w:color="auto"/>
          </w:divBdr>
          <w:divsChild>
            <w:div w:id="848761584">
              <w:marLeft w:val="0"/>
              <w:marRight w:val="0"/>
              <w:marTop w:val="0"/>
              <w:marBottom w:val="0"/>
              <w:divBdr>
                <w:top w:val="none" w:sz="0" w:space="0" w:color="auto"/>
                <w:left w:val="none" w:sz="0" w:space="0" w:color="auto"/>
                <w:bottom w:val="none" w:sz="0" w:space="0" w:color="auto"/>
                <w:right w:val="none" w:sz="0" w:space="0" w:color="auto"/>
              </w:divBdr>
              <w:divsChild>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2B62-0374-48A1-8BAF-7408220D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5350</Words>
  <Characters>29430</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CERD/C/MEX/CO/R.18-21</vt:lpstr>
      <vt:lpstr>CERD/C/MEX/CO/R.18-21</vt:lpstr>
    </vt:vector>
  </TitlesOfParts>
  <Company>DCM</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CERD/C/MEX/CO/18-21</dc:title>
  <dc:subject/>
  <dc:creator>Gloria</dc:creator>
  <cp:keywords/>
  <dc:description/>
  <cp:lastModifiedBy>Maria De La Plaza</cp:lastModifiedBy>
  <cp:revision>3</cp:revision>
  <cp:lastPrinted>2019-09-19T14:03:00Z</cp:lastPrinted>
  <dcterms:created xsi:type="dcterms:W3CDTF">2019-09-19T14:03:00Z</dcterms:created>
  <dcterms:modified xsi:type="dcterms:W3CDTF">2019-09-19T14:03:00Z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C/MEX/CO/R.18-21</vt:lpwstr>
  </property>
  <property fmtid="{D5CDD505-2E9C-101B-9397-08002B2CF9AE}" pid="4" name="symh">
    <vt:lpwstr>CERD/C/MEX/CO/R.18-21</vt:lpwstr>
  </property>
  <property fmtid="{D5CDD505-2E9C-101B-9397-08002B2CF9AE}" pid="5" name="dist">
    <vt:lpwstr>reservada</vt:lpwstr>
  </property>
  <property fmtid="{D5CDD505-2E9C-101B-9397-08002B2CF9AE}" pid="6" name="date">
    <vt:lpwstr>19 de junio de 2019</vt:lpwstr>
  </property>
  <property fmtid="{D5CDD505-2E9C-101B-9397-08002B2CF9AE}" pid="7" name="sdate">
    <vt:lpwstr>5 a 29 de agosto de 2019</vt:lpwstr>
  </property>
  <property fmtid="{D5CDD505-2E9C-101B-9397-08002B2CF9AE}" pid="8" name="virs">
    <vt:lpwstr>Español, francés e inglés únicamente</vt:lpwstr>
  </property>
  <property fmtid="{D5CDD505-2E9C-101B-9397-08002B2CF9AE}" pid="9" name="snum">
    <vt:lpwstr>99ᵒ</vt:lpwstr>
  </property>
  <property fmtid="{D5CDD505-2E9C-101B-9397-08002B2CF9AE}" pid="10" name="anum">
    <vt:lpwstr>[NUMBER]</vt:lpwstr>
  </property>
  <property fmtid="{D5CDD505-2E9C-101B-9397-08002B2CF9AE}" pid="11" name="count">
    <vt:lpwstr>de México</vt:lpwstr>
  </property>
  <property fmtid="{D5CDD505-2E9C-101B-9397-08002B2CF9AE}" pid="12" name="countw">
    <vt:lpwstr>México</vt:lpwstr>
  </property>
  <property fmtid="{D5CDD505-2E9C-101B-9397-08002B2CF9AE}" pid="13" name="countwd">
    <vt:lpwstr>México</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4</vt:lpwstr>
  </property>
  <property fmtid="{D5CDD505-2E9C-101B-9397-08002B2CF9AE}" pid="18" name="stitle">
    <vt:lpwstr>[Title]</vt:lpwstr>
  </property>
  <property fmtid="{D5CDD505-2E9C-101B-9397-08002B2CF9AE}" pid="19" name="prep">
    <vt:lpwstr>a los informes periódicos 18ᵒ a 21ᵒ combinados de México</vt:lpwstr>
  </property>
  <property fmtid="{D5CDD505-2E9C-101B-9397-08002B2CF9AE}" pid="20" name="preps">
    <vt:lpwstr>informes periódicos 18ᵒ a 21ᵒ combinados de México</vt:lpwstr>
  </property>
  <property fmtid="{D5CDD505-2E9C-101B-9397-08002B2CF9AE}" pid="21" name="prepw">
    <vt:lpwstr>a los informes periódicos 18ᵒ a 21ᵒ combinados</vt:lpwstr>
  </property>
  <property fmtid="{D5CDD505-2E9C-101B-9397-08002B2CF9AE}" pid="22" name="prepws">
    <vt:lpwstr>informes periódicos 18ᵒ a 21ᵒ combinados de México</vt:lpwstr>
  </property>
  <property fmtid="{D5CDD505-2E9C-101B-9397-08002B2CF9AE}" pid="23" name="prepwc">
    <vt:lpwstr>Informes periódicos 18ᵒ a 21ᵒ combinados </vt:lpwstr>
  </property>
  <property fmtid="{D5CDD505-2E9C-101B-9397-08002B2CF9AE}" pid="24" name="olang">
    <vt:lpwstr>español</vt:lpwstr>
  </property>
  <property fmtid="{D5CDD505-2E9C-101B-9397-08002B2CF9AE}" pid="25" name="Date-Generated">
    <vt:filetime>2019-06-19T14:01:12Z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vt:lpwstr>
  </property>
  <property fmtid="{D5CDD505-2E9C-101B-9397-08002B2CF9AE}" pid="30" name="doctype">
    <vt:lpwstr>Draft</vt:lpwstr>
  </property>
  <property fmtid="{D5CDD505-2E9C-101B-9397-08002B2CF9AE}" pid="31" name="category">
    <vt:lpwstr>CERD</vt:lpwstr>
  </property>
</Properties>
</file>