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1037149" w14:textId="77777777" w:rsidTr="00E56EE3">
        <w:trPr>
          <w:trHeight w:hRule="exact" w:val="851"/>
        </w:trPr>
        <w:tc>
          <w:tcPr>
            <w:tcW w:w="1280" w:type="dxa"/>
            <w:tcBorders>
              <w:bottom w:val="single" w:sz="4" w:space="0" w:color="auto"/>
            </w:tcBorders>
            <w:shd w:val="clear" w:color="auto" w:fill="auto"/>
          </w:tcPr>
          <w:p w14:paraId="63BDEFF7" w14:textId="77777777" w:rsidR="002D5AAC" w:rsidRDefault="002D5AAC" w:rsidP="00E56EE3"/>
        </w:tc>
        <w:tc>
          <w:tcPr>
            <w:tcW w:w="2273" w:type="dxa"/>
            <w:tcBorders>
              <w:bottom w:val="single" w:sz="4" w:space="0" w:color="auto"/>
            </w:tcBorders>
            <w:shd w:val="clear" w:color="auto" w:fill="auto"/>
            <w:vAlign w:val="bottom"/>
          </w:tcPr>
          <w:p w14:paraId="08ABC807" w14:textId="77777777"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41255A3B" w14:textId="77777777" w:rsidR="002D5AAC" w:rsidRDefault="00D7481B" w:rsidP="00E56EE3">
            <w:pPr>
              <w:jc w:val="right"/>
            </w:pPr>
            <w:r>
              <w:rPr>
                <w:sz w:val="40"/>
              </w:rPr>
              <w:t>CERD</w:t>
            </w:r>
            <w:r w:rsidR="00935A0B" w:rsidRPr="00F43810">
              <w:t>/</w:t>
            </w:r>
            <w:r w:rsidR="00151BFB">
              <w:fldChar w:fldCharType="begin"/>
            </w:r>
            <w:r w:rsidR="00151BFB">
              <w:instrText xml:space="preserve"> DOCPROPERTY  sym1  \* MERGEFORMAT </w:instrText>
            </w:r>
            <w:r w:rsidR="00151BFB">
              <w:fldChar w:fldCharType="separate"/>
            </w:r>
            <w:r w:rsidR="00935A0B" w:rsidRPr="00F43810">
              <w:t>C/SLV/Q/18-19</w:t>
            </w:r>
            <w:r w:rsidR="00151BFB">
              <w:fldChar w:fldCharType="end"/>
            </w:r>
          </w:p>
        </w:tc>
      </w:tr>
      <w:tr w:rsidR="002D5AAC" w14:paraId="3B998D0C" w14:textId="77777777" w:rsidTr="00E56EE3">
        <w:trPr>
          <w:trHeight w:hRule="exact" w:val="2835"/>
        </w:trPr>
        <w:tc>
          <w:tcPr>
            <w:tcW w:w="1280" w:type="dxa"/>
            <w:tcBorders>
              <w:top w:val="single" w:sz="4" w:space="0" w:color="auto"/>
              <w:bottom w:val="single" w:sz="12" w:space="0" w:color="auto"/>
            </w:tcBorders>
            <w:shd w:val="clear" w:color="auto" w:fill="auto"/>
          </w:tcPr>
          <w:p w14:paraId="0C1DCDEC" w14:textId="77777777" w:rsidR="002D5AAC" w:rsidRDefault="000107AA" w:rsidP="00E56EE3">
            <w:pPr>
              <w:spacing w:before="120"/>
              <w:jc w:val="center"/>
            </w:pPr>
            <w:r>
              <w:rPr>
                <w:noProof/>
                <w:lang w:eastAsia="zh-CN"/>
              </w:rPr>
              <w:drawing>
                <wp:inline distT="0" distB="0" distL="0" distR="0" wp14:anchorId="7C6A3C54" wp14:editId="12994B32">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6E718663" w14:textId="77777777" w:rsidR="002D5AAC" w:rsidRPr="00D4778E" w:rsidRDefault="00D7481B" w:rsidP="00D7481B">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shd w:val="clear" w:color="auto" w:fill="auto"/>
          </w:tcPr>
          <w:p w14:paraId="143D71E3" w14:textId="77777777" w:rsidR="00935A0B" w:rsidRPr="00F43810" w:rsidRDefault="00935A0B" w:rsidP="00935A0B">
            <w:pPr>
              <w:spacing w:before="240" w:line="240" w:lineRule="exact"/>
            </w:pPr>
            <w:r w:rsidRPr="00F43810">
              <w:t xml:space="preserve">Distr. </w:t>
            </w:r>
            <w:r w:rsidR="00151BFB">
              <w:fldChar w:fldCharType="begin"/>
            </w:r>
            <w:r w:rsidR="00151BFB">
              <w:instrText xml:space="preserve"> DOCPROPERTY  dist  \* MERGEFORMAT </w:instrText>
            </w:r>
            <w:r w:rsidR="00151BFB">
              <w:fldChar w:fldCharType="separate"/>
            </w:r>
            <w:r w:rsidR="006551F6" w:rsidRPr="00F43810">
              <w:t>general</w:t>
            </w:r>
            <w:r w:rsidR="00151BFB">
              <w:fldChar w:fldCharType="end"/>
            </w:r>
          </w:p>
          <w:p w14:paraId="1446D6ED" w14:textId="71879AA2" w:rsidR="00935A0B" w:rsidRPr="00F43810" w:rsidRDefault="00151BFB" w:rsidP="00935A0B">
            <w:r>
              <w:fldChar w:fldCharType="begin"/>
            </w:r>
            <w:r>
              <w:instrText xml:space="preserve"> DOCPROPERTY  date  \* MERGEFORMAT </w:instrText>
            </w:r>
            <w:r>
              <w:fldChar w:fldCharType="separate"/>
            </w:r>
            <w:r w:rsidR="004411DE">
              <w:t>1</w:t>
            </w:r>
            <w:r w:rsidR="00C927FE">
              <w:t>7</w:t>
            </w:r>
            <w:r w:rsidR="0029175B">
              <w:t xml:space="preserve"> </w:t>
            </w:r>
            <w:r w:rsidR="00B20725">
              <w:t>de junio</w:t>
            </w:r>
            <w:r w:rsidR="00935A0B" w:rsidRPr="00F43810">
              <w:t xml:space="preserve"> de 2019</w:t>
            </w:r>
            <w:r>
              <w:fldChar w:fldCharType="end"/>
            </w:r>
          </w:p>
          <w:p w14:paraId="13C5B0BB" w14:textId="77777777" w:rsidR="00B20725" w:rsidRDefault="00B20725" w:rsidP="00935A0B"/>
          <w:p w14:paraId="7B1D1F12" w14:textId="77777777" w:rsidR="00B20725" w:rsidRPr="00B20725" w:rsidRDefault="00B20725" w:rsidP="00B20725">
            <w:r w:rsidRPr="00B20725">
              <w:t>Original: español</w:t>
            </w:r>
          </w:p>
          <w:p w14:paraId="079D60DC" w14:textId="77777777" w:rsidR="002D5AAC" w:rsidRDefault="00151BFB" w:rsidP="00935A0B">
            <w:pPr>
              <w:spacing w:line="240" w:lineRule="exact"/>
            </w:pPr>
            <w:r>
              <w:fldChar w:fldCharType="begin"/>
            </w:r>
            <w:r>
              <w:instrText xml:space="preserve"> DOCPROPERTY  virs  \* MERGEFORMAT </w:instrText>
            </w:r>
            <w:r>
              <w:fldChar w:fldCharType="separate"/>
            </w:r>
            <w:r w:rsidR="00935A0B" w:rsidRPr="00F43810">
              <w:t>Español, francés e inglés únicamente</w:t>
            </w:r>
            <w:r>
              <w:fldChar w:fldCharType="end"/>
            </w:r>
          </w:p>
        </w:tc>
      </w:tr>
    </w:tbl>
    <w:p w14:paraId="0CC4D6E3" w14:textId="77777777" w:rsidR="001A4396" w:rsidRDefault="00D7481B" w:rsidP="001A4396">
      <w:pPr>
        <w:spacing w:before="120"/>
        <w:rPr>
          <w:b/>
          <w:sz w:val="24"/>
          <w:szCs w:val="24"/>
          <w:lang w:val="es-ES_tradnl"/>
        </w:rPr>
      </w:pPr>
      <w:r w:rsidRPr="009273F3">
        <w:rPr>
          <w:b/>
          <w:sz w:val="24"/>
          <w:szCs w:val="24"/>
          <w:lang w:val="es-ES_tradnl"/>
        </w:rPr>
        <w:t>Comité para la Eliminación de la Discriminación Racial</w:t>
      </w:r>
    </w:p>
    <w:p w14:paraId="7674678D" w14:textId="7BE072B8" w:rsidR="009A7FC7" w:rsidRPr="007E2C6D" w:rsidRDefault="009A7FC7" w:rsidP="009A7FC7">
      <w:pPr>
        <w:rPr>
          <w:b/>
        </w:rPr>
      </w:pPr>
      <w:r w:rsidRPr="002C3864">
        <w:rPr>
          <w:b/>
        </w:rPr>
        <w:fldChar w:fldCharType="begin"/>
      </w:r>
      <w:r w:rsidRPr="002C3864">
        <w:rPr>
          <w:b/>
        </w:rPr>
        <w:instrText xml:space="preserve"> DOCPROPERTY  snum  \* MERGEFORMAT </w:instrText>
      </w:r>
      <w:r w:rsidRPr="002C3864">
        <w:rPr>
          <w:b/>
        </w:rPr>
        <w:fldChar w:fldCharType="separate"/>
      </w:r>
      <w:r>
        <w:rPr>
          <w:b/>
        </w:rPr>
        <w:t>99</w:t>
      </w:r>
      <w:r w:rsidR="00C04431">
        <w:rPr>
          <w:b/>
        </w:rPr>
        <w:t>º</w:t>
      </w:r>
      <w:r w:rsidRPr="002C3864">
        <w:rPr>
          <w:b/>
        </w:rPr>
        <w:fldChar w:fldCharType="end"/>
      </w:r>
      <w:r w:rsidRPr="002C3864">
        <w:rPr>
          <w:b/>
        </w:rPr>
        <w:t xml:space="preserve"> </w:t>
      </w:r>
      <w:r>
        <w:rPr>
          <w:b/>
        </w:rPr>
        <w:t>período de sesiones</w:t>
      </w:r>
    </w:p>
    <w:p w14:paraId="6AB5890D" w14:textId="77777777" w:rsidR="009A7FC7" w:rsidRDefault="00151BFB" w:rsidP="009A7FC7">
      <w:r>
        <w:fldChar w:fldCharType="begin"/>
      </w:r>
      <w:r>
        <w:instrText xml:space="preserve"> DOCPROPERTY  sdate  \* MERGEFORMAT </w:instrText>
      </w:r>
      <w:r>
        <w:fldChar w:fldCharType="separate"/>
      </w:r>
      <w:r w:rsidR="009A7FC7">
        <w:t>5 a 29 de agosto de 2019</w:t>
      </w:r>
      <w:r>
        <w:fldChar w:fldCharType="end"/>
      </w:r>
    </w:p>
    <w:p w14:paraId="5157A93D" w14:textId="108E2208" w:rsidR="009A7FC7" w:rsidRDefault="009A7FC7" w:rsidP="009A7FC7">
      <w:r w:rsidRPr="004411DE">
        <w:t>Tema</w:t>
      </w:r>
      <w:r w:rsidR="00FC2469" w:rsidRPr="004411DE">
        <w:t xml:space="preserve"> 4</w:t>
      </w:r>
      <w:r w:rsidR="00FC2469">
        <w:t xml:space="preserve"> </w:t>
      </w:r>
      <w:r w:rsidRPr="002C3864">
        <w:t>del programa</w:t>
      </w:r>
      <w:r>
        <w:t xml:space="preserve"> provisional</w:t>
      </w:r>
    </w:p>
    <w:p w14:paraId="6367DC62" w14:textId="3ED0E2D9" w:rsidR="009A7FC7" w:rsidRPr="00E831D7" w:rsidRDefault="00FC2469" w:rsidP="009A7FC7">
      <w:pPr>
        <w:rPr>
          <w:b/>
          <w:bCs/>
        </w:rPr>
      </w:pPr>
      <w:r w:rsidRPr="00C27B1C">
        <w:rPr>
          <w:b/>
        </w:rPr>
        <w:t>Examen de los informes, las observaciones y la</w:t>
      </w:r>
      <w:r>
        <w:rPr>
          <w:b/>
        </w:rPr>
        <w:t xml:space="preserve"> </w:t>
      </w:r>
      <w:r w:rsidRPr="00C27B1C">
        <w:rPr>
          <w:b/>
        </w:rPr>
        <w:t xml:space="preserve">información </w:t>
      </w:r>
      <w:r>
        <w:rPr>
          <w:b/>
        </w:rPr>
        <w:br/>
      </w:r>
      <w:r w:rsidRPr="00C27B1C">
        <w:rPr>
          <w:b/>
        </w:rPr>
        <w:t>presentados por los Estados partes</w:t>
      </w:r>
      <w:r>
        <w:rPr>
          <w:b/>
        </w:rPr>
        <w:t xml:space="preserve"> </w:t>
      </w:r>
      <w:r w:rsidRPr="00C27B1C">
        <w:rPr>
          <w:b/>
        </w:rPr>
        <w:t xml:space="preserve">en virtud del artículo 9 </w:t>
      </w:r>
      <w:r>
        <w:rPr>
          <w:b/>
        </w:rPr>
        <w:br/>
      </w:r>
      <w:r w:rsidRPr="00C27B1C">
        <w:rPr>
          <w:b/>
        </w:rPr>
        <w:t>de la Convención</w:t>
      </w:r>
    </w:p>
    <w:p w14:paraId="227E937D" w14:textId="6AD50834" w:rsidR="009A7FC7" w:rsidRPr="0066688E" w:rsidRDefault="001A4396" w:rsidP="009A7FC7">
      <w:pPr>
        <w:pStyle w:val="HChG"/>
        <w:rPr>
          <w:lang w:val="es-CO"/>
        </w:rPr>
      </w:pPr>
      <w:r>
        <w:rPr>
          <w:color w:val="000000"/>
        </w:rPr>
        <w:tab/>
      </w:r>
      <w:r>
        <w:rPr>
          <w:color w:val="000000"/>
        </w:rPr>
        <w:tab/>
      </w:r>
      <w:r w:rsidR="001C4566">
        <w:rPr>
          <w:color w:val="000000"/>
        </w:rPr>
        <w:t>L</w:t>
      </w:r>
      <w:r w:rsidR="00EA6C4C" w:rsidRPr="00802E77">
        <w:rPr>
          <w:lang w:val="es-ES_tradnl"/>
        </w:rPr>
        <w:t>ista</w:t>
      </w:r>
      <w:r w:rsidR="009A7FC7" w:rsidRPr="00802E77">
        <w:rPr>
          <w:lang w:val="es-ES_tradnl"/>
        </w:rPr>
        <w:t xml:space="preserve"> de temas relativa </w:t>
      </w:r>
      <w:r w:rsidR="009A7FC7">
        <w:rPr>
          <w:szCs w:val="28"/>
          <w:lang w:val="es-ES_tradnl" w:eastAsia="en-US"/>
        </w:rPr>
        <w:fldChar w:fldCharType="begin"/>
      </w:r>
      <w:r w:rsidR="009A7FC7">
        <w:rPr>
          <w:szCs w:val="28"/>
          <w:lang w:val="es-ES_tradnl" w:eastAsia="en-US"/>
        </w:rPr>
        <w:instrText xml:space="preserve"> DOCPROPERTY  prep  \* MERGEFORMAT </w:instrText>
      </w:r>
      <w:r w:rsidR="009A7FC7">
        <w:rPr>
          <w:szCs w:val="28"/>
          <w:lang w:val="es-ES_tradnl" w:eastAsia="en-US"/>
        </w:rPr>
        <w:fldChar w:fldCharType="separate"/>
      </w:r>
      <w:r w:rsidR="009A7FC7">
        <w:rPr>
          <w:szCs w:val="28"/>
          <w:lang w:val="es-ES_tradnl" w:eastAsia="en-US"/>
        </w:rPr>
        <w:t>a los informes periódicos 18</w:t>
      </w:r>
      <w:r w:rsidR="00C04431">
        <w:rPr>
          <w:szCs w:val="28"/>
          <w:lang w:val="es-ES_tradnl" w:eastAsia="en-US"/>
        </w:rPr>
        <w:t>º</w:t>
      </w:r>
      <w:r w:rsidR="009A7FC7">
        <w:rPr>
          <w:szCs w:val="28"/>
          <w:lang w:val="es-ES_tradnl" w:eastAsia="en-US"/>
        </w:rPr>
        <w:t xml:space="preserve"> y 19</w:t>
      </w:r>
      <w:r w:rsidR="00C04431">
        <w:rPr>
          <w:szCs w:val="28"/>
          <w:lang w:val="es-ES_tradnl" w:eastAsia="en-US"/>
        </w:rPr>
        <w:t>º </w:t>
      </w:r>
      <w:r w:rsidR="009A7FC7">
        <w:rPr>
          <w:szCs w:val="28"/>
          <w:lang w:val="es-ES_tradnl" w:eastAsia="en-US"/>
        </w:rPr>
        <w:t>combinados de El Salvador</w:t>
      </w:r>
      <w:r w:rsidR="009A7FC7">
        <w:rPr>
          <w:szCs w:val="28"/>
          <w:lang w:val="es-ES_tradnl" w:eastAsia="en-US"/>
        </w:rPr>
        <w:fldChar w:fldCharType="end"/>
      </w:r>
    </w:p>
    <w:p w14:paraId="6CECEDDC" w14:textId="77777777" w:rsidR="009A7FC7" w:rsidRPr="00A823EE" w:rsidRDefault="009A7FC7" w:rsidP="009A7FC7">
      <w:pPr>
        <w:pStyle w:val="H1G"/>
        <w:rPr>
          <w:lang w:val="es-CO"/>
        </w:rPr>
      </w:pPr>
      <w:r w:rsidRPr="0066688E">
        <w:rPr>
          <w:lang w:val="es-CO"/>
        </w:rPr>
        <w:tab/>
      </w:r>
      <w:r w:rsidRPr="0066688E">
        <w:rPr>
          <w:lang w:val="es-CO"/>
        </w:rPr>
        <w:tab/>
      </w:r>
      <w:r w:rsidRPr="00802E77">
        <w:rPr>
          <w:lang w:val="es-ES_tradnl"/>
        </w:rPr>
        <w:t>Nota del Relator para el país</w:t>
      </w:r>
    </w:p>
    <w:p w14:paraId="586E0DC0" w14:textId="09A89C8B" w:rsidR="009A7FC7" w:rsidRPr="00B20725" w:rsidRDefault="00C04431" w:rsidP="00085877">
      <w:pPr>
        <w:pStyle w:val="SingleTxtG"/>
      </w:pPr>
      <w:r w:rsidRPr="00B20725">
        <w:t>1.</w:t>
      </w:r>
      <w:r w:rsidRPr="00B20725">
        <w:tab/>
      </w:r>
      <w:r w:rsidR="009A7FC7" w:rsidRPr="00B20725">
        <w:t>El Comité para la</w:t>
      </w:r>
      <w:r w:rsidR="003964C8" w:rsidRPr="00B20725">
        <w:t xml:space="preserve"> Eliminación de la Discriminación</w:t>
      </w:r>
      <w:r w:rsidR="009A7FC7" w:rsidRPr="00B20725">
        <w:t xml:space="preserve"> Racial decidió en su 76º período de sesiones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requieren respuestas por escrito.</w:t>
      </w:r>
    </w:p>
    <w:p w14:paraId="11127045" w14:textId="77777777" w:rsidR="009A7FC7" w:rsidRPr="00A823EE" w:rsidRDefault="009A7FC7" w:rsidP="009A7FC7">
      <w:pPr>
        <w:pStyle w:val="H23G"/>
        <w:rPr>
          <w:lang w:val="es-CO"/>
        </w:rPr>
      </w:pPr>
      <w:r w:rsidRPr="00A823EE">
        <w:rPr>
          <w:lang w:val="es-CO"/>
        </w:rPr>
        <w:tab/>
      </w:r>
      <w:r w:rsidRPr="00A823EE">
        <w:rPr>
          <w:lang w:val="es-CO"/>
        </w:rPr>
        <w:tab/>
      </w:r>
      <w:r w:rsidR="00FE36EA">
        <w:rPr>
          <w:lang w:val="es-ES_tradnl"/>
        </w:rPr>
        <w:t>Información sobre la composición demográfica de la población</w:t>
      </w:r>
      <w:r w:rsidRPr="00802E77">
        <w:rPr>
          <w:lang w:val="es-ES_tradnl"/>
        </w:rPr>
        <w:t xml:space="preserve"> </w:t>
      </w:r>
    </w:p>
    <w:p w14:paraId="77A8FC4A" w14:textId="65A5215E" w:rsidR="00954B4E" w:rsidRPr="00EA6C4C" w:rsidRDefault="00C04431" w:rsidP="00085877">
      <w:pPr>
        <w:pStyle w:val="SingleTxtG"/>
        <w:rPr>
          <w:rFonts w:eastAsia="Times New Roman"/>
          <w:lang w:eastAsia="en-GB"/>
        </w:rPr>
      </w:pPr>
      <w:r w:rsidRPr="00EA6C4C">
        <w:rPr>
          <w:rFonts w:eastAsia="Times New Roman"/>
          <w:lang w:eastAsia="en-GB"/>
        </w:rPr>
        <w:t>2.</w:t>
      </w:r>
      <w:r w:rsidRPr="00EA6C4C">
        <w:rPr>
          <w:rFonts w:eastAsia="Times New Roman"/>
          <w:lang w:eastAsia="en-GB"/>
        </w:rPr>
        <w:tab/>
      </w:r>
      <w:r w:rsidR="00954B4E" w:rsidRPr="00B20725">
        <w:t>Datos actualizados y des</w:t>
      </w:r>
      <w:r w:rsidR="0029175B">
        <w:t xml:space="preserve">glosados </w:t>
      </w:r>
      <w:r w:rsidR="00954B4E" w:rsidRPr="00B20725">
        <w:t xml:space="preserve">sobre la composición étnica de la población después del censo de 2017. Cómo, en el marco de este censo, se tomó en cuenta la identidad propia, la consulta de los pueblos indígenas </w:t>
      </w:r>
      <w:r w:rsidR="009A03AF" w:rsidRPr="00B20725">
        <w:t>y la población afrodescendiente</w:t>
      </w:r>
      <w:r w:rsidR="00954B4E" w:rsidRPr="00B20725">
        <w:t xml:space="preserve"> para que el </w:t>
      </w:r>
      <w:r w:rsidR="0029175B">
        <w:t>c</w:t>
      </w:r>
      <w:r w:rsidR="00954B4E" w:rsidRPr="00B20725">
        <w:t>enso refleje adecuadamente su situación (CERD/C/SLV/CO/16-17, párr. 9).</w:t>
      </w:r>
      <w:r w:rsidR="00954B4E" w:rsidRPr="00954B4E">
        <w:rPr>
          <w:lang w:val="es-ES_tradnl"/>
        </w:rPr>
        <w:t xml:space="preserve"> </w:t>
      </w:r>
    </w:p>
    <w:p w14:paraId="73374BE1" w14:textId="5FAE429B" w:rsidR="00A823EE" w:rsidRPr="00FE36EA" w:rsidRDefault="00B20725" w:rsidP="00B20725">
      <w:pPr>
        <w:pStyle w:val="H23G"/>
        <w:rPr>
          <w:lang w:val="es-ES_tradnl" w:eastAsia="en-US"/>
        </w:rPr>
      </w:pPr>
      <w:r>
        <w:rPr>
          <w:lang w:val="es-ES_tradnl" w:eastAsia="en-US"/>
        </w:rPr>
        <w:tab/>
      </w:r>
      <w:r>
        <w:rPr>
          <w:lang w:val="es-ES_tradnl" w:eastAsia="en-US"/>
        </w:rPr>
        <w:tab/>
      </w:r>
      <w:r w:rsidR="00A823EE" w:rsidRPr="00973F42">
        <w:rPr>
          <w:lang w:val="es-ES_tradnl" w:eastAsia="en-US"/>
        </w:rPr>
        <w:t>Marco legal, institucional y de políticas públicas contra la discriminación racial</w:t>
      </w:r>
      <w:r w:rsidR="00FE36EA">
        <w:rPr>
          <w:lang w:val="es-ES_tradnl" w:eastAsia="en-US"/>
        </w:rPr>
        <w:t xml:space="preserve"> </w:t>
      </w:r>
      <w:r w:rsidR="00CC3BCA">
        <w:rPr>
          <w:lang w:val="es-ES_tradnl" w:eastAsia="en-US"/>
        </w:rPr>
        <w:br/>
      </w:r>
      <w:r w:rsidR="00FE36EA" w:rsidRPr="00FE36EA">
        <w:rPr>
          <w:lang w:val="es-ES_tradnl"/>
        </w:rPr>
        <w:t xml:space="preserve">(arts. 2, 4, 6 y 7) </w:t>
      </w:r>
    </w:p>
    <w:p w14:paraId="2B66EEA0" w14:textId="0AFE01D2" w:rsidR="00A823EE" w:rsidRPr="00A823EE" w:rsidRDefault="00C04431" w:rsidP="00085877">
      <w:pPr>
        <w:pStyle w:val="SingleTxtG"/>
        <w:rPr>
          <w:lang w:val="es-ES_tradnl" w:eastAsia="en-US"/>
        </w:rPr>
      </w:pPr>
      <w:r w:rsidRPr="00A823EE">
        <w:rPr>
          <w:lang w:val="es-ES_tradnl" w:eastAsia="en-US"/>
        </w:rPr>
        <w:t>3.</w:t>
      </w:r>
      <w:r w:rsidRPr="00A823EE">
        <w:rPr>
          <w:lang w:val="es-ES_tradnl" w:eastAsia="en-US"/>
        </w:rPr>
        <w:tab/>
      </w:r>
      <w:r w:rsidR="00581269">
        <w:rPr>
          <w:lang w:val="es-ES_tradnl" w:eastAsia="en-US"/>
        </w:rPr>
        <w:t>D</w:t>
      </w:r>
      <w:r w:rsidR="00A823EE" w:rsidRPr="00A823EE">
        <w:rPr>
          <w:lang w:val="es-ES_tradnl" w:eastAsia="en-US"/>
        </w:rPr>
        <w:t xml:space="preserve">efinición de discriminación racial </w:t>
      </w:r>
      <w:r w:rsidR="001A5271">
        <w:rPr>
          <w:lang w:val="es-ES_tradnl" w:eastAsia="en-US"/>
        </w:rPr>
        <w:t xml:space="preserve">en conformidad con el artículo 1 de la Convención </w:t>
      </w:r>
      <w:r w:rsidR="005E34BF">
        <w:t xml:space="preserve">(CERD/C/SLV/CO/16-17, </w:t>
      </w:r>
      <w:r w:rsidR="005E34BF" w:rsidRPr="00802E77">
        <w:rPr>
          <w:lang w:val="es-ES_tradnl"/>
        </w:rPr>
        <w:t xml:space="preserve">párr. </w:t>
      </w:r>
      <w:r w:rsidR="005E34BF">
        <w:rPr>
          <w:lang w:val="es-ES_tradnl"/>
        </w:rPr>
        <w:t>11)</w:t>
      </w:r>
      <w:r w:rsidR="00A823EE" w:rsidRPr="00A823EE">
        <w:rPr>
          <w:lang w:val="es-ES_tradnl" w:eastAsia="en-US"/>
        </w:rPr>
        <w:t xml:space="preserve">. </w:t>
      </w:r>
      <w:r w:rsidR="001A5271">
        <w:rPr>
          <w:lang w:val="es-ES_tradnl" w:eastAsia="en-US"/>
        </w:rPr>
        <w:t>T</w:t>
      </w:r>
      <w:r w:rsidR="00A823EE" w:rsidRPr="00A823EE">
        <w:rPr>
          <w:lang w:val="es-ES_tradnl" w:eastAsia="en-US"/>
        </w:rPr>
        <w:t>ipificación penal de las acciones descritas en el artícul</w:t>
      </w:r>
      <w:r w:rsidR="00A823EE">
        <w:rPr>
          <w:lang w:val="es-ES_tradnl" w:eastAsia="en-US"/>
        </w:rPr>
        <w:t>o</w:t>
      </w:r>
      <w:r w:rsidR="00A823EE" w:rsidRPr="00A823EE">
        <w:rPr>
          <w:lang w:val="es-ES_tradnl" w:eastAsia="en-US"/>
        </w:rPr>
        <w:t xml:space="preserve"> 4 de la Convención y casos concretos relativos a su aplicación</w:t>
      </w:r>
      <w:r w:rsidR="005E34BF">
        <w:rPr>
          <w:lang w:val="es-ES_tradnl" w:eastAsia="en-US"/>
        </w:rPr>
        <w:t xml:space="preserve"> </w:t>
      </w:r>
      <w:r w:rsidR="005E34BF">
        <w:t xml:space="preserve">(CERD/C/SLV/CO/16-17, </w:t>
      </w:r>
      <w:r w:rsidR="005E34BF" w:rsidRPr="00802E77">
        <w:rPr>
          <w:lang w:val="es-ES_tradnl"/>
        </w:rPr>
        <w:t xml:space="preserve">párr. </w:t>
      </w:r>
      <w:r w:rsidR="005E34BF">
        <w:rPr>
          <w:lang w:val="es-ES_tradnl"/>
        </w:rPr>
        <w:t>12)</w:t>
      </w:r>
      <w:r w:rsidR="00A823EE" w:rsidRPr="00A823EE">
        <w:rPr>
          <w:lang w:val="es-ES_tradnl" w:eastAsia="en-US"/>
        </w:rPr>
        <w:t xml:space="preserve">. </w:t>
      </w:r>
    </w:p>
    <w:p w14:paraId="26DD3B94" w14:textId="1D10E217" w:rsidR="00A823EE" w:rsidRPr="00B20725" w:rsidRDefault="00C04431" w:rsidP="00085877">
      <w:pPr>
        <w:pStyle w:val="SingleTxtG"/>
      </w:pPr>
      <w:r w:rsidRPr="00B20725">
        <w:t>4.</w:t>
      </w:r>
      <w:r w:rsidRPr="00B20725">
        <w:tab/>
      </w:r>
      <w:r w:rsidR="0045666D" w:rsidRPr="00B20725">
        <w:t>I</w:t>
      </w:r>
      <w:r w:rsidR="00D3021D" w:rsidRPr="00B20725">
        <w:t xml:space="preserve">mplementación de la </w:t>
      </w:r>
      <w:r w:rsidR="00B800E9" w:rsidRPr="00B20725">
        <w:t xml:space="preserve">Ley de los Derechos de los Pueblos Indígenas, la </w:t>
      </w:r>
      <w:r w:rsidR="00D3021D" w:rsidRPr="00B20725">
        <w:t>Política P</w:t>
      </w:r>
      <w:r w:rsidR="00A823EE" w:rsidRPr="00B20725">
        <w:t xml:space="preserve">ública </w:t>
      </w:r>
      <w:r w:rsidR="00151E79" w:rsidRPr="00B20725">
        <w:t xml:space="preserve">para los Pueblos Indígenas aprobada en 2017, </w:t>
      </w:r>
      <w:r w:rsidR="00584B66" w:rsidRPr="00B20725">
        <w:t>el</w:t>
      </w:r>
      <w:r w:rsidR="00151E79" w:rsidRPr="00B20725">
        <w:t xml:space="preserve"> Plan de Acción Nacional de Pueblos Indígenas</w:t>
      </w:r>
      <w:r w:rsidR="00D3021D" w:rsidRPr="00B20725">
        <w:t xml:space="preserve"> y las </w:t>
      </w:r>
      <w:r w:rsidR="00E05BD7" w:rsidRPr="00B20725">
        <w:t xml:space="preserve">ordenanzas municipales </w:t>
      </w:r>
      <w:r w:rsidR="00B800E9" w:rsidRPr="00B20725">
        <w:t xml:space="preserve">para comunidades </w:t>
      </w:r>
      <w:r w:rsidR="00E05BD7" w:rsidRPr="00B20725">
        <w:t>indígenas</w:t>
      </w:r>
      <w:r w:rsidR="00151E79" w:rsidRPr="00B20725">
        <w:t xml:space="preserve">.  </w:t>
      </w:r>
    </w:p>
    <w:p w14:paraId="1043733C" w14:textId="682636CA" w:rsidR="00A823EE" w:rsidRPr="00B20725" w:rsidRDefault="00C04431" w:rsidP="00085877">
      <w:pPr>
        <w:pStyle w:val="SingleTxtG"/>
      </w:pPr>
      <w:r w:rsidRPr="00B20725">
        <w:t>5.</w:t>
      </w:r>
      <w:r w:rsidRPr="00B20725">
        <w:tab/>
      </w:r>
      <w:r w:rsidR="00A823EE" w:rsidRPr="00B20725">
        <w:t>Avances en la discusión y adopción de propuestas o iniciativas legislativas para la lucha c</w:t>
      </w:r>
      <w:r w:rsidR="009C5BBE" w:rsidRPr="00B20725">
        <w:t>ontra la discriminación racial.</w:t>
      </w:r>
      <w:r w:rsidR="006A10C1" w:rsidRPr="00B20725">
        <w:t xml:space="preserve"> </w:t>
      </w:r>
      <w:r w:rsidR="00A823EE" w:rsidRPr="00B20725">
        <w:t xml:space="preserve">Medidas adoptadas para fortalecer </w:t>
      </w:r>
      <w:r w:rsidR="006A10C1" w:rsidRPr="00B20725">
        <w:t xml:space="preserve">el marco institucional a cargo de la lucha </w:t>
      </w:r>
      <w:r w:rsidR="00A823EE" w:rsidRPr="00B20725">
        <w:t xml:space="preserve">contra la discriminación racial. </w:t>
      </w:r>
    </w:p>
    <w:p w14:paraId="3CC7FD1F" w14:textId="4D9893A1" w:rsidR="00C00A48" w:rsidRPr="00B20725" w:rsidRDefault="00C04431" w:rsidP="00085877">
      <w:pPr>
        <w:pStyle w:val="SingleTxtG"/>
      </w:pPr>
      <w:r w:rsidRPr="00B20725">
        <w:t>6.</w:t>
      </w:r>
      <w:r w:rsidRPr="00B20725">
        <w:tab/>
      </w:r>
      <w:r w:rsidR="0045666D" w:rsidRPr="00B20725">
        <w:t>C</w:t>
      </w:r>
      <w:r w:rsidR="001A5271" w:rsidRPr="00B20725">
        <w:t>asos de discriminaci</w:t>
      </w:r>
      <w:r w:rsidR="001A5271" w:rsidRPr="00B20725">
        <w:rPr>
          <w:rFonts w:hint="eastAsia"/>
        </w:rPr>
        <w:t>ó</w:t>
      </w:r>
      <w:r w:rsidR="001A5271" w:rsidRPr="00B20725">
        <w:t>n racial registrados, investigados y procesados por los tribunales nacionales y los resultados de estos casos.</w:t>
      </w:r>
      <w:r w:rsidR="00C00A48" w:rsidRPr="00B20725">
        <w:t xml:space="preserve"> Información sobre las acciones concretas adoptadas para mejorar el acceso a la justicia de los pueblos indígenas y la </w:t>
      </w:r>
      <w:r w:rsidR="00C00A48" w:rsidRPr="00B20725">
        <w:lastRenderedPageBreak/>
        <w:t xml:space="preserve">población afrodescendiente. Información sobre el grado de conocimiento del Convenio entre los operadores de justicia </w:t>
      </w:r>
      <w:r w:rsidR="00C00A48">
        <w:t xml:space="preserve">(CERD/C/SLV/CO/16-17, </w:t>
      </w:r>
      <w:r w:rsidR="00B20725">
        <w:t>párr. </w:t>
      </w:r>
      <w:r w:rsidR="00C00A48" w:rsidRPr="00B20725">
        <w:t xml:space="preserve">13). </w:t>
      </w:r>
    </w:p>
    <w:p w14:paraId="173A30B5" w14:textId="3C9B8D6D" w:rsidR="00C00A48" w:rsidRPr="00EA6C4C" w:rsidRDefault="00C04431" w:rsidP="00085877">
      <w:pPr>
        <w:pStyle w:val="SingleTxtG"/>
        <w:rPr>
          <w:rFonts w:eastAsia="Times New Roman"/>
          <w:lang w:eastAsia="en-GB"/>
        </w:rPr>
      </w:pPr>
      <w:r w:rsidRPr="00EA6C4C">
        <w:rPr>
          <w:rFonts w:eastAsia="Times New Roman"/>
          <w:lang w:eastAsia="en-GB"/>
        </w:rPr>
        <w:t>7.</w:t>
      </w:r>
      <w:r w:rsidRPr="00EA6C4C">
        <w:rPr>
          <w:rFonts w:eastAsia="Times New Roman"/>
          <w:lang w:eastAsia="en-GB"/>
        </w:rPr>
        <w:tab/>
      </w:r>
      <w:r w:rsidR="0045666D" w:rsidRPr="00B20725">
        <w:t>Prevención de</w:t>
      </w:r>
      <w:r w:rsidR="00C00A48" w:rsidRPr="00B20725">
        <w:t xml:space="preserve"> la propagación de mensajes que promueven la difusión de estereotipos y prejuicios raciales, particularmente en contra de los pueblos indígenas y </w:t>
      </w:r>
      <w:r w:rsidR="00E05BD7" w:rsidRPr="00B20725">
        <w:t>la población afrodescendiente.</w:t>
      </w:r>
    </w:p>
    <w:p w14:paraId="0BA17E7F" w14:textId="10DD9C04" w:rsidR="00A823EE" w:rsidRDefault="00B20725" w:rsidP="00B20725">
      <w:pPr>
        <w:pStyle w:val="H23G"/>
        <w:rPr>
          <w:lang w:val="es-ES_tradnl" w:eastAsia="en-US"/>
        </w:rPr>
      </w:pPr>
      <w:r>
        <w:rPr>
          <w:lang w:val="es-ES_tradnl" w:eastAsia="en-US"/>
        </w:rPr>
        <w:tab/>
      </w:r>
      <w:r>
        <w:rPr>
          <w:lang w:val="es-ES_tradnl" w:eastAsia="en-US"/>
        </w:rPr>
        <w:tab/>
      </w:r>
      <w:r w:rsidR="00400640" w:rsidRPr="00400640">
        <w:rPr>
          <w:lang w:val="es-ES_tradnl" w:eastAsia="en-US"/>
        </w:rPr>
        <w:t>Situación</w:t>
      </w:r>
      <w:r w:rsidR="00A823EE" w:rsidRPr="00400640">
        <w:rPr>
          <w:lang w:val="es-ES_tradnl" w:eastAsia="en-US"/>
        </w:rPr>
        <w:t xml:space="preserve"> de los pueblos indígenas y </w:t>
      </w:r>
      <w:r w:rsidR="00584B66">
        <w:rPr>
          <w:lang w:val="es-ES_tradnl" w:eastAsia="en-US"/>
        </w:rPr>
        <w:t>la población</w:t>
      </w:r>
      <w:r w:rsidR="00A823EE" w:rsidRPr="00400640">
        <w:rPr>
          <w:lang w:val="es-ES_tradnl" w:eastAsia="en-US"/>
        </w:rPr>
        <w:t xml:space="preserve"> </w:t>
      </w:r>
      <w:r w:rsidR="00584B66">
        <w:rPr>
          <w:lang w:val="es-ES_tradnl" w:eastAsia="en-US"/>
        </w:rPr>
        <w:t>afrodescendiente</w:t>
      </w:r>
    </w:p>
    <w:p w14:paraId="54FE0634" w14:textId="33AE9CE9" w:rsidR="001A5271" w:rsidRDefault="00C04431" w:rsidP="00085877">
      <w:pPr>
        <w:pStyle w:val="SingleTxtG"/>
        <w:rPr>
          <w:lang w:val="es-ES_tradnl" w:eastAsia="en-US"/>
        </w:rPr>
      </w:pPr>
      <w:r>
        <w:rPr>
          <w:lang w:val="es-ES_tradnl" w:eastAsia="en-US"/>
        </w:rPr>
        <w:t>8.</w:t>
      </w:r>
      <w:r>
        <w:rPr>
          <w:lang w:val="es-ES_tradnl" w:eastAsia="en-US"/>
        </w:rPr>
        <w:tab/>
      </w:r>
      <w:r w:rsidR="0045666D">
        <w:rPr>
          <w:lang w:val="es-ES_tradnl"/>
        </w:rPr>
        <w:t>R</w:t>
      </w:r>
      <w:r w:rsidR="001A5271" w:rsidRPr="00C84FA9">
        <w:rPr>
          <w:lang w:val="es-ES_tradnl" w:eastAsia="en-US"/>
        </w:rPr>
        <w:t>econocimiento d</w:t>
      </w:r>
      <w:r w:rsidR="00C00A48">
        <w:rPr>
          <w:lang w:val="es-ES_tradnl" w:eastAsia="en-US"/>
        </w:rPr>
        <w:t xml:space="preserve">e la existencia de la población </w:t>
      </w:r>
      <w:r w:rsidR="001A5271">
        <w:rPr>
          <w:lang w:val="es-ES_tradnl" w:eastAsia="en-US"/>
        </w:rPr>
        <w:t>afrodescendiente</w:t>
      </w:r>
      <w:r w:rsidR="001A5271" w:rsidRPr="00C84FA9">
        <w:rPr>
          <w:lang w:val="es-ES_tradnl" w:eastAsia="en-US"/>
        </w:rPr>
        <w:t xml:space="preserve">, en particular información sobre los avances en cuanto a la propuesta presentada a la Asamblea Legislativa para reformar el inciso segundo del </w:t>
      </w:r>
      <w:r w:rsidR="00B224FB">
        <w:rPr>
          <w:lang w:val="es-ES_tradnl" w:eastAsia="en-US"/>
        </w:rPr>
        <w:t xml:space="preserve">artículo </w:t>
      </w:r>
      <w:r w:rsidR="001A5271" w:rsidRPr="00C84FA9">
        <w:rPr>
          <w:lang w:val="es-ES_tradnl" w:eastAsia="en-US"/>
        </w:rPr>
        <w:t>63 de la Constitución del Estado parte</w:t>
      </w:r>
      <w:r w:rsidR="00E05BD7">
        <w:rPr>
          <w:lang w:val="es-ES_tradnl" w:eastAsia="en-US"/>
        </w:rPr>
        <w:t xml:space="preserve"> </w:t>
      </w:r>
      <w:r w:rsidR="00E05BD7">
        <w:t xml:space="preserve">(CERD/C/SLV/CO/16-17, </w:t>
      </w:r>
      <w:r w:rsidR="00E05BD7" w:rsidRPr="00802E77">
        <w:rPr>
          <w:lang w:val="es-ES_tradnl"/>
        </w:rPr>
        <w:t xml:space="preserve">párr. </w:t>
      </w:r>
      <w:r w:rsidR="001B5BD2">
        <w:rPr>
          <w:lang w:val="es-ES_tradnl"/>
        </w:rPr>
        <w:t>21</w:t>
      </w:r>
      <w:r w:rsidR="00E05BD7">
        <w:rPr>
          <w:lang w:val="es-ES_tradnl"/>
        </w:rPr>
        <w:t>)</w:t>
      </w:r>
      <w:r w:rsidR="001A5271" w:rsidRPr="00C84FA9">
        <w:rPr>
          <w:lang w:val="es-ES_tradnl" w:eastAsia="en-US"/>
        </w:rPr>
        <w:t xml:space="preserve">. </w:t>
      </w:r>
    </w:p>
    <w:p w14:paraId="5BCD20BE" w14:textId="68B89642" w:rsidR="001A5271" w:rsidRDefault="00C04431" w:rsidP="00085877">
      <w:pPr>
        <w:pStyle w:val="SingleTxtG"/>
        <w:rPr>
          <w:lang w:val="es-ES_tradnl" w:eastAsia="en-US"/>
        </w:rPr>
      </w:pPr>
      <w:r>
        <w:rPr>
          <w:lang w:val="es-ES_tradnl" w:eastAsia="en-US"/>
        </w:rPr>
        <w:t>9.</w:t>
      </w:r>
      <w:r>
        <w:rPr>
          <w:lang w:val="es-ES_tradnl" w:eastAsia="en-US"/>
        </w:rPr>
        <w:tab/>
      </w:r>
      <w:r w:rsidR="001A5271">
        <w:rPr>
          <w:lang w:val="es-ES_tradnl" w:eastAsia="en-US"/>
        </w:rPr>
        <w:t xml:space="preserve">Medidas tomadas para eliminar la discriminación estructural que afecta </w:t>
      </w:r>
      <w:r w:rsidR="00B224FB">
        <w:rPr>
          <w:lang w:val="es-ES_tradnl" w:eastAsia="en-US"/>
        </w:rPr>
        <w:t xml:space="preserve">a </w:t>
      </w:r>
      <w:r w:rsidR="001A5271">
        <w:rPr>
          <w:lang w:val="es-ES_tradnl" w:eastAsia="en-US"/>
        </w:rPr>
        <w:t>los pueblos indígenas y</w:t>
      </w:r>
      <w:r w:rsidR="00C77BC2">
        <w:rPr>
          <w:lang w:val="es-ES_tradnl" w:eastAsia="en-US"/>
        </w:rPr>
        <w:t xml:space="preserve"> la</w:t>
      </w:r>
      <w:r w:rsidR="001A5271">
        <w:rPr>
          <w:lang w:val="es-ES_tradnl" w:eastAsia="en-US"/>
        </w:rPr>
        <w:t xml:space="preserve"> </w:t>
      </w:r>
      <w:r w:rsidR="00C77BC2">
        <w:rPr>
          <w:lang w:val="es-ES_tradnl" w:eastAsia="en-US"/>
        </w:rPr>
        <w:t xml:space="preserve">población </w:t>
      </w:r>
      <w:r w:rsidR="001A5271">
        <w:rPr>
          <w:lang w:val="es-ES_tradnl" w:eastAsia="en-US"/>
        </w:rPr>
        <w:t xml:space="preserve">afrodescendiente, incluso medidas especiales para los niños </w:t>
      </w:r>
      <w:r w:rsidR="001A5271" w:rsidRPr="00B20725">
        <w:t>indígenas</w:t>
      </w:r>
      <w:r w:rsidR="001A5271">
        <w:rPr>
          <w:lang w:val="es-ES_tradnl" w:eastAsia="en-US"/>
        </w:rPr>
        <w:t xml:space="preserve"> y afrodescendiente</w:t>
      </w:r>
      <w:r w:rsidR="00B224FB">
        <w:rPr>
          <w:lang w:val="es-ES_tradnl" w:eastAsia="en-US"/>
        </w:rPr>
        <w:t>s</w:t>
      </w:r>
      <w:r w:rsidR="001A5271">
        <w:rPr>
          <w:lang w:val="es-ES_tradnl" w:eastAsia="en-US"/>
        </w:rPr>
        <w:t>.</w:t>
      </w:r>
    </w:p>
    <w:p w14:paraId="76A72C13" w14:textId="02334015" w:rsidR="001A5271" w:rsidRDefault="00C04431" w:rsidP="00085877">
      <w:pPr>
        <w:pStyle w:val="SingleTxtG"/>
        <w:rPr>
          <w:lang w:val="es-ES_tradnl" w:eastAsia="en-US"/>
        </w:rPr>
      </w:pPr>
      <w:r>
        <w:rPr>
          <w:lang w:val="es-ES_tradnl" w:eastAsia="en-US"/>
        </w:rPr>
        <w:t>10.</w:t>
      </w:r>
      <w:r>
        <w:rPr>
          <w:lang w:val="es-ES_tradnl" w:eastAsia="en-US"/>
        </w:rPr>
        <w:tab/>
      </w:r>
      <w:r w:rsidR="001A5271">
        <w:rPr>
          <w:lang w:val="es-ES_tradnl" w:eastAsia="en-US"/>
        </w:rPr>
        <w:t xml:space="preserve">Tasa de pobreza de los pueblos indígenas y la población </w:t>
      </w:r>
      <w:r w:rsidR="00E05BD7">
        <w:rPr>
          <w:lang w:val="es-ES_tradnl" w:eastAsia="en-US"/>
        </w:rPr>
        <w:t>afrodescendiente</w:t>
      </w:r>
      <w:r w:rsidR="001A5271">
        <w:rPr>
          <w:lang w:val="es-ES_tradnl" w:eastAsia="en-US"/>
        </w:rPr>
        <w:t xml:space="preserve">, </w:t>
      </w:r>
      <w:r w:rsidR="001A5271" w:rsidRPr="00B20725">
        <w:t>des</w:t>
      </w:r>
      <w:r w:rsidR="00B224FB">
        <w:t xml:space="preserve">glosada </w:t>
      </w:r>
      <w:r w:rsidR="001A5271">
        <w:rPr>
          <w:lang w:val="es-ES_tradnl" w:eastAsia="en-US"/>
        </w:rPr>
        <w:t xml:space="preserve">por género y edad. Información sobre la participación de los pueblos indígenas y la población afrodescendiente en la elaboración del sistema de Medición </w:t>
      </w:r>
      <w:r w:rsidR="00765C4A">
        <w:rPr>
          <w:lang w:val="es-ES_tradnl" w:eastAsia="en-US"/>
        </w:rPr>
        <w:t xml:space="preserve">Multidimensional </w:t>
      </w:r>
      <w:r w:rsidR="001A5271">
        <w:rPr>
          <w:lang w:val="es-ES_tradnl" w:eastAsia="en-US"/>
        </w:rPr>
        <w:t xml:space="preserve">de la Pobreza </w:t>
      </w:r>
      <w:r w:rsidR="001B5BD2">
        <w:t xml:space="preserve">(CERD/C/SLV/CO/16-17, </w:t>
      </w:r>
      <w:r w:rsidR="001B5BD2" w:rsidRPr="00802E77">
        <w:rPr>
          <w:lang w:val="es-ES_tradnl"/>
        </w:rPr>
        <w:t>párr.</w:t>
      </w:r>
      <w:r w:rsidR="00B4549D">
        <w:rPr>
          <w:lang w:val="es-ES_tradnl"/>
        </w:rPr>
        <w:t> </w:t>
      </w:r>
      <w:r w:rsidR="001B5BD2">
        <w:rPr>
          <w:lang w:val="es-ES_tradnl"/>
        </w:rPr>
        <w:t>8)</w:t>
      </w:r>
      <w:r w:rsidR="001A5271">
        <w:rPr>
          <w:lang w:val="es-ES_tradnl" w:eastAsia="en-US"/>
        </w:rPr>
        <w:t xml:space="preserve">. </w:t>
      </w:r>
    </w:p>
    <w:p w14:paraId="0ABAA4A4" w14:textId="5C378862" w:rsidR="00A9337E" w:rsidRDefault="00C04431" w:rsidP="00085877">
      <w:pPr>
        <w:pStyle w:val="SingleTxtG"/>
        <w:rPr>
          <w:lang w:val="es-ES_tradnl"/>
        </w:rPr>
      </w:pPr>
      <w:r>
        <w:rPr>
          <w:lang w:val="es-ES_tradnl"/>
        </w:rPr>
        <w:t>11.</w:t>
      </w:r>
      <w:r>
        <w:rPr>
          <w:lang w:val="es-ES_tradnl"/>
        </w:rPr>
        <w:tab/>
      </w:r>
      <w:r w:rsidR="001A5271">
        <w:rPr>
          <w:lang w:val="es-ES_tradnl"/>
        </w:rPr>
        <w:t>E</w:t>
      </w:r>
      <w:r w:rsidR="002A3965">
        <w:rPr>
          <w:lang w:val="es-ES_tradnl"/>
        </w:rPr>
        <w:t xml:space="preserve">l derecho </w:t>
      </w:r>
      <w:r w:rsidR="00584B66">
        <w:rPr>
          <w:lang w:val="es-ES_tradnl"/>
        </w:rPr>
        <w:t xml:space="preserve">a la tierra </w:t>
      </w:r>
      <w:r w:rsidR="002A3965">
        <w:rPr>
          <w:lang w:val="es-ES_tradnl"/>
        </w:rPr>
        <w:t xml:space="preserve">de </w:t>
      </w:r>
      <w:r w:rsidR="00D73A29">
        <w:rPr>
          <w:lang w:val="es-ES_tradnl"/>
        </w:rPr>
        <w:t xml:space="preserve">los pueblos indígenas y </w:t>
      </w:r>
      <w:r w:rsidR="00C77BC2">
        <w:rPr>
          <w:lang w:val="es-ES_tradnl"/>
        </w:rPr>
        <w:t xml:space="preserve">de la población </w:t>
      </w:r>
      <w:r w:rsidR="00D73A29">
        <w:rPr>
          <w:lang w:val="es-ES_tradnl"/>
        </w:rPr>
        <w:t xml:space="preserve">afrodescendiente, </w:t>
      </w:r>
      <w:r w:rsidR="00FC691E">
        <w:rPr>
          <w:lang w:val="es-ES_tradnl"/>
        </w:rPr>
        <w:t xml:space="preserve">y </w:t>
      </w:r>
      <w:r w:rsidR="00A9337E">
        <w:rPr>
          <w:lang w:val="es-ES_tradnl"/>
        </w:rPr>
        <w:t xml:space="preserve">los avances </w:t>
      </w:r>
      <w:r w:rsidR="00D73A29">
        <w:rPr>
          <w:lang w:val="es-ES_tradnl"/>
        </w:rPr>
        <w:t>sobre</w:t>
      </w:r>
      <w:r w:rsidR="00FC691E">
        <w:rPr>
          <w:lang w:val="es-ES_tradnl"/>
        </w:rPr>
        <w:t xml:space="preserve"> </w:t>
      </w:r>
      <w:r w:rsidR="00A9337E">
        <w:rPr>
          <w:lang w:val="es-ES_tradnl"/>
        </w:rPr>
        <w:t xml:space="preserve">la titulación de tierras </w:t>
      </w:r>
      <w:r w:rsidR="00F13F56">
        <w:rPr>
          <w:lang w:val="es-ES_tradnl"/>
        </w:rPr>
        <w:t>y otorgación de títulos colectiv</w:t>
      </w:r>
      <w:r w:rsidR="00E05BD7">
        <w:rPr>
          <w:lang w:val="es-ES_tradnl"/>
        </w:rPr>
        <w:t>o</w:t>
      </w:r>
      <w:r w:rsidR="00F13F56">
        <w:rPr>
          <w:lang w:val="es-ES_tradnl"/>
        </w:rPr>
        <w:t>s de propiedad sobre tierras</w:t>
      </w:r>
      <w:r w:rsidR="00584B66">
        <w:rPr>
          <w:lang w:val="es-ES_tradnl"/>
        </w:rPr>
        <w:t xml:space="preserve"> y territorios</w:t>
      </w:r>
      <w:r w:rsidR="00F13F56">
        <w:rPr>
          <w:lang w:val="es-ES_tradnl"/>
        </w:rPr>
        <w:t xml:space="preserve"> </w:t>
      </w:r>
      <w:r w:rsidR="00A6651B">
        <w:rPr>
          <w:lang w:val="es-ES_tradnl"/>
        </w:rPr>
        <w:t>ancestrales,</w:t>
      </w:r>
      <w:r w:rsidR="00584B66">
        <w:rPr>
          <w:lang w:val="es-ES_tradnl"/>
        </w:rPr>
        <w:t xml:space="preserve"> </w:t>
      </w:r>
      <w:r w:rsidR="00F13F56">
        <w:rPr>
          <w:lang w:val="es-ES_tradnl"/>
        </w:rPr>
        <w:t xml:space="preserve">así como </w:t>
      </w:r>
      <w:r w:rsidR="00A9337E">
        <w:rPr>
          <w:lang w:val="es-ES_tradnl"/>
        </w:rPr>
        <w:t xml:space="preserve">medidas tomadas para garantizar la participación de las </w:t>
      </w:r>
      <w:r w:rsidR="00A9337E" w:rsidRPr="00B20725">
        <w:t>comunidades</w:t>
      </w:r>
      <w:r w:rsidR="00A9337E">
        <w:rPr>
          <w:lang w:val="es-ES_tradnl"/>
        </w:rPr>
        <w:t xml:space="preserve"> indígenas y afrodescendientes en este proceso. </w:t>
      </w:r>
      <w:r w:rsidR="00FC691E">
        <w:rPr>
          <w:lang w:val="es-ES_tradnl"/>
        </w:rPr>
        <w:t xml:space="preserve">Información sobre </w:t>
      </w:r>
      <w:r w:rsidR="00267F89">
        <w:rPr>
          <w:lang w:val="es-ES_tradnl"/>
        </w:rPr>
        <w:t>los resultados</w:t>
      </w:r>
      <w:r w:rsidR="00FC691E">
        <w:rPr>
          <w:lang w:val="es-ES_tradnl"/>
        </w:rPr>
        <w:t xml:space="preserve"> </w:t>
      </w:r>
      <w:r w:rsidR="00D72C25">
        <w:rPr>
          <w:lang w:val="es-ES_tradnl"/>
        </w:rPr>
        <w:t xml:space="preserve">de </w:t>
      </w:r>
      <w:r w:rsidR="00FC691E">
        <w:rPr>
          <w:lang w:val="es-ES_tradnl"/>
        </w:rPr>
        <w:t xml:space="preserve">la Política Pública para los Pueblos Indígenas, el Plan de Acción Nacional de Pueblos Indígenas y las </w:t>
      </w:r>
      <w:r w:rsidR="00E05BD7">
        <w:rPr>
          <w:lang w:val="es-ES_tradnl"/>
        </w:rPr>
        <w:t>o</w:t>
      </w:r>
      <w:r w:rsidR="00FC691E">
        <w:rPr>
          <w:lang w:val="es-ES_tradnl"/>
        </w:rPr>
        <w:t>rdenanzas municipales</w:t>
      </w:r>
      <w:r w:rsidR="00A6651B">
        <w:rPr>
          <w:lang w:val="es-ES_tradnl"/>
        </w:rPr>
        <w:t xml:space="preserve"> </w:t>
      </w:r>
      <w:r w:rsidR="00D72C25">
        <w:rPr>
          <w:lang w:val="es-ES_tradnl"/>
        </w:rPr>
        <w:t>y otras leyes</w:t>
      </w:r>
      <w:r w:rsidR="00A6651B">
        <w:rPr>
          <w:lang w:val="es-ES_tradnl"/>
        </w:rPr>
        <w:t xml:space="preserve"> </w:t>
      </w:r>
      <w:r w:rsidR="00FC691E">
        <w:rPr>
          <w:lang w:val="es-ES_tradnl"/>
        </w:rPr>
        <w:t>en materia de titulación de las tierras y territorios indígenas</w:t>
      </w:r>
      <w:r w:rsidR="00D72C25">
        <w:rPr>
          <w:lang w:val="es-ES_tradnl"/>
        </w:rPr>
        <w:t xml:space="preserve"> </w:t>
      </w:r>
      <w:r w:rsidR="00FC691E">
        <w:t xml:space="preserve">(CERD/C/SLV/CO/16-17, </w:t>
      </w:r>
      <w:r w:rsidR="00FC691E" w:rsidRPr="00802E77">
        <w:rPr>
          <w:lang w:val="es-ES_tradnl"/>
        </w:rPr>
        <w:t xml:space="preserve">párr. </w:t>
      </w:r>
      <w:r w:rsidR="00FC691E">
        <w:rPr>
          <w:lang w:val="es-ES_tradnl"/>
        </w:rPr>
        <w:t xml:space="preserve">17). </w:t>
      </w:r>
    </w:p>
    <w:p w14:paraId="7799B81B" w14:textId="1B3B0A56" w:rsidR="005E4AC3" w:rsidRDefault="00C04431" w:rsidP="00085877">
      <w:pPr>
        <w:pStyle w:val="SingleTxtG"/>
        <w:rPr>
          <w:lang w:val="es-ES_tradnl" w:eastAsia="en-US"/>
        </w:rPr>
      </w:pPr>
      <w:r>
        <w:rPr>
          <w:lang w:val="es-ES_tradnl" w:eastAsia="en-US"/>
        </w:rPr>
        <w:t>12.</w:t>
      </w:r>
      <w:r>
        <w:rPr>
          <w:lang w:val="es-ES_tradnl" w:eastAsia="en-US"/>
        </w:rPr>
        <w:tab/>
      </w:r>
      <w:r w:rsidR="00267F89">
        <w:rPr>
          <w:lang w:val="es-ES_tradnl" w:eastAsia="en-US"/>
        </w:rPr>
        <w:t>I</w:t>
      </w:r>
      <w:r w:rsidR="00475933">
        <w:rPr>
          <w:lang w:val="es-ES_tradnl" w:eastAsia="en-US"/>
        </w:rPr>
        <w:t>mple</w:t>
      </w:r>
      <w:r w:rsidR="00267F89">
        <w:rPr>
          <w:lang w:val="es-ES_tradnl" w:eastAsia="en-US"/>
        </w:rPr>
        <w:t>mentación de la Ley de Cultura e información</w:t>
      </w:r>
      <w:r w:rsidR="00CE582B">
        <w:rPr>
          <w:lang w:val="es-ES_tradnl" w:eastAsia="en-US"/>
        </w:rPr>
        <w:t xml:space="preserve"> sobre </w:t>
      </w:r>
      <w:r w:rsidR="00475933">
        <w:rPr>
          <w:lang w:val="es-ES_tradnl" w:eastAsia="en-US"/>
        </w:rPr>
        <w:t xml:space="preserve">los programas de </w:t>
      </w:r>
      <w:r w:rsidR="00475933" w:rsidRPr="00B20725">
        <w:t>sensibilización</w:t>
      </w:r>
      <w:r w:rsidR="00475933">
        <w:rPr>
          <w:lang w:val="es-ES_tradnl" w:eastAsia="en-US"/>
        </w:rPr>
        <w:t xml:space="preserve"> sobre los derechos de los pueblos indígenas.</w:t>
      </w:r>
      <w:r w:rsidR="007A398D">
        <w:rPr>
          <w:lang w:val="es-ES_tradnl" w:eastAsia="en-US"/>
        </w:rPr>
        <w:t xml:space="preserve"> Información</w:t>
      </w:r>
      <w:r w:rsidR="00A6712F">
        <w:rPr>
          <w:lang w:val="es-ES_tradnl" w:eastAsia="en-US"/>
        </w:rPr>
        <w:t>,</w:t>
      </w:r>
      <w:r w:rsidR="007A398D">
        <w:rPr>
          <w:lang w:val="es-ES_tradnl" w:eastAsia="en-US"/>
        </w:rPr>
        <w:t xml:space="preserve"> </w:t>
      </w:r>
      <w:r w:rsidR="00A6712F">
        <w:rPr>
          <w:lang w:val="es-ES_tradnl" w:eastAsia="en-US"/>
        </w:rPr>
        <w:t xml:space="preserve">incluyendo datos cuantitativos y cualitativos, </w:t>
      </w:r>
      <w:r w:rsidR="007A398D">
        <w:rPr>
          <w:lang w:val="es-ES_tradnl" w:eastAsia="en-US"/>
        </w:rPr>
        <w:t xml:space="preserve">sobre </w:t>
      </w:r>
      <w:r w:rsidR="00CE582B">
        <w:rPr>
          <w:lang w:val="es-ES_tradnl" w:eastAsia="en-US"/>
        </w:rPr>
        <w:t>la</w:t>
      </w:r>
      <w:r w:rsidR="00B77484">
        <w:rPr>
          <w:lang w:val="es-ES_tradnl" w:eastAsia="en-US"/>
        </w:rPr>
        <w:t xml:space="preserve"> revitalización </w:t>
      </w:r>
      <w:r w:rsidR="00CE582B">
        <w:rPr>
          <w:lang w:val="es-ES_tradnl" w:eastAsia="en-US"/>
        </w:rPr>
        <w:t>efectiva</w:t>
      </w:r>
      <w:r w:rsidR="00A6712F">
        <w:rPr>
          <w:lang w:val="es-ES_tradnl" w:eastAsia="en-US"/>
        </w:rPr>
        <w:t xml:space="preserve"> </w:t>
      </w:r>
      <w:r w:rsidR="00CE582B">
        <w:rPr>
          <w:lang w:val="es-ES_tradnl" w:eastAsia="en-US"/>
        </w:rPr>
        <w:t>de las culturas e identidad</w:t>
      </w:r>
      <w:r w:rsidR="00985312">
        <w:rPr>
          <w:lang w:val="es-ES_tradnl" w:eastAsia="en-US"/>
        </w:rPr>
        <w:t>es</w:t>
      </w:r>
      <w:r w:rsidR="00CE582B">
        <w:rPr>
          <w:lang w:val="es-ES_tradnl" w:eastAsia="en-US"/>
        </w:rPr>
        <w:t xml:space="preserve"> </w:t>
      </w:r>
      <w:r w:rsidR="00A6651B">
        <w:rPr>
          <w:lang w:val="es-ES_tradnl" w:eastAsia="en-US"/>
        </w:rPr>
        <w:t>indígenas,</w:t>
      </w:r>
      <w:r w:rsidR="00CE582B">
        <w:rPr>
          <w:lang w:val="es-ES_tradnl" w:eastAsia="en-US"/>
        </w:rPr>
        <w:t xml:space="preserve"> así como</w:t>
      </w:r>
      <w:r w:rsidR="00B77484">
        <w:rPr>
          <w:lang w:val="es-ES_tradnl" w:eastAsia="en-US"/>
        </w:rPr>
        <w:t xml:space="preserve"> </w:t>
      </w:r>
      <w:r w:rsidR="00985312">
        <w:rPr>
          <w:lang w:val="es-ES_tradnl" w:eastAsia="en-US"/>
        </w:rPr>
        <w:t xml:space="preserve">de </w:t>
      </w:r>
      <w:r w:rsidR="00B77484">
        <w:rPr>
          <w:lang w:val="es-ES_tradnl" w:eastAsia="en-US"/>
        </w:rPr>
        <w:t xml:space="preserve">las lenguas indígenas, en particular </w:t>
      </w:r>
      <w:r w:rsidR="00021780">
        <w:rPr>
          <w:lang w:val="es-ES_tradnl" w:eastAsia="en-US"/>
        </w:rPr>
        <w:t xml:space="preserve">el </w:t>
      </w:r>
      <w:r w:rsidR="00B77484">
        <w:rPr>
          <w:lang w:val="es-ES_tradnl" w:eastAsia="en-US"/>
        </w:rPr>
        <w:t xml:space="preserve">idioma </w:t>
      </w:r>
      <w:r w:rsidR="00B224FB">
        <w:rPr>
          <w:lang w:val="es-ES_tradnl" w:eastAsia="en-US"/>
        </w:rPr>
        <w:t>n</w:t>
      </w:r>
      <w:r w:rsidR="003964C8">
        <w:rPr>
          <w:lang w:val="es-ES_tradnl" w:eastAsia="en-US"/>
        </w:rPr>
        <w:t>áhuatl</w:t>
      </w:r>
      <w:r w:rsidR="00A6651B">
        <w:rPr>
          <w:lang w:val="es-ES_tradnl" w:eastAsia="en-US"/>
        </w:rPr>
        <w:t xml:space="preserve"> </w:t>
      </w:r>
      <w:r w:rsidR="007A398D">
        <w:t xml:space="preserve">(CERD/C/SLV/CO/16-17, </w:t>
      </w:r>
      <w:r w:rsidR="007A398D" w:rsidRPr="00802E77">
        <w:rPr>
          <w:lang w:val="es-ES_tradnl"/>
        </w:rPr>
        <w:t xml:space="preserve">párr. </w:t>
      </w:r>
      <w:r w:rsidR="007A398D">
        <w:rPr>
          <w:lang w:val="es-ES_tradnl"/>
        </w:rPr>
        <w:t>19)</w:t>
      </w:r>
      <w:r w:rsidR="007A398D">
        <w:rPr>
          <w:lang w:val="es-ES_tradnl" w:eastAsia="en-US"/>
        </w:rPr>
        <w:t xml:space="preserve">. </w:t>
      </w:r>
      <w:r w:rsidR="00537C4F">
        <w:rPr>
          <w:lang w:val="es-ES_tradnl" w:eastAsia="en-US"/>
        </w:rPr>
        <w:t xml:space="preserve"> </w:t>
      </w:r>
    </w:p>
    <w:p w14:paraId="6FC1551D" w14:textId="5711B6D3" w:rsidR="00746144" w:rsidRPr="00B20725" w:rsidRDefault="00C04431" w:rsidP="00085877">
      <w:pPr>
        <w:pStyle w:val="SingleTxtG"/>
      </w:pPr>
      <w:r w:rsidRPr="00B20725">
        <w:t>13.</w:t>
      </w:r>
      <w:r w:rsidRPr="00B20725">
        <w:tab/>
      </w:r>
      <w:r w:rsidR="00267F89" w:rsidRPr="00B20725">
        <w:t>Implementación e</w:t>
      </w:r>
      <w:r w:rsidR="00281CBD" w:rsidRPr="00B20725">
        <w:t xml:space="preserve"> impacto sobre los pueblos indígenas y la población afrodescendiente</w:t>
      </w:r>
      <w:r w:rsidR="00985312" w:rsidRPr="00B20725">
        <w:t xml:space="preserve"> del Plan Quinquenal de Desarrollo 2014-2019, la Ley de Desarrollo y Protección Social</w:t>
      </w:r>
      <w:r w:rsidR="008E562A" w:rsidRPr="00B20725">
        <w:t xml:space="preserve">, </w:t>
      </w:r>
      <w:r w:rsidR="00985312" w:rsidRPr="00B20725">
        <w:t xml:space="preserve">la Estrategia de Erradicación de la Pobreza, </w:t>
      </w:r>
      <w:r w:rsidR="008E562A" w:rsidRPr="00B20725">
        <w:t>los programas sociales en los municipios de mayor pobreza, la Política Nacional de Salud 2015-2019</w:t>
      </w:r>
      <w:r w:rsidR="00A6712F" w:rsidRPr="00B20725">
        <w:t xml:space="preserve"> </w:t>
      </w:r>
      <w:r w:rsidR="008E562A" w:rsidRPr="00B20725">
        <w:t xml:space="preserve">y el Fondo Social para la Vivienda. </w:t>
      </w:r>
      <w:r w:rsidR="00811C56" w:rsidRPr="00B20725">
        <w:t xml:space="preserve">Información sobre la participación de los pueblos indígenas </w:t>
      </w:r>
      <w:r w:rsidR="00267F89" w:rsidRPr="00B20725">
        <w:t>y la población afrodescendiente</w:t>
      </w:r>
      <w:r w:rsidR="00811C56" w:rsidRPr="00B20725">
        <w:t xml:space="preserve"> en la elaboración de estas leyes y políticas</w:t>
      </w:r>
      <w:r w:rsidR="00537C4F" w:rsidRPr="00B20725">
        <w:t>, incluso en la formulación de programas interculturales de educación y de salud</w:t>
      </w:r>
      <w:r w:rsidR="00E05BD7" w:rsidRPr="00B20725">
        <w:t xml:space="preserve"> </w:t>
      </w:r>
      <w:r w:rsidR="00E05BD7">
        <w:t xml:space="preserve">(CERD/C/SLV/CO/16-17, </w:t>
      </w:r>
      <w:r w:rsidR="00E05BD7" w:rsidRPr="00B20725">
        <w:t>párr. 20)</w:t>
      </w:r>
      <w:r w:rsidR="00537C4F" w:rsidRPr="00B20725">
        <w:t xml:space="preserve">. </w:t>
      </w:r>
    </w:p>
    <w:p w14:paraId="0B0EE291" w14:textId="1CB0CF7E" w:rsidR="00027A89" w:rsidRPr="00B20725" w:rsidRDefault="00C04431" w:rsidP="00085877">
      <w:pPr>
        <w:pStyle w:val="SingleTxtG"/>
      </w:pPr>
      <w:r w:rsidRPr="00B20725">
        <w:t>14.</w:t>
      </w:r>
      <w:r w:rsidRPr="00B20725">
        <w:tab/>
      </w:r>
      <w:r w:rsidR="0045666D" w:rsidRPr="00B20725">
        <w:t>L</w:t>
      </w:r>
      <w:r w:rsidR="00537C4F" w:rsidRPr="00B20725">
        <w:t>os derechos a la</w:t>
      </w:r>
      <w:r w:rsidR="00027A89" w:rsidRPr="00B20725">
        <w:t xml:space="preserve"> participación </w:t>
      </w:r>
      <w:r w:rsidR="00537C4F" w:rsidRPr="00B20725">
        <w:t xml:space="preserve">y </w:t>
      </w:r>
      <w:r w:rsidR="00A6712F" w:rsidRPr="00B20725">
        <w:t>a la consulta</w:t>
      </w:r>
      <w:r w:rsidR="00811C56" w:rsidRPr="00B20725">
        <w:t xml:space="preserve"> </w:t>
      </w:r>
      <w:r w:rsidR="00027A89" w:rsidRPr="00B20725">
        <w:t xml:space="preserve">de manera </w:t>
      </w:r>
      <w:r w:rsidR="00B224FB">
        <w:t>de</w:t>
      </w:r>
      <w:r w:rsidR="00811C56" w:rsidRPr="00B20725">
        <w:t xml:space="preserve"> </w:t>
      </w:r>
      <w:r w:rsidR="0028391D" w:rsidRPr="00B20725">
        <w:t xml:space="preserve">obtener y respetar </w:t>
      </w:r>
      <w:r w:rsidR="00027A89" w:rsidRPr="00B20725">
        <w:t>el consentimiento</w:t>
      </w:r>
      <w:r w:rsidR="00537C4F" w:rsidRPr="00B20725">
        <w:t xml:space="preserve"> libre, previo e informado</w:t>
      </w:r>
      <w:r w:rsidR="00027A89" w:rsidRPr="00B20725">
        <w:t xml:space="preserve"> de los pueblos y comunidades indígen</w:t>
      </w:r>
      <w:r w:rsidR="00267F89" w:rsidRPr="00B20725">
        <w:t>as</w:t>
      </w:r>
      <w:r w:rsidR="00027A89" w:rsidRPr="00B20725">
        <w:t xml:space="preserve"> </w:t>
      </w:r>
      <w:r w:rsidR="00027A89">
        <w:t xml:space="preserve">(CERD/C/SLV/CO/16-17, </w:t>
      </w:r>
      <w:r w:rsidR="00B20725">
        <w:t>párr. </w:t>
      </w:r>
      <w:r w:rsidR="00027A89" w:rsidRPr="00B20725">
        <w:t xml:space="preserve">18). </w:t>
      </w:r>
      <w:r w:rsidR="00DF7D52" w:rsidRPr="00B20725">
        <w:t xml:space="preserve">Información sobre </w:t>
      </w:r>
      <w:r w:rsidR="00C00A48" w:rsidRPr="00B20725">
        <w:t>la</w:t>
      </w:r>
      <w:r w:rsidR="00DF7D52" w:rsidRPr="00B20725">
        <w:t xml:space="preserve"> Mesa Multisectorial de Pueblos Indígenas</w:t>
      </w:r>
      <w:r w:rsidR="0028391D" w:rsidRPr="00B20725">
        <w:t>.</w:t>
      </w:r>
    </w:p>
    <w:p w14:paraId="55167A24" w14:textId="350D5864" w:rsidR="00A823EE" w:rsidRPr="005E34BF" w:rsidRDefault="00B20725" w:rsidP="00B20725">
      <w:pPr>
        <w:pStyle w:val="H23G"/>
        <w:rPr>
          <w:lang w:val="es-ES_tradnl" w:eastAsia="en-US"/>
        </w:rPr>
      </w:pPr>
      <w:r>
        <w:rPr>
          <w:lang w:val="es-ES_tradnl" w:eastAsia="en-US"/>
        </w:rPr>
        <w:tab/>
      </w:r>
      <w:r>
        <w:rPr>
          <w:lang w:val="es-ES_tradnl" w:eastAsia="en-US"/>
        </w:rPr>
        <w:tab/>
      </w:r>
      <w:r w:rsidR="00A823EE" w:rsidRPr="005E34BF">
        <w:rPr>
          <w:lang w:val="es-ES_tradnl" w:eastAsia="en-US"/>
        </w:rPr>
        <w:t>Situación de defensores de derechos humanos</w:t>
      </w:r>
    </w:p>
    <w:p w14:paraId="11B3E4F2" w14:textId="22839654" w:rsidR="00A823EE" w:rsidRDefault="00C04431" w:rsidP="00085877">
      <w:pPr>
        <w:pStyle w:val="SingleTxtG"/>
        <w:rPr>
          <w:lang w:val="es-ES_tradnl" w:eastAsia="en-US"/>
        </w:rPr>
      </w:pPr>
      <w:r>
        <w:rPr>
          <w:lang w:val="es-ES_tradnl" w:eastAsia="en-US"/>
        </w:rPr>
        <w:t>15.</w:t>
      </w:r>
      <w:r>
        <w:rPr>
          <w:lang w:val="es-ES_tradnl" w:eastAsia="en-US"/>
        </w:rPr>
        <w:tab/>
      </w:r>
      <w:r w:rsidR="00267F89" w:rsidRPr="00B20725">
        <w:t>M</w:t>
      </w:r>
      <w:r w:rsidR="000F7786" w:rsidRPr="00B20725">
        <w:t xml:space="preserve">edidas de protección otorgadas a defensores de derechos humanos </w:t>
      </w:r>
      <w:r w:rsidR="00534940" w:rsidRPr="00B20725">
        <w:t xml:space="preserve">indígenas y afrodescendientes </w:t>
      </w:r>
      <w:r w:rsidR="000F7786" w:rsidRPr="00B20725">
        <w:t>que se encuentran en situación de riesgo por la defensa de sus derechos</w:t>
      </w:r>
      <w:r w:rsidR="004D3730" w:rsidRPr="00B20725">
        <w:t xml:space="preserve">, </w:t>
      </w:r>
      <w:r w:rsidR="00B224FB">
        <w:t xml:space="preserve">en especial </w:t>
      </w:r>
      <w:r w:rsidR="004D3730" w:rsidRPr="00B20725">
        <w:t xml:space="preserve">en </w:t>
      </w:r>
      <w:r w:rsidR="00267F89" w:rsidRPr="00B20725">
        <w:t>relación con</w:t>
      </w:r>
      <w:r w:rsidR="004D3730" w:rsidRPr="00B20725">
        <w:t xml:space="preserve"> proyecto</w:t>
      </w:r>
      <w:r w:rsidR="00267F89" w:rsidRPr="00B20725">
        <w:t>s</w:t>
      </w:r>
      <w:r w:rsidR="004D3730" w:rsidRPr="00B20725">
        <w:t xml:space="preserve"> de desarrollo de gran escala</w:t>
      </w:r>
      <w:r w:rsidR="000F7786" w:rsidRPr="00B20725">
        <w:t xml:space="preserve">. </w:t>
      </w:r>
      <w:r w:rsidR="00267F89" w:rsidRPr="00B20725">
        <w:t>I</w:t>
      </w:r>
      <w:r w:rsidR="0028391D" w:rsidRPr="00B20725">
        <w:t xml:space="preserve">mplementación de las decisiones del sistema interamericano de derechos humanos, en los casos de las masacres de </w:t>
      </w:r>
      <w:r w:rsidR="00B224FB">
        <w:t>L</w:t>
      </w:r>
      <w:r w:rsidR="0028391D" w:rsidRPr="00B20725">
        <w:t>as Hojas y El Mozote</w:t>
      </w:r>
      <w:r w:rsidR="00267F89" w:rsidRPr="00B20725">
        <w:t>. Información sobre la</w:t>
      </w:r>
      <w:r w:rsidR="0028391D" w:rsidRPr="00B20725">
        <w:t xml:space="preserve"> reparación </w:t>
      </w:r>
      <w:r w:rsidR="00B224FB">
        <w:t xml:space="preserve">e </w:t>
      </w:r>
      <w:r w:rsidR="0028391D" w:rsidRPr="00B20725">
        <w:t>indemnización material para las víctim</w:t>
      </w:r>
      <w:r w:rsidR="00267F89" w:rsidRPr="00B20725">
        <w:t xml:space="preserve">as </w:t>
      </w:r>
      <w:r w:rsidR="0028391D">
        <w:t xml:space="preserve">(CERD/C/SLV/CO/16-17, </w:t>
      </w:r>
      <w:r w:rsidR="0028391D" w:rsidRPr="00B20725">
        <w:t>párr. 14).</w:t>
      </w:r>
    </w:p>
    <w:p w14:paraId="70048657" w14:textId="2C62BCAB" w:rsidR="0045666D" w:rsidRPr="0045666D" w:rsidRDefault="00B20725" w:rsidP="00B20725">
      <w:pPr>
        <w:pStyle w:val="H23G"/>
        <w:rPr>
          <w:lang w:val="es-ES_tradnl" w:eastAsia="en-US"/>
        </w:rPr>
      </w:pPr>
      <w:r>
        <w:rPr>
          <w:lang w:val="es-ES_tradnl" w:eastAsia="en-US"/>
        </w:rPr>
        <w:tab/>
      </w:r>
      <w:r>
        <w:rPr>
          <w:lang w:val="es-ES_tradnl" w:eastAsia="en-US"/>
        </w:rPr>
        <w:tab/>
      </w:r>
      <w:r w:rsidR="0045666D" w:rsidRPr="0045666D">
        <w:rPr>
          <w:lang w:val="es-ES_tradnl" w:eastAsia="en-US"/>
        </w:rPr>
        <w:t xml:space="preserve">Migrantes, </w:t>
      </w:r>
      <w:r w:rsidR="00A17DDB">
        <w:rPr>
          <w:lang w:val="es-ES_tradnl" w:eastAsia="en-US"/>
        </w:rPr>
        <w:t>refugiados,</w:t>
      </w:r>
      <w:r w:rsidR="0045666D" w:rsidRPr="0045666D">
        <w:rPr>
          <w:lang w:val="es-ES_tradnl" w:eastAsia="en-US"/>
        </w:rPr>
        <w:t xml:space="preserve"> solicitantes de asilo</w:t>
      </w:r>
      <w:r w:rsidR="00A17DDB">
        <w:rPr>
          <w:lang w:val="es-ES_tradnl" w:eastAsia="en-US"/>
        </w:rPr>
        <w:t xml:space="preserve"> y </w:t>
      </w:r>
      <w:r w:rsidR="00087E90">
        <w:rPr>
          <w:lang w:val="es-ES_tradnl" w:eastAsia="en-US"/>
        </w:rPr>
        <w:t>personas desplazada</w:t>
      </w:r>
      <w:r w:rsidR="00A17DDB">
        <w:rPr>
          <w:lang w:val="es-ES_tradnl" w:eastAsia="en-US"/>
        </w:rPr>
        <w:t xml:space="preserve">s </w:t>
      </w:r>
      <w:r w:rsidR="00087E90">
        <w:rPr>
          <w:lang w:val="es-ES_tradnl" w:eastAsia="en-US"/>
        </w:rPr>
        <w:t>interna</w:t>
      </w:r>
      <w:r w:rsidR="00A17DDB">
        <w:rPr>
          <w:lang w:val="es-ES_tradnl" w:eastAsia="en-US"/>
        </w:rPr>
        <w:t>s</w:t>
      </w:r>
    </w:p>
    <w:p w14:paraId="702D1F03" w14:textId="183E9C1A" w:rsidR="0045666D" w:rsidRDefault="00C04431" w:rsidP="00085877">
      <w:pPr>
        <w:pStyle w:val="SingleTxtG"/>
        <w:rPr>
          <w:lang w:val="es-ES_tradnl" w:eastAsia="en-US"/>
        </w:rPr>
      </w:pPr>
      <w:r>
        <w:rPr>
          <w:lang w:val="es-ES_tradnl" w:eastAsia="en-US"/>
        </w:rPr>
        <w:t>16.</w:t>
      </w:r>
      <w:r>
        <w:rPr>
          <w:lang w:val="es-ES_tradnl" w:eastAsia="en-US"/>
        </w:rPr>
        <w:tab/>
      </w:r>
      <w:r w:rsidR="0045666D">
        <w:rPr>
          <w:lang w:val="es-ES_tradnl" w:eastAsia="en-US"/>
        </w:rPr>
        <w:t>Marco jurídico y garantías para los migrantes, refugiados</w:t>
      </w:r>
      <w:r w:rsidR="00A17DDB">
        <w:rPr>
          <w:lang w:val="es-ES_tradnl" w:eastAsia="en-US"/>
        </w:rPr>
        <w:t xml:space="preserve">, </w:t>
      </w:r>
      <w:r w:rsidR="0045666D">
        <w:rPr>
          <w:lang w:val="es-ES_tradnl" w:eastAsia="en-US"/>
        </w:rPr>
        <w:t>solicitantes de asilo</w:t>
      </w:r>
      <w:r w:rsidR="00A77344">
        <w:rPr>
          <w:lang w:val="es-ES_tradnl" w:eastAsia="en-US"/>
        </w:rPr>
        <w:t xml:space="preserve"> </w:t>
      </w:r>
      <w:r w:rsidR="0045666D">
        <w:rPr>
          <w:lang w:val="es-ES_tradnl" w:eastAsia="en-US"/>
        </w:rPr>
        <w:t>y</w:t>
      </w:r>
      <w:r w:rsidR="00087E90">
        <w:rPr>
          <w:lang w:val="es-ES_tradnl" w:eastAsia="en-US"/>
        </w:rPr>
        <w:t xml:space="preserve"> personas desplazadas interna</w:t>
      </w:r>
      <w:r w:rsidR="00A17DDB">
        <w:rPr>
          <w:lang w:val="es-ES_tradnl" w:eastAsia="en-US"/>
        </w:rPr>
        <w:t xml:space="preserve">s, y su </w:t>
      </w:r>
      <w:r w:rsidR="0045666D">
        <w:rPr>
          <w:lang w:val="es-ES_tradnl" w:eastAsia="en-US"/>
        </w:rPr>
        <w:t>conformidad con la Convención</w:t>
      </w:r>
      <w:r w:rsidR="00E05BD7">
        <w:rPr>
          <w:lang w:val="es-ES_tradnl" w:eastAsia="en-US"/>
        </w:rPr>
        <w:t xml:space="preserve"> </w:t>
      </w:r>
      <w:r w:rsidR="00E05BD7">
        <w:t>(CERD/C/SLV/CO/</w:t>
      </w:r>
      <w:r w:rsidR="003B2BBF">
        <w:br/>
      </w:r>
      <w:r w:rsidR="00E05BD7">
        <w:t xml:space="preserve">16-17, </w:t>
      </w:r>
      <w:r w:rsidR="00B20725">
        <w:rPr>
          <w:lang w:val="es-ES_tradnl"/>
        </w:rPr>
        <w:t>párr. </w:t>
      </w:r>
      <w:r w:rsidR="00E05BD7">
        <w:rPr>
          <w:lang w:val="es-ES_tradnl"/>
        </w:rPr>
        <w:t>15)</w:t>
      </w:r>
      <w:r w:rsidR="0045666D">
        <w:rPr>
          <w:lang w:val="es-ES_tradnl" w:eastAsia="en-US"/>
        </w:rPr>
        <w:t xml:space="preserve">. </w:t>
      </w:r>
    </w:p>
    <w:p w14:paraId="3E03C59B" w14:textId="55B7CE80" w:rsidR="00A823EE" w:rsidRPr="005E34BF" w:rsidRDefault="00B20725" w:rsidP="00B20725">
      <w:pPr>
        <w:pStyle w:val="H23G"/>
        <w:rPr>
          <w:lang w:val="es-ES_tradnl" w:eastAsia="en-US"/>
        </w:rPr>
      </w:pPr>
      <w:r>
        <w:rPr>
          <w:lang w:val="es-ES_tradnl" w:eastAsia="en-US"/>
        </w:rPr>
        <w:tab/>
      </w:r>
      <w:r>
        <w:rPr>
          <w:lang w:val="es-ES_tradnl" w:eastAsia="en-US"/>
        </w:rPr>
        <w:tab/>
      </w:r>
      <w:r w:rsidR="00A823EE" w:rsidRPr="005E34BF">
        <w:rPr>
          <w:lang w:val="es-ES_tradnl" w:eastAsia="en-US"/>
        </w:rPr>
        <w:t>Situación de las mujeres indígenas y afrodescendientes</w:t>
      </w:r>
    </w:p>
    <w:p w14:paraId="31C0A72C" w14:textId="3F95BC2F" w:rsidR="00027A89" w:rsidRDefault="00C04431" w:rsidP="00085877">
      <w:pPr>
        <w:pStyle w:val="SingleTxtG"/>
        <w:rPr>
          <w:lang w:val="es-ES_tradnl" w:eastAsia="en-US"/>
        </w:rPr>
      </w:pPr>
      <w:r>
        <w:rPr>
          <w:lang w:val="es-ES_tradnl" w:eastAsia="en-US"/>
        </w:rPr>
        <w:t>17.</w:t>
      </w:r>
      <w:r>
        <w:rPr>
          <w:lang w:val="es-ES_tradnl" w:eastAsia="en-US"/>
        </w:rPr>
        <w:tab/>
      </w:r>
      <w:r w:rsidR="0045666D" w:rsidRPr="00B20725">
        <w:t>Lucha</w:t>
      </w:r>
      <w:r w:rsidR="002A3965" w:rsidRPr="00B20725">
        <w:t xml:space="preserve"> contra la impunidad respeto de los casos de violencia contra las mujeres indígenas, particularmente en casos de feminicidio. </w:t>
      </w:r>
      <w:r w:rsidR="00027A89" w:rsidRPr="00B20725">
        <w:t>Medi</w:t>
      </w:r>
      <w:r w:rsidR="0011645E" w:rsidRPr="00B20725">
        <w:t>d</w:t>
      </w:r>
      <w:r w:rsidR="00027A89" w:rsidRPr="00B20725">
        <w:t>as tomadas para eliminar l</w:t>
      </w:r>
      <w:r w:rsidR="0011645E" w:rsidRPr="00B20725">
        <w:t>as discriminaciones múltiples que afectan</w:t>
      </w:r>
      <w:r w:rsidR="00027A89" w:rsidRPr="00B20725">
        <w:t xml:space="preserve"> </w:t>
      </w:r>
      <w:r w:rsidR="003A293C">
        <w:t xml:space="preserve">a </w:t>
      </w:r>
      <w:r w:rsidR="00027A89" w:rsidRPr="00B20725">
        <w:t xml:space="preserve">las mujeres indígenas y afrodescendientes. </w:t>
      </w:r>
      <w:r w:rsidR="00627AED" w:rsidRPr="00B20725">
        <w:t>Avances en la participación de las mujeres indígenas y afrodescendientes en la vida política y p</w:t>
      </w:r>
      <w:r w:rsidR="003A293C">
        <w:t>ú</w:t>
      </w:r>
      <w:r w:rsidR="00627AED" w:rsidRPr="00B20725">
        <w:t xml:space="preserve">blica, así como su acceso a la educación, al trabajo y a servicios de salud, incluyendo servicios de salud sexual y reproductiva. Implementación del Programa Especial de </w:t>
      </w:r>
      <w:r w:rsidR="008A08CB">
        <w:t>P</w:t>
      </w:r>
      <w:r w:rsidR="00627AED" w:rsidRPr="00B20725">
        <w:t>romoción y Protección de los Derechos de la Mujer Indígena</w:t>
      </w:r>
      <w:r w:rsidR="00E05BD7" w:rsidRPr="00B20725">
        <w:t xml:space="preserve"> </w:t>
      </w:r>
      <w:r w:rsidR="00E05BD7">
        <w:t xml:space="preserve">(CERD/C/SLV/CO/16-17, </w:t>
      </w:r>
      <w:r w:rsidR="00E05BD7" w:rsidRPr="00B20725">
        <w:t>párr. 22)</w:t>
      </w:r>
      <w:r w:rsidR="00627AED" w:rsidRPr="00B20725">
        <w:t>.</w:t>
      </w:r>
      <w:r w:rsidR="00627AED">
        <w:rPr>
          <w:lang w:val="es-ES_tradnl" w:eastAsia="en-US"/>
        </w:rPr>
        <w:t xml:space="preserve"> </w:t>
      </w:r>
    </w:p>
    <w:p w14:paraId="0E8E1938" w14:textId="6F0DA90F" w:rsidR="00381C24" w:rsidRPr="009A7FC7" w:rsidRDefault="0060487F" w:rsidP="009A7FC7">
      <w:pPr>
        <w:pStyle w:val="SingleTxtG"/>
        <w:jc w:val="center"/>
        <w:rPr>
          <w:u w:val="single"/>
        </w:rPr>
      </w:pPr>
      <w:r>
        <w:rPr>
          <w:u w:val="single"/>
        </w:rPr>
        <w:tab/>
      </w:r>
      <w:r>
        <w:rPr>
          <w:u w:val="single"/>
        </w:rPr>
        <w:tab/>
      </w:r>
      <w:r w:rsidR="00CC3BCA">
        <w:rPr>
          <w:u w:val="single"/>
        </w:rPr>
        <w:tab/>
      </w:r>
      <w:bookmarkStart w:id="0" w:name="_GoBack"/>
      <w:bookmarkEnd w:id="0"/>
    </w:p>
    <w:sectPr w:rsidR="00381C24" w:rsidRPr="009A7FC7"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4519D" w14:textId="77777777" w:rsidR="00B50089" w:rsidRDefault="00B50089">
      <w:r>
        <w:separator/>
      </w:r>
    </w:p>
  </w:endnote>
  <w:endnote w:type="continuationSeparator" w:id="0">
    <w:p w14:paraId="49160168" w14:textId="77777777" w:rsidR="00B50089" w:rsidRDefault="00B5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F824" w14:textId="215239B8" w:rsidR="006E3BF9" w:rsidRPr="001A4396" w:rsidRDefault="006E3BF9"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151BFB">
      <w:rPr>
        <w:b/>
        <w:noProof/>
        <w:sz w:val="18"/>
      </w:rPr>
      <w:t>2</w:t>
    </w:r>
    <w:r w:rsidRPr="001A4396">
      <w:rPr>
        <w:b/>
        <w:sz w:val="18"/>
      </w:rPr>
      <w:fldChar w:fldCharType="end"/>
    </w:r>
    <w:r>
      <w:rPr>
        <w:b/>
        <w:sz w:val="18"/>
      </w:rPr>
      <w:tab/>
    </w:r>
    <w:r w:rsidR="00BB7804">
      <w:fldChar w:fldCharType="begin"/>
    </w:r>
    <w:r w:rsidR="00BB7804">
      <w:instrText xml:space="preserve"> DOCPROPERTY  gdocf  \* MERGEFORMAT </w:instrText>
    </w:r>
    <w:r w:rsidR="00BB780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94F0" w14:textId="596037D6" w:rsidR="006E3BF9" w:rsidRPr="001A4396" w:rsidRDefault="00BB7804"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rsidR="006E3BF9">
      <w:tab/>
    </w:r>
    <w:r w:rsidR="006E3BF9" w:rsidRPr="001A4396">
      <w:rPr>
        <w:b/>
        <w:sz w:val="18"/>
      </w:rPr>
      <w:fldChar w:fldCharType="begin"/>
    </w:r>
    <w:r w:rsidR="006E3BF9" w:rsidRPr="001A4396">
      <w:rPr>
        <w:b/>
        <w:sz w:val="18"/>
      </w:rPr>
      <w:instrText xml:space="preserve"> PAGE  \* MERGEFORMAT </w:instrText>
    </w:r>
    <w:r w:rsidR="006E3BF9" w:rsidRPr="001A4396">
      <w:rPr>
        <w:b/>
        <w:sz w:val="18"/>
      </w:rPr>
      <w:fldChar w:fldCharType="separate"/>
    </w:r>
    <w:r w:rsidR="00151BFB">
      <w:rPr>
        <w:b/>
        <w:noProof/>
        <w:sz w:val="18"/>
      </w:rPr>
      <w:t>3</w:t>
    </w:r>
    <w:r w:rsidR="006E3BF9"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0A0F" w14:textId="3B64025F" w:rsidR="00B4549D" w:rsidRPr="0060487F" w:rsidRDefault="0060487F" w:rsidP="0060487F">
    <w:pPr>
      <w:pStyle w:val="Footer"/>
      <w:spacing w:before="120" w:line="240" w:lineRule="auto"/>
      <w:rPr>
        <w:sz w:val="20"/>
      </w:rPr>
    </w:pPr>
    <w:r>
      <w:rPr>
        <w:sz w:val="20"/>
      </w:rPr>
      <w:t>GE.19-09877  (S)</w:t>
    </w:r>
    <w:r>
      <w:rPr>
        <w:sz w:val="20"/>
      </w:rPr>
      <w:br/>
    </w:r>
    <w:r w:rsidRPr="0060487F">
      <w:rPr>
        <w:rFonts w:ascii="C39T30Lfz" w:hAnsi="C39T30Lfz"/>
        <w:sz w:val="56"/>
      </w:rPr>
      <w:t></w:t>
    </w:r>
    <w:r w:rsidRPr="0060487F">
      <w:rPr>
        <w:rFonts w:ascii="C39T30Lfz" w:hAnsi="C39T30Lfz"/>
        <w:sz w:val="56"/>
      </w:rPr>
      <w:t></w:t>
    </w:r>
    <w:r w:rsidRPr="0060487F">
      <w:rPr>
        <w:rFonts w:ascii="C39T30Lfz" w:hAnsi="C39T30Lfz"/>
        <w:sz w:val="56"/>
      </w:rPr>
      <w:t></w:t>
    </w:r>
    <w:r w:rsidRPr="0060487F">
      <w:rPr>
        <w:rFonts w:ascii="C39T30Lfz" w:hAnsi="C39T30Lfz"/>
        <w:sz w:val="56"/>
      </w:rPr>
      <w:t></w:t>
    </w:r>
    <w:r w:rsidRPr="0060487F">
      <w:rPr>
        <w:rFonts w:ascii="C39T30Lfz" w:hAnsi="C39T30Lfz"/>
        <w:sz w:val="56"/>
      </w:rPr>
      <w:t></w:t>
    </w:r>
    <w:r w:rsidRPr="0060487F">
      <w:rPr>
        <w:rFonts w:ascii="C39T30Lfz" w:hAnsi="C39T30Lfz"/>
        <w:sz w:val="56"/>
      </w:rPr>
      <w:t></w:t>
    </w:r>
    <w:r w:rsidRPr="0060487F">
      <w:rPr>
        <w:rFonts w:ascii="C39T30Lfz" w:hAnsi="C39T30Lfz"/>
        <w:sz w:val="56"/>
      </w:rPr>
      <w:t></w:t>
    </w:r>
    <w:r w:rsidRPr="0060487F">
      <w:rPr>
        <w:rFonts w:ascii="C39T30Lfz" w:hAnsi="C39T30Lfz"/>
        <w:sz w:val="56"/>
      </w:rPr>
      <w:t></w:t>
    </w:r>
    <w:r w:rsidRPr="0060487F">
      <w:rPr>
        <w:rFonts w:ascii="C39T30Lfz" w:hAnsi="C39T30Lfz"/>
        <w:sz w:val="56"/>
      </w:rPr>
      <w:t></w:t>
    </w:r>
    <w:r w:rsidRPr="0060487F">
      <w:rPr>
        <w:rFonts w:ascii="C39T30Lfz" w:hAnsi="C39T30Lfz"/>
        <w:noProof/>
        <w:sz w:val="56"/>
        <w:lang w:eastAsia="zh-CN"/>
      </w:rPr>
      <w:drawing>
        <wp:anchor distT="0" distB="0" distL="114300" distR="114300" simplePos="0" relativeHeight="251660288" behindDoc="0" locked="1" layoutInCell="1" allowOverlap="1" wp14:anchorId="06BBC9FC" wp14:editId="6D40895B">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48CEB8DF" wp14:editId="537CAD62">
          <wp:simplePos x="0" y="0"/>
          <wp:positionH relativeFrom="margin">
            <wp:posOffset>5489575</wp:posOffset>
          </wp:positionH>
          <wp:positionV relativeFrom="margin">
            <wp:posOffset>8891905</wp:posOffset>
          </wp:positionV>
          <wp:extent cx="561975" cy="561975"/>
          <wp:effectExtent l="0" t="0" r="9525" b="9525"/>
          <wp:wrapNone/>
          <wp:docPr id="1" name="Picture 1" descr="https://undocs.org/m2/QRCode.ashx?DS=CERD/C/SLV/Q/18-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LV/Q/18-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A277" w14:textId="77777777" w:rsidR="00B50089" w:rsidRPr="001075E9" w:rsidRDefault="00B50089" w:rsidP="001075E9">
      <w:pPr>
        <w:tabs>
          <w:tab w:val="right" w:pos="2155"/>
        </w:tabs>
        <w:spacing w:after="80" w:line="240" w:lineRule="auto"/>
        <w:ind w:left="680"/>
        <w:rPr>
          <w:u w:val="single"/>
        </w:rPr>
      </w:pPr>
      <w:r>
        <w:rPr>
          <w:u w:val="single"/>
        </w:rPr>
        <w:tab/>
      </w:r>
    </w:p>
  </w:footnote>
  <w:footnote w:type="continuationSeparator" w:id="0">
    <w:p w14:paraId="4876B510" w14:textId="77777777" w:rsidR="00B50089" w:rsidRDefault="00B50089"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65FE" w14:textId="5B4A5A10" w:rsidR="006E3BF9" w:rsidRPr="001A4396" w:rsidRDefault="00151BFB">
    <w:pPr>
      <w:pStyle w:val="Header"/>
    </w:pPr>
    <w:r>
      <w:fldChar w:fldCharType="begin"/>
    </w:r>
    <w:r>
      <w:instrText xml:space="preserve"> DOCPROPERTY  symh  \* MERGEFORMAT </w:instrText>
    </w:r>
    <w:r>
      <w:fldChar w:fldCharType="separate"/>
    </w:r>
    <w:r>
      <w:t>CERD/C/SLV/Q/18-19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70EE" w14:textId="6F1AF474" w:rsidR="006E3BF9" w:rsidRPr="00935A0B" w:rsidRDefault="00151BFB" w:rsidP="00935A0B">
    <w:pPr>
      <w:pStyle w:val="Header"/>
      <w:jc w:val="right"/>
      <w:rPr>
        <w:u w:val="double"/>
      </w:rPr>
    </w:pPr>
    <w:r>
      <w:fldChar w:fldCharType="begin"/>
    </w:r>
    <w:r>
      <w:instrText xml:space="preserve"> DOCPROPERTY  symh  \* MERGEFORMAT </w:instrText>
    </w:r>
    <w:r>
      <w:fldChar w:fldCharType="separate"/>
    </w:r>
    <w:r>
      <w:t>CERD/C/SLV/Q/18-19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5E9F" w14:textId="77777777" w:rsidR="006E3BF9" w:rsidRDefault="006E3BF9" w:rsidP="00A711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EE131A9"/>
    <w:multiLevelType w:val="hybridMultilevel"/>
    <w:tmpl w:val="D30C225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2E50162"/>
    <w:multiLevelType w:val="hybridMultilevel"/>
    <w:tmpl w:val="5F74796E"/>
    <w:lvl w:ilvl="0" w:tplc="0C1C00A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7"/>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2"/>
  </w:num>
  <w:num w:numId="18">
    <w:abstractNumId w:val="17"/>
  </w:num>
  <w:num w:numId="19">
    <w:abstractNumId w:val="15"/>
  </w:num>
  <w:num w:numId="20">
    <w:abstractNumId w:val="13"/>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4"/>
  </w:num>
  <w:num w:numId="33">
    <w:abstractNumId w:val="12"/>
  </w:num>
  <w:num w:numId="34">
    <w:abstractNumId w:val="17"/>
  </w:num>
  <w:num w:numId="35">
    <w:abstractNumId w:val="15"/>
  </w:num>
  <w:num w:numId="36">
    <w:abstractNumId w:val="1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1"/>
  </w:num>
  <w:num w:numId="4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107AA"/>
    <w:rsid w:val="00021780"/>
    <w:rsid w:val="00027A89"/>
    <w:rsid w:val="00033EE1"/>
    <w:rsid w:val="00042B72"/>
    <w:rsid w:val="00053EA6"/>
    <w:rsid w:val="000558BD"/>
    <w:rsid w:val="00085877"/>
    <w:rsid w:val="00087E90"/>
    <w:rsid w:val="000B57E7"/>
    <w:rsid w:val="000B6373"/>
    <w:rsid w:val="000D3664"/>
    <w:rsid w:val="000E2269"/>
    <w:rsid w:val="000F09DF"/>
    <w:rsid w:val="000F61B2"/>
    <w:rsid w:val="000F7786"/>
    <w:rsid w:val="001075E9"/>
    <w:rsid w:val="001137C8"/>
    <w:rsid w:val="0011645E"/>
    <w:rsid w:val="001468B5"/>
    <w:rsid w:val="00151BFB"/>
    <w:rsid w:val="00151E79"/>
    <w:rsid w:val="00180183"/>
    <w:rsid w:val="0018024D"/>
    <w:rsid w:val="0018649F"/>
    <w:rsid w:val="00196389"/>
    <w:rsid w:val="001A4396"/>
    <w:rsid w:val="001A5271"/>
    <w:rsid w:val="001A6B8C"/>
    <w:rsid w:val="001B3EF6"/>
    <w:rsid w:val="001B4830"/>
    <w:rsid w:val="001B5BD2"/>
    <w:rsid w:val="001C4566"/>
    <w:rsid w:val="001C7A89"/>
    <w:rsid w:val="001E61DF"/>
    <w:rsid w:val="001F6A97"/>
    <w:rsid w:val="00267F89"/>
    <w:rsid w:val="00281CBD"/>
    <w:rsid w:val="0028391D"/>
    <w:rsid w:val="0029175B"/>
    <w:rsid w:val="002927FF"/>
    <w:rsid w:val="002A02C6"/>
    <w:rsid w:val="002A2EFC"/>
    <w:rsid w:val="002A3965"/>
    <w:rsid w:val="002C0E18"/>
    <w:rsid w:val="002D4172"/>
    <w:rsid w:val="002D5AAC"/>
    <w:rsid w:val="002F31CE"/>
    <w:rsid w:val="002F405F"/>
    <w:rsid w:val="00301299"/>
    <w:rsid w:val="00307FB6"/>
    <w:rsid w:val="00317339"/>
    <w:rsid w:val="00322004"/>
    <w:rsid w:val="003402C2"/>
    <w:rsid w:val="00376E4E"/>
    <w:rsid w:val="00381C24"/>
    <w:rsid w:val="003958D0"/>
    <w:rsid w:val="003964C8"/>
    <w:rsid w:val="003A293C"/>
    <w:rsid w:val="003A3CE4"/>
    <w:rsid w:val="003B00E5"/>
    <w:rsid w:val="003B2BBF"/>
    <w:rsid w:val="003C07CB"/>
    <w:rsid w:val="003D3526"/>
    <w:rsid w:val="003E0332"/>
    <w:rsid w:val="003F43D1"/>
    <w:rsid w:val="003F6FF0"/>
    <w:rsid w:val="00400640"/>
    <w:rsid w:val="00400C41"/>
    <w:rsid w:val="00407B78"/>
    <w:rsid w:val="0041419A"/>
    <w:rsid w:val="0041561F"/>
    <w:rsid w:val="00424203"/>
    <w:rsid w:val="004411DE"/>
    <w:rsid w:val="004452DE"/>
    <w:rsid w:val="00454E07"/>
    <w:rsid w:val="0045666D"/>
    <w:rsid w:val="00475933"/>
    <w:rsid w:val="00483116"/>
    <w:rsid w:val="00485DE0"/>
    <w:rsid w:val="004B6CC2"/>
    <w:rsid w:val="004D1828"/>
    <w:rsid w:val="004D3730"/>
    <w:rsid w:val="0050108D"/>
    <w:rsid w:val="00513081"/>
    <w:rsid w:val="005172CB"/>
    <w:rsid w:val="00517901"/>
    <w:rsid w:val="00521DC1"/>
    <w:rsid w:val="00526683"/>
    <w:rsid w:val="00534940"/>
    <w:rsid w:val="00535A67"/>
    <w:rsid w:val="00537C4F"/>
    <w:rsid w:val="005709E0"/>
    <w:rsid w:val="00572E19"/>
    <w:rsid w:val="005747B9"/>
    <w:rsid w:val="00581269"/>
    <w:rsid w:val="00584B66"/>
    <w:rsid w:val="005927B3"/>
    <w:rsid w:val="005961C8"/>
    <w:rsid w:val="00597936"/>
    <w:rsid w:val="005D7914"/>
    <w:rsid w:val="005E34BF"/>
    <w:rsid w:val="005E4AC3"/>
    <w:rsid w:val="005F0B42"/>
    <w:rsid w:val="005F72CE"/>
    <w:rsid w:val="0060487F"/>
    <w:rsid w:val="00615628"/>
    <w:rsid w:val="00621949"/>
    <w:rsid w:val="00627AED"/>
    <w:rsid w:val="006551F6"/>
    <w:rsid w:val="0066688E"/>
    <w:rsid w:val="00681A10"/>
    <w:rsid w:val="00684CF7"/>
    <w:rsid w:val="006A10C1"/>
    <w:rsid w:val="006C2031"/>
    <w:rsid w:val="006D317E"/>
    <w:rsid w:val="006D461A"/>
    <w:rsid w:val="006E3BF9"/>
    <w:rsid w:val="006F35EE"/>
    <w:rsid w:val="007021FF"/>
    <w:rsid w:val="00707432"/>
    <w:rsid w:val="00712895"/>
    <w:rsid w:val="007319A3"/>
    <w:rsid w:val="00740B29"/>
    <w:rsid w:val="00746144"/>
    <w:rsid w:val="00746BF1"/>
    <w:rsid w:val="007504BC"/>
    <w:rsid w:val="00757357"/>
    <w:rsid w:val="00765C4A"/>
    <w:rsid w:val="007A398D"/>
    <w:rsid w:val="007C333F"/>
    <w:rsid w:val="007C745E"/>
    <w:rsid w:val="007E072F"/>
    <w:rsid w:val="00805D1C"/>
    <w:rsid w:val="00811C56"/>
    <w:rsid w:val="008247CB"/>
    <w:rsid w:val="00825F8D"/>
    <w:rsid w:val="00834B71"/>
    <w:rsid w:val="00841CBA"/>
    <w:rsid w:val="008528B2"/>
    <w:rsid w:val="00863DE7"/>
    <w:rsid w:val="0086445C"/>
    <w:rsid w:val="00874950"/>
    <w:rsid w:val="00882AA2"/>
    <w:rsid w:val="00894693"/>
    <w:rsid w:val="00895005"/>
    <w:rsid w:val="008A08CB"/>
    <w:rsid w:val="008A08D7"/>
    <w:rsid w:val="008B6909"/>
    <w:rsid w:val="008C7DC8"/>
    <w:rsid w:val="008E562A"/>
    <w:rsid w:val="00906890"/>
    <w:rsid w:val="00911BE4"/>
    <w:rsid w:val="00935A0B"/>
    <w:rsid w:val="00951972"/>
    <w:rsid w:val="00953B31"/>
    <w:rsid w:val="00954B4E"/>
    <w:rsid w:val="009608F3"/>
    <w:rsid w:val="00973F42"/>
    <w:rsid w:val="00974E25"/>
    <w:rsid w:val="0098373B"/>
    <w:rsid w:val="00985312"/>
    <w:rsid w:val="009A03AF"/>
    <w:rsid w:val="009A2AA7"/>
    <w:rsid w:val="009A7FC7"/>
    <w:rsid w:val="009B69D1"/>
    <w:rsid w:val="009C5BBE"/>
    <w:rsid w:val="009D1933"/>
    <w:rsid w:val="00A17DDB"/>
    <w:rsid w:val="00A24002"/>
    <w:rsid w:val="00A32382"/>
    <w:rsid w:val="00A44B2D"/>
    <w:rsid w:val="00A6651B"/>
    <w:rsid w:val="00A6712F"/>
    <w:rsid w:val="00A711FB"/>
    <w:rsid w:val="00A77344"/>
    <w:rsid w:val="00A823EE"/>
    <w:rsid w:val="00A84021"/>
    <w:rsid w:val="00A86F80"/>
    <w:rsid w:val="00A90C2B"/>
    <w:rsid w:val="00A917B3"/>
    <w:rsid w:val="00A9337E"/>
    <w:rsid w:val="00AB4B51"/>
    <w:rsid w:val="00AE5F3B"/>
    <w:rsid w:val="00B10CC7"/>
    <w:rsid w:val="00B20725"/>
    <w:rsid w:val="00B224FB"/>
    <w:rsid w:val="00B4549D"/>
    <w:rsid w:val="00B50089"/>
    <w:rsid w:val="00B539E7"/>
    <w:rsid w:val="00B563EB"/>
    <w:rsid w:val="00B62458"/>
    <w:rsid w:val="00B77484"/>
    <w:rsid w:val="00B800E9"/>
    <w:rsid w:val="00B80A93"/>
    <w:rsid w:val="00BA7EEA"/>
    <w:rsid w:val="00BB3C76"/>
    <w:rsid w:val="00BB7804"/>
    <w:rsid w:val="00BC7436"/>
    <w:rsid w:val="00BD33EE"/>
    <w:rsid w:val="00BF2E5C"/>
    <w:rsid w:val="00C00A48"/>
    <w:rsid w:val="00C02B16"/>
    <w:rsid w:val="00C04431"/>
    <w:rsid w:val="00C106D6"/>
    <w:rsid w:val="00C471A3"/>
    <w:rsid w:val="00C60C31"/>
    <w:rsid w:val="00C60F0C"/>
    <w:rsid w:val="00C77BC2"/>
    <w:rsid w:val="00C77D41"/>
    <w:rsid w:val="00C805C9"/>
    <w:rsid w:val="00C82C69"/>
    <w:rsid w:val="00C84FA9"/>
    <w:rsid w:val="00C927FE"/>
    <w:rsid w:val="00C92939"/>
    <w:rsid w:val="00C964B4"/>
    <w:rsid w:val="00CA0158"/>
    <w:rsid w:val="00CA1679"/>
    <w:rsid w:val="00CB151C"/>
    <w:rsid w:val="00CB242B"/>
    <w:rsid w:val="00CB37FC"/>
    <w:rsid w:val="00CC3BCA"/>
    <w:rsid w:val="00CE582B"/>
    <w:rsid w:val="00CE5A1A"/>
    <w:rsid w:val="00CF55F6"/>
    <w:rsid w:val="00D04407"/>
    <w:rsid w:val="00D11455"/>
    <w:rsid w:val="00D3021D"/>
    <w:rsid w:val="00D33D63"/>
    <w:rsid w:val="00D46FF5"/>
    <w:rsid w:val="00D4778E"/>
    <w:rsid w:val="00D477D3"/>
    <w:rsid w:val="00D72C25"/>
    <w:rsid w:val="00D73A29"/>
    <w:rsid w:val="00D7481B"/>
    <w:rsid w:val="00D82740"/>
    <w:rsid w:val="00D90138"/>
    <w:rsid w:val="00DB416C"/>
    <w:rsid w:val="00DF386E"/>
    <w:rsid w:val="00DF7D52"/>
    <w:rsid w:val="00E05BD7"/>
    <w:rsid w:val="00E07DA1"/>
    <w:rsid w:val="00E13136"/>
    <w:rsid w:val="00E31CF9"/>
    <w:rsid w:val="00E44A50"/>
    <w:rsid w:val="00E55FE9"/>
    <w:rsid w:val="00E56EE3"/>
    <w:rsid w:val="00E66B41"/>
    <w:rsid w:val="00E73F76"/>
    <w:rsid w:val="00E86371"/>
    <w:rsid w:val="00EA2C9F"/>
    <w:rsid w:val="00EA6C4C"/>
    <w:rsid w:val="00ED0BDA"/>
    <w:rsid w:val="00ED3749"/>
    <w:rsid w:val="00EE7654"/>
    <w:rsid w:val="00EF1360"/>
    <w:rsid w:val="00EF3220"/>
    <w:rsid w:val="00F12FAE"/>
    <w:rsid w:val="00F13F56"/>
    <w:rsid w:val="00F37BF0"/>
    <w:rsid w:val="00F63772"/>
    <w:rsid w:val="00F76A49"/>
    <w:rsid w:val="00F9377E"/>
    <w:rsid w:val="00F94155"/>
    <w:rsid w:val="00FA7AEC"/>
    <w:rsid w:val="00FC18B7"/>
    <w:rsid w:val="00FC2469"/>
    <w:rsid w:val="00FC691E"/>
    <w:rsid w:val="00FD234F"/>
    <w:rsid w:val="00FD2EF7"/>
    <w:rsid w:val="00FE36EA"/>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543464EE"/>
  <w15:docId w15:val="{96BE8EE9-7440-4967-BC23-D1FB56D9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Heading1">
    <w:name w:val="heading 1"/>
    <w:aliases w:val="Cuadro_G"/>
    <w:basedOn w:val="SingleTxtG"/>
    <w:next w:val="SingleTxtG"/>
    <w:link w:val="Heading1Ch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D7481B"/>
    <w:pPr>
      <w:keepNext/>
      <w:outlineLvl w:val="1"/>
    </w:pPr>
    <w:rPr>
      <w:rFonts w:cs="Arial"/>
      <w:bCs/>
      <w:iCs/>
      <w:szCs w:val="28"/>
    </w:rPr>
  </w:style>
  <w:style w:type="paragraph" w:styleId="Heading3">
    <w:name w:val="heading 3"/>
    <w:basedOn w:val="Normal"/>
    <w:next w:val="Normal"/>
    <w:semiHidden/>
    <w:rsid w:val="00D7481B"/>
    <w:pPr>
      <w:keepNext/>
      <w:spacing w:before="240" w:after="60"/>
      <w:outlineLvl w:val="2"/>
    </w:pPr>
    <w:rPr>
      <w:rFonts w:ascii="Arial" w:hAnsi="Arial" w:cs="Arial"/>
      <w:b/>
      <w:bCs/>
      <w:sz w:val="26"/>
      <w:szCs w:val="26"/>
    </w:rPr>
  </w:style>
  <w:style w:type="paragraph" w:styleId="Heading4">
    <w:name w:val="heading 4"/>
    <w:basedOn w:val="Normal"/>
    <w:next w:val="Normal"/>
    <w:semiHidden/>
    <w:rsid w:val="00D7481B"/>
    <w:pPr>
      <w:keepNext/>
      <w:spacing w:before="240" w:after="60"/>
      <w:outlineLvl w:val="3"/>
    </w:pPr>
    <w:rPr>
      <w:b/>
      <w:bCs/>
      <w:sz w:val="28"/>
      <w:szCs w:val="28"/>
    </w:rPr>
  </w:style>
  <w:style w:type="paragraph" w:styleId="Heading5">
    <w:name w:val="heading 5"/>
    <w:basedOn w:val="Normal"/>
    <w:next w:val="Normal"/>
    <w:semiHidden/>
    <w:rsid w:val="00D7481B"/>
    <w:pPr>
      <w:spacing w:before="240" w:after="60"/>
      <w:outlineLvl w:val="4"/>
    </w:pPr>
    <w:rPr>
      <w:b/>
      <w:bCs/>
      <w:i/>
      <w:iCs/>
      <w:sz w:val="26"/>
      <w:szCs w:val="26"/>
    </w:rPr>
  </w:style>
  <w:style w:type="paragraph" w:styleId="Heading6">
    <w:name w:val="heading 6"/>
    <w:basedOn w:val="Normal"/>
    <w:next w:val="Normal"/>
    <w:semiHidden/>
    <w:rsid w:val="00D7481B"/>
    <w:pPr>
      <w:spacing w:before="240" w:after="60"/>
      <w:outlineLvl w:val="5"/>
    </w:pPr>
    <w:rPr>
      <w:b/>
      <w:bCs/>
      <w:sz w:val="22"/>
      <w:szCs w:val="22"/>
    </w:rPr>
  </w:style>
  <w:style w:type="paragraph" w:styleId="Heading7">
    <w:name w:val="heading 7"/>
    <w:basedOn w:val="Normal"/>
    <w:next w:val="Normal"/>
    <w:semiHidden/>
    <w:rsid w:val="00D7481B"/>
    <w:pPr>
      <w:spacing w:before="240" w:after="60"/>
      <w:outlineLvl w:val="6"/>
    </w:pPr>
    <w:rPr>
      <w:sz w:val="24"/>
      <w:szCs w:val="24"/>
    </w:rPr>
  </w:style>
  <w:style w:type="paragraph" w:styleId="Heading8">
    <w:name w:val="heading 8"/>
    <w:basedOn w:val="Normal"/>
    <w:next w:val="Normal"/>
    <w:semiHidden/>
    <w:rsid w:val="00D7481B"/>
    <w:pPr>
      <w:spacing w:before="240" w:after="60"/>
      <w:outlineLvl w:val="7"/>
    </w:pPr>
    <w:rPr>
      <w:i/>
      <w:iCs/>
      <w:sz w:val="24"/>
      <w:szCs w:val="24"/>
    </w:rPr>
  </w:style>
  <w:style w:type="paragraph" w:styleId="Heading9">
    <w:name w:val="heading 9"/>
    <w:basedOn w:val="Normal"/>
    <w:next w:val="Normal"/>
    <w:semiHidden/>
    <w:rsid w:val="00D748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Footer">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FootnoteText">
    <w:name w:val="footnote text"/>
    <w:aliases w:val="5_G"/>
    <w:basedOn w:val="Normal"/>
    <w:qFormat/>
    <w:rsid w:val="00D7481B"/>
    <w:pPr>
      <w:tabs>
        <w:tab w:val="right" w:pos="1021"/>
      </w:tabs>
      <w:spacing w:line="220" w:lineRule="exact"/>
      <w:ind w:left="1134" w:right="1134" w:hanging="1134"/>
    </w:pPr>
    <w:rPr>
      <w:sz w:val="18"/>
    </w:rPr>
  </w:style>
  <w:style w:type="table" w:styleId="TableGrid">
    <w:name w:val="Table Grid"/>
    <w:basedOn w:val="Table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7481B"/>
    <w:pPr>
      <w:numPr>
        <w:numId w:val="3"/>
      </w:numPr>
    </w:pPr>
  </w:style>
  <w:style w:type="numbering" w:styleId="1ai">
    <w:name w:val="Outline List 1"/>
    <w:basedOn w:val="NoList"/>
    <w:semiHidden/>
    <w:rsid w:val="00D7481B"/>
    <w:pPr>
      <w:numPr>
        <w:numId w:val="4"/>
      </w:numPr>
    </w:pPr>
  </w:style>
  <w:style w:type="character" w:styleId="HTMLAcronym">
    <w:name w:val="HTML Acronym"/>
    <w:basedOn w:val="DefaultParagraphFont"/>
    <w:semiHidden/>
    <w:rsid w:val="00D7481B"/>
  </w:style>
  <w:style w:type="numbering" w:styleId="ArticleSection">
    <w:name w:val="Outline List 3"/>
    <w:basedOn w:val="NoList"/>
    <w:semiHidden/>
    <w:rsid w:val="00D7481B"/>
    <w:pPr>
      <w:numPr>
        <w:numId w:val="5"/>
      </w:numPr>
    </w:pPr>
  </w:style>
  <w:style w:type="paragraph" w:styleId="Closing">
    <w:name w:val="Closing"/>
    <w:basedOn w:val="Normal"/>
    <w:semiHidden/>
    <w:rsid w:val="00D7481B"/>
    <w:pPr>
      <w:ind w:left="4252"/>
    </w:pPr>
  </w:style>
  <w:style w:type="character" w:styleId="HTMLCite">
    <w:name w:val="HTML Cite"/>
    <w:semiHidden/>
    <w:rsid w:val="00D7481B"/>
    <w:rPr>
      <w:i/>
      <w:iCs/>
    </w:rPr>
  </w:style>
  <w:style w:type="character" w:styleId="HTMLCode">
    <w:name w:val="HTML Code"/>
    <w:semiHidden/>
    <w:rsid w:val="00D7481B"/>
    <w:rPr>
      <w:rFonts w:ascii="Courier New" w:hAnsi="Courier New" w:cs="Courier New"/>
      <w:sz w:val="20"/>
      <w:szCs w:val="20"/>
    </w:rPr>
  </w:style>
  <w:style w:type="paragraph" w:styleId="ListContinue">
    <w:name w:val="List Continue"/>
    <w:basedOn w:val="Normal"/>
    <w:semiHidden/>
    <w:rsid w:val="00D7481B"/>
    <w:pPr>
      <w:spacing w:after="120"/>
      <w:ind w:left="283"/>
    </w:pPr>
  </w:style>
  <w:style w:type="paragraph" w:styleId="ListContinue2">
    <w:name w:val="List Continue 2"/>
    <w:basedOn w:val="Normal"/>
    <w:semiHidden/>
    <w:rsid w:val="00D7481B"/>
    <w:pPr>
      <w:spacing w:after="120"/>
      <w:ind w:left="566"/>
    </w:pPr>
  </w:style>
  <w:style w:type="paragraph" w:styleId="ListContinue3">
    <w:name w:val="List Continue 3"/>
    <w:basedOn w:val="Normal"/>
    <w:semiHidden/>
    <w:rsid w:val="00D7481B"/>
    <w:pPr>
      <w:spacing w:after="120"/>
      <w:ind w:left="849"/>
    </w:pPr>
  </w:style>
  <w:style w:type="paragraph" w:styleId="ListContinue4">
    <w:name w:val="List Continue 4"/>
    <w:basedOn w:val="Normal"/>
    <w:semiHidden/>
    <w:rsid w:val="00D7481B"/>
    <w:pPr>
      <w:spacing w:after="120"/>
      <w:ind w:left="1132"/>
    </w:pPr>
  </w:style>
  <w:style w:type="paragraph" w:styleId="ListContinue5">
    <w:name w:val="List Continue 5"/>
    <w:basedOn w:val="Normal"/>
    <w:semiHidden/>
    <w:rsid w:val="00D7481B"/>
    <w:pPr>
      <w:spacing w:after="120"/>
      <w:ind w:left="1415"/>
    </w:pPr>
  </w:style>
  <w:style w:type="character" w:styleId="HTMLDefinition">
    <w:name w:val="HTML Definition"/>
    <w:semiHidden/>
    <w:rsid w:val="00D7481B"/>
    <w:rPr>
      <w:i/>
      <w:iCs/>
    </w:rPr>
  </w:style>
  <w:style w:type="paragraph" w:styleId="HTMLAddress">
    <w:name w:val="HTML Address"/>
    <w:basedOn w:val="Normal"/>
    <w:semiHidden/>
    <w:rsid w:val="00D7481B"/>
    <w:rPr>
      <w:i/>
      <w:iCs/>
    </w:rPr>
  </w:style>
  <w:style w:type="paragraph" w:styleId="EnvelopeAddress">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7481B"/>
    <w:rPr>
      <w:rFonts w:ascii="Courier New" w:hAnsi="Courier New" w:cs="Courier New"/>
    </w:rPr>
  </w:style>
  <w:style w:type="paragraph" w:styleId="MessageHeader">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D7481B"/>
  </w:style>
  <w:style w:type="character" w:styleId="Emphasis">
    <w:name w:val="Emphasis"/>
    <w:semiHidden/>
    <w:rsid w:val="00D7481B"/>
    <w:rPr>
      <w:i/>
      <w:iCs/>
    </w:rPr>
  </w:style>
  <w:style w:type="paragraph" w:styleId="Date">
    <w:name w:val="Date"/>
    <w:basedOn w:val="Normal"/>
    <w:next w:val="Normal"/>
    <w:semiHidden/>
    <w:rsid w:val="00D7481B"/>
  </w:style>
  <w:style w:type="paragraph" w:styleId="Signature">
    <w:name w:val="Signature"/>
    <w:basedOn w:val="Normal"/>
    <w:semiHidden/>
    <w:rsid w:val="00D7481B"/>
    <w:pPr>
      <w:ind w:left="4252"/>
    </w:pPr>
  </w:style>
  <w:style w:type="paragraph" w:styleId="E-mailSignature">
    <w:name w:val="E-mail Signature"/>
    <w:basedOn w:val="Normal"/>
    <w:semiHidden/>
    <w:rsid w:val="00D7481B"/>
  </w:style>
  <w:style w:type="character" w:styleId="Hyperlink">
    <w:name w:val="Hyperlink"/>
    <w:rsid w:val="00D7481B"/>
    <w:rPr>
      <w:color w:val="0000FF"/>
      <w:u w:val="none"/>
    </w:rPr>
  </w:style>
  <w:style w:type="character" w:styleId="FollowedHyperlink">
    <w:name w:val="FollowedHyperlink"/>
    <w:rsid w:val="00D7481B"/>
    <w:rPr>
      <w:color w:val="0000FF"/>
      <w:u w:val="none"/>
    </w:rPr>
  </w:style>
  <w:style w:type="paragraph" w:styleId="HTMLPreformatted">
    <w:name w:val="HTML Preformatted"/>
    <w:basedOn w:val="Normal"/>
    <w:semiHidden/>
    <w:rsid w:val="00D7481B"/>
    <w:rPr>
      <w:rFonts w:ascii="Courier New" w:hAnsi="Courier New" w:cs="Courier New"/>
    </w:rPr>
  </w:style>
  <w:style w:type="paragraph" w:styleId="List">
    <w:name w:val="List"/>
    <w:basedOn w:val="Normal"/>
    <w:semiHidden/>
    <w:rsid w:val="00D7481B"/>
    <w:pPr>
      <w:ind w:left="283" w:hanging="283"/>
    </w:pPr>
  </w:style>
  <w:style w:type="paragraph" w:styleId="List2">
    <w:name w:val="List 2"/>
    <w:basedOn w:val="Normal"/>
    <w:semiHidden/>
    <w:rsid w:val="00D7481B"/>
    <w:pPr>
      <w:ind w:left="566" w:hanging="283"/>
    </w:pPr>
  </w:style>
  <w:style w:type="paragraph" w:styleId="List3">
    <w:name w:val="List 3"/>
    <w:basedOn w:val="Normal"/>
    <w:semiHidden/>
    <w:rsid w:val="00D7481B"/>
    <w:pPr>
      <w:ind w:left="849" w:hanging="283"/>
    </w:pPr>
  </w:style>
  <w:style w:type="paragraph" w:styleId="List4">
    <w:name w:val="List 4"/>
    <w:basedOn w:val="Normal"/>
    <w:semiHidden/>
    <w:rsid w:val="00D7481B"/>
    <w:pPr>
      <w:ind w:left="1132" w:hanging="283"/>
    </w:pPr>
  </w:style>
  <w:style w:type="paragraph" w:styleId="List5">
    <w:name w:val="List 5"/>
    <w:basedOn w:val="Normal"/>
    <w:semiHidden/>
    <w:rsid w:val="00D7481B"/>
    <w:pPr>
      <w:ind w:left="1415" w:hanging="283"/>
    </w:pPr>
  </w:style>
  <w:style w:type="paragraph" w:styleId="ListNumber">
    <w:name w:val="List Number"/>
    <w:basedOn w:val="Normal"/>
    <w:semiHidden/>
    <w:rsid w:val="00D7481B"/>
    <w:pPr>
      <w:numPr>
        <w:numId w:val="42"/>
      </w:numPr>
    </w:pPr>
  </w:style>
  <w:style w:type="paragraph" w:styleId="ListNumber2">
    <w:name w:val="List Number 2"/>
    <w:basedOn w:val="Normal"/>
    <w:semiHidden/>
    <w:rsid w:val="00D7481B"/>
    <w:pPr>
      <w:numPr>
        <w:numId w:val="43"/>
      </w:numPr>
    </w:pPr>
  </w:style>
  <w:style w:type="paragraph" w:styleId="ListNumber3">
    <w:name w:val="List Number 3"/>
    <w:basedOn w:val="Normal"/>
    <w:semiHidden/>
    <w:rsid w:val="00D7481B"/>
    <w:pPr>
      <w:numPr>
        <w:numId w:val="44"/>
      </w:numPr>
    </w:pPr>
  </w:style>
  <w:style w:type="paragraph" w:styleId="ListNumber4">
    <w:name w:val="List Number 4"/>
    <w:basedOn w:val="Normal"/>
    <w:semiHidden/>
    <w:rsid w:val="00D7481B"/>
    <w:pPr>
      <w:numPr>
        <w:numId w:val="45"/>
      </w:numPr>
    </w:pPr>
  </w:style>
  <w:style w:type="paragraph" w:styleId="ListNumber5">
    <w:name w:val="List Number 5"/>
    <w:basedOn w:val="Normal"/>
    <w:semiHidden/>
    <w:rsid w:val="00D7481B"/>
    <w:pPr>
      <w:numPr>
        <w:numId w:val="46"/>
      </w:numPr>
    </w:pPr>
  </w:style>
  <w:style w:type="paragraph" w:styleId="ListBullet">
    <w:name w:val="List Bullet"/>
    <w:basedOn w:val="Normal"/>
    <w:semiHidden/>
    <w:rsid w:val="00D7481B"/>
    <w:pPr>
      <w:numPr>
        <w:numId w:val="37"/>
      </w:numPr>
    </w:pPr>
  </w:style>
  <w:style w:type="paragraph" w:styleId="ListBullet2">
    <w:name w:val="List Bullet 2"/>
    <w:basedOn w:val="Normal"/>
    <w:semiHidden/>
    <w:rsid w:val="00D7481B"/>
    <w:pPr>
      <w:numPr>
        <w:numId w:val="38"/>
      </w:numPr>
    </w:pPr>
  </w:style>
  <w:style w:type="paragraph" w:styleId="ListBullet3">
    <w:name w:val="List Bullet 3"/>
    <w:basedOn w:val="Normal"/>
    <w:semiHidden/>
    <w:rsid w:val="00D7481B"/>
    <w:pPr>
      <w:numPr>
        <w:numId w:val="39"/>
      </w:numPr>
    </w:pPr>
  </w:style>
  <w:style w:type="paragraph" w:styleId="ListBullet4">
    <w:name w:val="List Bullet 4"/>
    <w:basedOn w:val="Normal"/>
    <w:semiHidden/>
    <w:rsid w:val="00D7481B"/>
    <w:pPr>
      <w:numPr>
        <w:numId w:val="40"/>
      </w:numPr>
    </w:pPr>
  </w:style>
  <w:style w:type="paragraph" w:styleId="ListBullet5">
    <w:name w:val="List Bullet 5"/>
    <w:basedOn w:val="Normal"/>
    <w:semiHidden/>
    <w:rsid w:val="00D7481B"/>
    <w:pPr>
      <w:numPr>
        <w:numId w:val="41"/>
      </w:numPr>
    </w:pPr>
  </w:style>
  <w:style w:type="character" w:styleId="HTMLTypewriter">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LineNumber">
    <w:name w:val="line number"/>
    <w:basedOn w:val="DefaultParagraphFont"/>
    <w:semiHidden/>
    <w:rsid w:val="00D7481B"/>
  </w:style>
  <w:style w:type="character" w:styleId="PageNumber">
    <w:name w:val="page number"/>
    <w:aliases w:val="7_G"/>
    <w:qFormat/>
    <w:rsid w:val="00D7481B"/>
    <w:rPr>
      <w:b/>
      <w:sz w:val="18"/>
    </w:rPr>
  </w:style>
  <w:style w:type="character" w:styleId="EndnoteReference">
    <w:name w:val="endnote reference"/>
    <w:aliases w:val="1_G"/>
    <w:qFormat/>
    <w:rsid w:val="00D7481B"/>
    <w:rPr>
      <w:rFonts w:ascii="Times New Roman" w:hAnsi="Times New Roman"/>
      <w:sz w:val="18"/>
      <w:vertAlign w:val="superscript"/>
    </w:rPr>
  </w:style>
  <w:style w:type="paragraph" w:styleId="EnvelopeReturn">
    <w:name w:val="envelope return"/>
    <w:basedOn w:val="Normal"/>
    <w:semiHidden/>
    <w:rsid w:val="00D7481B"/>
    <w:rPr>
      <w:rFonts w:ascii="Arial" w:hAnsi="Arial" w:cs="Arial"/>
    </w:rPr>
  </w:style>
  <w:style w:type="paragraph" w:styleId="Salutation">
    <w:name w:val="Salutation"/>
    <w:basedOn w:val="Normal"/>
    <w:next w:val="Normal"/>
    <w:semiHidden/>
    <w:rsid w:val="00D7481B"/>
  </w:style>
  <w:style w:type="paragraph" w:styleId="BodyTextIndent2">
    <w:name w:val="Body Text Indent 2"/>
    <w:basedOn w:val="Normal"/>
    <w:semiHidden/>
    <w:rsid w:val="00D7481B"/>
    <w:pPr>
      <w:spacing w:after="120" w:line="480" w:lineRule="auto"/>
      <w:ind w:left="283"/>
    </w:pPr>
  </w:style>
  <w:style w:type="paragraph" w:styleId="BodyTextIndent3">
    <w:name w:val="Body Text Indent 3"/>
    <w:basedOn w:val="Normal"/>
    <w:semiHidden/>
    <w:rsid w:val="00D7481B"/>
    <w:pPr>
      <w:spacing w:after="120"/>
      <w:ind w:left="283"/>
    </w:pPr>
    <w:rPr>
      <w:sz w:val="16"/>
      <w:szCs w:val="16"/>
    </w:rPr>
  </w:style>
  <w:style w:type="paragraph" w:styleId="BodyTextIndent">
    <w:name w:val="Body Text Indent"/>
    <w:basedOn w:val="Normal"/>
    <w:semiHidden/>
    <w:rsid w:val="00D7481B"/>
    <w:pPr>
      <w:spacing w:after="120"/>
      <w:ind w:left="283"/>
    </w:pPr>
  </w:style>
  <w:style w:type="paragraph" w:styleId="NormalIndent">
    <w:name w:val="Normal Indent"/>
    <w:basedOn w:val="Normal"/>
    <w:semiHidden/>
    <w:rsid w:val="00D7481B"/>
    <w:pPr>
      <w:ind w:left="567"/>
    </w:pPr>
  </w:style>
  <w:style w:type="paragraph" w:styleId="Subtitle">
    <w:name w:val="Subtitle"/>
    <w:basedOn w:val="Normal"/>
    <w:semiHidden/>
    <w:rsid w:val="00D7481B"/>
    <w:pPr>
      <w:spacing w:after="60"/>
      <w:jc w:val="center"/>
      <w:outlineLvl w:val="1"/>
    </w:pPr>
    <w:rPr>
      <w:rFonts w:ascii="Arial" w:hAnsi="Arial" w:cs="Arial"/>
      <w:sz w:val="24"/>
      <w:szCs w:val="24"/>
    </w:rPr>
  </w:style>
  <w:style w:type="table" w:styleId="TableSimple1">
    <w:name w:val="Table Simple 1"/>
    <w:basedOn w:val="Table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7481B"/>
    <w:rPr>
      <w:rFonts w:ascii="Courier New" w:hAnsi="Courier New" w:cs="Courier New"/>
      <w:sz w:val="20"/>
      <w:szCs w:val="20"/>
    </w:rPr>
  </w:style>
  <w:style w:type="paragraph" w:styleId="BlockText">
    <w:name w:val="Block Text"/>
    <w:basedOn w:val="Normal"/>
    <w:semiHidden/>
    <w:rsid w:val="00D7481B"/>
    <w:pPr>
      <w:spacing w:after="120"/>
      <w:ind w:left="1440" w:right="1440"/>
    </w:pPr>
  </w:style>
  <w:style w:type="character" w:styleId="Strong">
    <w:name w:val="Strong"/>
    <w:semiHidden/>
    <w:rsid w:val="00D7481B"/>
    <w:rPr>
      <w:b/>
      <w:bCs/>
    </w:rPr>
  </w:style>
  <w:style w:type="paragraph" w:styleId="BodyText">
    <w:name w:val="Body Text"/>
    <w:basedOn w:val="Normal"/>
    <w:semiHidden/>
    <w:rsid w:val="00D7481B"/>
    <w:pPr>
      <w:spacing w:after="120"/>
    </w:pPr>
  </w:style>
  <w:style w:type="paragraph" w:styleId="BodyText2">
    <w:name w:val="Body Text 2"/>
    <w:basedOn w:val="Normal"/>
    <w:semiHidden/>
    <w:rsid w:val="00D7481B"/>
    <w:pPr>
      <w:spacing w:after="120" w:line="480" w:lineRule="auto"/>
    </w:pPr>
  </w:style>
  <w:style w:type="paragraph" w:styleId="BodyText3">
    <w:name w:val="Body Text 3"/>
    <w:basedOn w:val="Normal"/>
    <w:semiHidden/>
    <w:rsid w:val="00D7481B"/>
    <w:pPr>
      <w:spacing w:after="120"/>
    </w:pPr>
    <w:rPr>
      <w:sz w:val="16"/>
      <w:szCs w:val="16"/>
    </w:rPr>
  </w:style>
  <w:style w:type="paragraph" w:styleId="BodyTextFirstIndent">
    <w:name w:val="Body Text First Indent"/>
    <w:basedOn w:val="BodyText"/>
    <w:semiHidden/>
    <w:rsid w:val="00D7481B"/>
    <w:pPr>
      <w:ind w:firstLine="210"/>
    </w:pPr>
  </w:style>
  <w:style w:type="paragraph" w:styleId="BodyTextFirstIndent2">
    <w:name w:val="Body Text First Indent 2"/>
    <w:basedOn w:val="BodyTextIndent"/>
    <w:semiHidden/>
    <w:rsid w:val="00D7481B"/>
    <w:pPr>
      <w:ind w:firstLine="210"/>
    </w:pPr>
  </w:style>
  <w:style w:type="paragraph" w:styleId="EndnoteText">
    <w:name w:val="endnote text"/>
    <w:aliases w:val="2_G"/>
    <w:basedOn w:val="FootnoteText"/>
    <w:qFormat/>
    <w:rsid w:val="00D7481B"/>
  </w:style>
  <w:style w:type="paragraph" w:styleId="PlainText">
    <w:name w:val="Plain Text"/>
    <w:basedOn w:val="Normal"/>
    <w:semiHidden/>
    <w:rsid w:val="00D7481B"/>
    <w:rPr>
      <w:rFonts w:ascii="Courier New" w:hAnsi="Courier New" w:cs="Courier New"/>
    </w:rPr>
  </w:style>
  <w:style w:type="paragraph" w:styleId="Title">
    <w:name w:val="Title"/>
    <w:basedOn w:val="Normal"/>
    <w:semiHidden/>
    <w:rsid w:val="00D7481B"/>
    <w:pPr>
      <w:spacing w:before="240" w:after="60"/>
      <w:jc w:val="center"/>
      <w:outlineLvl w:val="0"/>
    </w:pPr>
    <w:rPr>
      <w:rFonts w:ascii="Arial" w:hAnsi="Arial" w:cs="Arial"/>
      <w:b/>
      <w:bCs/>
      <w:kern w:val="28"/>
      <w:sz w:val="32"/>
      <w:szCs w:val="32"/>
    </w:rPr>
  </w:style>
  <w:style w:type="character" w:styleId="HTMLVariable">
    <w:name w:val="HTML Variable"/>
    <w:semiHidden/>
    <w:rsid w:val="00D7481B"/>
    <w:rPr>
      <w:i/>
      <w:iCs/>
    </w:rPr>
  </w:style>
  <w:style w:type="paragraph" w:customStyle="1" w:styleId="Bullet1G">
    <w:name w:val="_Bullet 1_G"/>
    <w:basedOn w:val="Normal"/>
    <w:qFormat/>
    <w:rsid w:val="00D7481B"/>
    <w:pPr>
      <w:numPr>
        <w:numId w:val="32"/>
      </w:numPr>
      <w:spacing w:after="120"/>
      <w:ind w:right="1134"/>
      <w:jc w:val="both"/>
    </w:pPr>
    <w:rPr>
      <w:lang w:eastAsia="en-US"/>
    </w:rPr>
  </w:style>
  <w:style w:type="paragraph" w:customStyle="1" w:styleId="Bullet2G">
    <w:name w:val="_Bullet 2_G"/>
    <w:basedOn w:val="Normal"/>
    <w:qFormat/>
    <w:rsid w:val="00D7481B"/>
    <w:pPr>
      <w:numPr>
        <w:numId w:val="33"/>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D7481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D7481B"/>
    <w:rPr>
      <w:rFonts w:eastAsiaTheme="minorEastAsia"/>
      <w:b/>
      <w:bCs/>
      <w:i/>
      <w:iCs/>
      <w:color w:val="4F81BD"/>
      <w:lang w:val="es-ES" w:eastAsia="es-ES"/>
    </w:rPr>
  </w:style>
  <w:style w:type="character" w:styleId="IntenseEmphasis">
    <w:name w:val="Intense Emphasis"/>
    <w:uiPriority w:val="21"/>
    <w:semiHidden/>
    <w:rsid w:val="00D7481B"/>
    <w:rPr>
      <w:b/>
      <w:bCs/>
      <w:i/>
      <w:iCs/>
      <w:color w:val="4F81BD"/>
    </w:rPr>
  </w:style>
  <w:style w:type="character" w:customStyle="1" w:styleId="Heading1Char">
    <w:name w:val="Heading 1 Char"/>
    <w:aliases w:val="Cuadro_G Char"/>
    <w:basedOn w:val="DefaultParagraphFont"/>
    <w:link w:val="Heading1"/>
    <w:rsid w:val="00D7481B"/>
    <w:rPr>
      <w:rFonts w:eastAsiaTheme="minorEastAsia"/>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styleId="CommentReference">
    <w:name w:val="annotation reference"/>
    <w:basedOn w:val="DefaultParagraphFont"/>
    <w:semiHidden/>
    <w:unhideWhenUsed/>
    <w:rsid w:val="008247CB"/>
    <w:rPr>
      <w:sz w:val="16"/>
      <w:szCs w:val="16"/>
    </w:rPr>
  </w:style>
  <w:style w:type="paragraph" w:styleId="CommentText">
    <w:name w:val="annotation text"/>
    <w:basedOn w:val="Normal"/>
    <w:link w:val="CommentTextChar"/>
    <w:semiHidden/>
    <w:unhideWhenUsed/>
    <w:rsid w:val="008247CB"/>
    <w:pPr>
      <w:spacing w:line="240" w:lineRule="auto"/>
    </w:pPr>
  </w:style>
  <w:style w:type="character" w:customStyle="1" w:styleId="CommentTextChar">
    <w:name w:val="Comment Text Char"/>
    <w:basedOn w:val="DefaultParagraphFont"/>
    <w:link w:val="CommentText"/>
    <w:semiHidden/>
    <w:rsid w:val="008247CB"/>
    <w:rPr>
      <w:rFonts w:eastAsiaTheme="minorEastAsia"/>
      <w:lang w:val="es-ES" w:eastAsia="es-ES"/>
    </w:rPr>
  </w:style>
  <w:style w:type="paragraph" w:styleId="CommentSubject">
    <w:name w:val="annotation subject"/>
    <w:basedOn w:val="CommentText"/>
    <w:next w:val="CommentText"/>
    <w:link w:val="CommentSubjectChar"/>
    <w:semiHidden/>
    <w:unhideWhenUsed/>
    <w:rsid w:val="008247CB"/>
    <w:rPr>
      <w:b/>
      <w:bCs/>
    </w:rPr>
  </w:style>
  <w:style w:type="character" w:customStyle="1" w:styleId="CommentSubjectChar">
    <w:name w:val="Comment Subject Char"/>
    <w:basedOn w:val="CommentTextChar"/>
    <w:link w:val="CommentSubject"/>
    <w:semiHidden/>
    <w:rsid w:val="008247CB"/>
    <w:rPr>
      <w:rFonts w:eastAsiaTheme="minorEastAsia"/>
      <w:b/>
      <w:bCs/>
      <w:lang w:val="es-ES" w:eastAsia="es-ES"/>
    </w:rPr>
  </w:style>
  <w:style w:type="character" w:customStyle="1" w:styleId="tlid-translation">
    <w:name w:val="tlid-translation"/>
    <w:basedOn w:val="DefaultParagraphFont"/>
    <w:rsid w:val="001A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80975">
      <w:bodyDiv w:val="1"/>
      <w:marLeft w:val="0"/>
      <w:marRight w:val="0"/>
      <w:marTop w:val="0"/>
      <w:marBottom w:val="0"/>
      <w:divBdr>
        <w:top w:val="none" w:sz="0" w:space="0" w:color="auto"/>
        <w:left w:val="none" w:sz="0" w:space="0" w:color="auto"/>
        <w:bottom w:val="none" w:sz="0" w:space="0" w:color="auto"/>
        <w:right w:val="none" w:sz="0" w:space="0" w:color="auto"/>
      </w:divBdr>
      <w:divsChild>
        <w:div w:id="2008054156">
          <w:marLeft w:val="0"/>
          <w:marRight w:val="0"/>
          <w:marTop w:val="0"/>
          <w:marBottom w:val="0"/>
          <w:divBdr>
            <w:top w:val="none" w:sz="0" w:space="0" w:color="auto"/>
            <w:left w:val="none" w:sz="0" w:space="0" w:color="auto"/>
            <w:bottom w:val="none" w:sz="0" w:space="0" w:color="auto"/>
            <w:right w:val="none" w:sz="0" w:space="0" w:color="auto"/>
          </w:divBdr>
          <w:divsChild>
            <w:div w:id="99688787">
              <w:marLeft w:val="0"/>
              <w:marRight w:val="0"/>
              <w:marTop w:val="0"/>
              <w:marBottom w:val="0"/>
              <w:divBdr>
                <w:top w:val="none" w:sz="0" w:space="0" w:color="auto"/>
                <w:left w:val="none" w:sz="0" w:space="0" w:color="auto"/>
                <w:bottom w:val="none" w:sz="0" w:space="0" w:color="auto"/>
                <w:right w:val="none" w:sz="0" w:space="0" w:color="auto"/>
              </w:divBdr>
              <w:divsChild>
                <w:div w:id="598218170">
                  <w:marLeft w:val="0"/>
                  <w:marRight w:val="0"/>
                  <w:marTop w:val="0"/>
                  <w:marBottom w:val="0"/>
                  <w:divBdr>
                    <w:top w:val="none" w:sz="0" w:space="0" w:color="auto"/>
                    <w:left w:val="none" w:sz="0" w:space="0" w:color="auto"/>
                    <w:bottom w:val="none" w:sz="0" w:space="0" w:color="auto"/>
                    <w:right w:val="none" w:sz="0" w:space="0" w:color="auto"/>
                  </w:divBdr>
                  <w:divsChild>
                    <w:div w:id="268239950">
                      <w:marLeft w:val="0"/>
                      <w:marRight w:val="0"/>
                      <w:marTop w:val="0"/>
                      <w:marBottom w:val="0"/>
                      <w:divBdr>
                        <w:top w:val="none" w:sz="0" w:space="0" w:color="auto"/>
                        <w:left w:val="none" w:sz="0" w:space="0" w:color="auto"/>
                        <w:bottom w:val="none" w:sz="0" w:space="0" w:color="auto"/>
                        <w:right w:val="none" w:sz="0" w:space="0" w:color="auto"/>
                      </w:divBdr>
                      <w:divsChild>
                        <w:div w:id="461002295">
                          <w:marLeft w:val="0"/>
                          <w:marRight w:val="0"/>
                          <w:marTop w:val="0"/>
                          <w:marBottom w:val="0"/>
                          <w:divBdr>
                            <w:top w:val="none" w:sz="0" w:space="0" w:color="auto"/>
                            <w:left w:val="none" w:sz="0" w:space="0" w:color="auto"/>
                            <w:bottom w:val="none" w:sz="0" w:space="0" w:color="auto"/>
                            <w:right w:val="none" w:sz="0" w:space="0" w:color="auto"/>
                          </w:divBdr>
                          <w:divsChild>
                            <w:div w:id="1641494749">
                              <w:marLeft w:val="0"/>
                              <w:marRight w:val="0"/>
                              <w:marTop w:val="0"/>
                              <w:marBottom w:val="0"/>
                              <w:divBdr>
                                <w:top w:val="none" w:sz="0" w:space="0" w:color="auto"/>
                                <w:left w:val="none" w:sz="0" w:space="0" w:color="auto"/>
                                <w:bottom w:val="none" w:sz="0" w:space="0" w:color="auto"/>
                                <w:right w:val="none" w:sz="0" w:space="0" w:color="auto"/>
                              </w:divBdr>
                              <w:divsChild>
                                <w:div w:id="229074697">
                                  <w:marLeft w:val="0"/>
                                  <w:marRight w:val="0"/>
                                  <w:marTop w:val="0"/>
                                  <w:marBottom w:val="0"/>
                                  <w:divBdr>
                                    <w:top w:val="none" w:sz="0" w:space="0" w:color="auto"/>
                                    <w:left w:val="none" w:sz="0" w:space="0" w:color="auto"/>
                                    <w:bottom w:val="none" w:sz="0" w:space="0" w:color="auto"/>
                                    <w:right w:val="none" w:sz="0" w:space="0" w:color="auto"/>
                                  </w:divBdr>
                                  <w:divsChild>
                                    <w:div w:id="1813206286">
                                      <w:marLeft w:val="0"/>
                                      <w:marRight w:val="0"/>
                                      <w:marTop w:val="0"/>
                                      <w:marBottom w:val="0"/>
                                      <w:divBdr>
                                        <w:top w:val="none" w:sz="0" w:space="0" w:color="auto"/>
                                        <w:left w:val="none" w:sz="0" w:space="0" w:color="auto"/>
                                        <w:bottom w:val="none" w:sz="0" w:space="0" w:color="auto"/>
                                        <w:right w:val="none" w:sz="0" w:space="0" w:color="auto"/>
                                      </w:divBdr>
                                      <w:divsChild>
                                        <w:div w:id="1899632518">
                                          <w:marLeft w:val="0"/>
                                          <w:marRight w:val="0"/>
                                          <w:marTop w:val="0"/>
                                          <w:marBottom w:val="495"/>
                                          <w:divBdr>
                                            <w:top w:val="none" w:sz="0" w:space="0" w:color="auto"/>
                                            <w:left w:val="none" w:sz="0" w:space="0" w:color="auto"/>
                                            <w:bottom w:val="none" w:sz="0" w:space="0" w:color="auto"/>
                                            <w:right w:val="none" w:sz="0" w:space="0" w:color="auto"/>
                                          </w:divBdr>
                                          <w:divsChild>
                                            <w:div w:id="11323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F7AEB-B1C0-4380-970A-5DDF31D2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6352</Characters>
  <Application>Microsoft Office Word</Application>
  <DocSecurity>0</DocSecurity>
  <Lines>52</Lines>
  <Paragraphs>14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CERD/C/SLV/Q/18-19</vt:lpstr>
      <vt:lpstr>CERD/C/SLV/Q/18-19</vt:lpstr>
      <vt:lpstr>CAT/C/XXX/Y</vt:lpstr>
    </vt:vector>
  </TitlesOfParts>
  <Company>DCM</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CERD/C/SLV/Q/18-19</dc:title>
  <dc:subject/>
  <dc:creator>Maria Luisa Zeballos Moreno</dc:creator>
  <cp:keywords/>
  <dc:description/>
  <cp:lastModifiedBy>Maria Luisa Zeballos Moreno</cp:lastModifiedBy>
  <cp:revision>3</cp:revision>
  <cp:lastPrinted>2019-06-18T08:21:00Z</cp:lastPrinted>
  <dcterms:created xsi:type="dcterms:W3CDTF">2019-06-18T08:21:00Z</dcterms:created>
  <dcterms:modified xsi:type="dcterms:W3CDTF">2019-06-18T08:21:00Z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C/SLV/Q/18-19</vt:lpwstr>
  </property>
  <property fmtid="{D5CDD505-2E9C-101B-9397-08002B2CF9AE}" pid="4" name="symh">
    <vt:lpwstr>CERD/C/SLV/Q/18-19</vt:lpwstr>
  </property>
  <property fmtid="{D5CDD505-2E9C-101B-9397-08002B2CF9AE}" pid="5" name="dist">
    <vt:lpwstr>general</vt:lpwstr>
  </property>
  <property fmtid="{D5CDD505-2E9C-101B-9397-08002B2CF9AE}" pid="6" name="date">
    <vt:lpwstr>8 de mayo de 2019</vt:lpwstr>
  </property>
  <property fmtid="{D5CDD505-2E9C-101B-9397-08002B2CF9AE}" pid="7" name="sdate">
    <vt:lpwstr>5 a 29 de agosto de 2019</vt:lpwstr>
  </property>
  <property fmtid="{D5CDD505-2E9C-101B-9397-08002B2CF9AE}" pid="8" name="virs">
    <vt:lpwstr>Español, francés e inglés únicamente</vt:lpwstr>
  </property>
  <property fmtid="{D5CDD505-2E9C-101B-9397-08002B2CF9AE}" pid="9" name="snum">
    <vt:lpwstr>99ᵒ</vt:lpwstr>
  </property>
  <property fmtid="{D5CDD505-2E9C-101B-9397-08002B2CF9AE}" pid="10" name="anum">
    <vt:lpwstr>[NUMBER]</vt:lpwstr>
  </property>
  <property fmtid="{D5CDD505-2E9C-101B-9397-08002B2CF9AE}" pid="11" name="count">
    <vt:lpwstr>de El Salvador</vt:lpwstr>
  </property>
  <property fmtid="{D5CDD505-2E9C-101B-9397-08002B2CF9AE}" pid="12" name="countw">
    <vt:lpwstr>El Salvador</vt:lpwstr>
  </property>
  <property fmtid="{D5CDD505-2E9C-101B-9397-08002B2CF9AE}" pid="13" name="countwd">
    <vt:lpwstr>El Salvador</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 los informes periódicos 18ᵒ y 19ᵒ combinados de El Salvador</vt:lpwstr>
  </property>
  <property fmtid="{D5CDD505-2E9C-101B-9397-08002B2CF9AE}" pid="20" name="preps">
    <vt:lpwstr>informes periódicos 18ᵒ y 19ᵒ combinados de El Salvador</vt:lpwstr>
  </property>
  <property fmtid="{D5CDD505-2E9C-101B-9397-08002B2CF9AE}" pid="21" name="prepw">
    <vt:lpwstr>a los informes periódicos 18ᵒ y 19ᵒ combinados</vt:lpwstr>
  </property>
  <property fmtid="{D5CDD505-2E9C-101B-9397-08002B2CF9AE}" pid="22" name="prepws">
    <vt:lpwstr>informes periódicos 18ᵒ y 19ᵒ combinados de El Salvador</vt:lpwstr>
  </property>
  <property fmtid="{D5CDD505-2E9C-101B-9397-08002B2CF9AE}" pid="23" name="prepwc">
    <vt:lpwstr>Informes periódicos 18ᵒ y 19ᵒ combinados </vt:lpwstr>
  </property>
  <property fmtid="{D5CDD505-2E9C-101B-9397-08002B2CF9AE}" pid="24" name="olang">
    <vt:lpwstr>español</vt:lpwstr>
  </property>
  <property fmtid="{D5CDD505-2E9C-101B-9397-08002B2CF9AE}" pid="25" name="Date-Generated">
    <vt:filetime>2019-05-08T08:24:05Z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List of themes</vt:lpwstr>
  </property>
  <property fmtid="{D5CDD505-2E9C-101B-9397-08002B2CF9AE}" pid="30" name="doctype">
    <vt:lpwstr>Final</vt:lpwstr>
  </property>
  <property fmtid="{D5CDD505-2E9C-101B-9397-08002B2CF9AE}" pid="31" name="category">
    <vt:lpwstr>CERD</vt:lpwstr>
  </property>
</Properties>
</file>