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14:paraId="61BBFB86" w14:textId="77777777" w:rsidTr="009D5F1A">
        <w:trPr>
          <w:trHeight w:hRule="exact" w:val="851"/>
        </w:trPr>
        <w:tc>
          <w:tcPr>
            <w:tcW w:w="1276" w:type="dxa"/>
            <w:tcBorders>
              <w:bottom w:val="single" w:sz="4" w:space="0" w:color="auto"/>
            </w:tcBorders>
          </w:tcPr>
          <w:p w14:paraId="561FE7FF" w14:textId="77777777" w:rsidR="00DC0149" w:rsidRPr="00DB58B5" w:rsidRDefault="00DC0149" w:rsidP="00C946B2"/>
        </w:tc>
        <w:tc>
          <w:tcPr>
            <w:tcW w:w="2268" w:type="dxa"/>
            <w:tcBorders>
              <w:bottom w:val="single" w:sz="4" w:space="0" w:color="auto"/>
            </w:tcBorders>
            <w:vAlign w:val="bottom"/>
          </w:tcPr>
          <w:p w14:paraId="211403CC" w14:textId="77777777"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7E25AA4" w14:textId="77777777" w:rsidR="00DC0149" w:rsidRPr="00DB58B5" w:rsidRDefault="00C946B2" w:rsidP="00C946B2">
            <w:pPr>
              <w:jc w:val="right"/>
            </w:pPr>
            <w:r w:rsidRPr="00C946B2">
              <w:rPr>
                <w:sz w:val="40"/>
              </w:rPr>
              <w:t>CERD</w:t>
            </w:r>
            <w:r>
              <w:t>/C/SLV/CO/18-19</w:t>
            </w:r>
          </w:p>
        </w:tc>
      </w:tr>
      <w:tr w:rsidR="00DC0149" w:rsidRPr="00DB58B5" w14:paraId="523C3804" w14:textId="77777777" w:rsidTr="009D5F1A">
        <w:trPr>
          <w:trHeight w:hRule="exact" w:val="2835"/>
        </w:trPr>
        <w:tc>
          <w:tcPr>
            <w:tcW w:w="1276" w:type="dxa"/>
            <w:tcBorders>
              <w:top w:val="single" w:sz="4" w:space="0" w:color="auto"/>
              <w:bottom w:val="single" w:sz="12" w:space="0" w:color="auto"/>
            </w:tcBorders>
          </w:tcPr>
          <w:p w14:paraId="03AD3B7E" w14:textId="77777777" w:rsidR="00DC0149" w:rsidRPr="00DB58B5" w:rsidRDefault="00DC0149" w:rsidP="009D5F1A">
            <w:pPr>
              <w:spacing w:before="120"/>
              <w:jc w:val="center"/>
            </w:pPr>
            <w:r>
              <w:rPr>
                <w:noProof/>
                <w:lang w:eastAsia="fr-CH"/>
              </w:rPr>
              <w:drawing>
                <wp:inline distT="0" distB="0" distL="0" distR="0" wp14:anchorId="48F89925" wp14:editId="0417F05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7D01542" w14:textId="77777777"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w:t>
            </w:r>
            <w:r w:rsidR="004252BC">
              <w:rPr>
                <w:b/>
                <w:sz w:val="34"/>
                <w:szCs w:val="34"/>
              </w:rPr>
              <w:t>’</w:t>
            </w:r>
            <w:r>
              <w:rPr>
                <w:b/>
                <w:sz w:val="34"/>
                <w:szCs w:val="34"/>
              </w:rPr>
              <w:t>élimination de toutes les formes</w:t>
            </w:r>
            <w:r>
              <w:rPr>
                <w:b/>
                <w:sz w:val="34"/>
                <w:szCs w:val="34"/>
              </w:rPr>
              <w:br/>
              <w:t>de discrimination raciale</w:t>
            </w:r>
          </w:p>
        </w:tc>
        <w:tc>
          <w:tcPr>
            <w:tcW w:w="2835" w:type="dxa"/>
            <w:tcBorders>
              <w:top w:val="single" w:sz="4" w:space="0" w:color="auto"/>
              <w:bottom w:val="single" w:sz="12" w:space="0" w:color="auto"/>
            </w:tcBorders>
          </w:tcPr>
          <w:p w14:paraId="74CC5F90" w14:textId="77777777" w:rsidR="00DC0149" w:rsidRDefault="00C946B2" w:rsidP="009D5F1A">
            <w:pPr>
              <w:spacing w:before="240"/>
            </w:pPr>
            <w:proofErr w:type="spellStart"/>
            <w:r>
              <w:t>Distr</w:t>
            </w:r>
            <w:proofErr w:type="spellEnd"/>
            <w:r>
              <w:t>. générale</w:t>
            </w:r>
          </w:p>
          <w:p w14:paraId="5F7B084E" w14:textId="77777777" w:rsidR="00C946B2" w:rsidRDefault="00C946B2" w:rsidP="00C946B2">
            <w:pPr>
              <w:spacing w:line="240" w:lineRule="exact"/>
            </w:pPr>
            <w:r>
              <w:t>13 septembre 2019</w:t>
            </w:r>
          </w:p>
          <w:p w14:paraId="0DFA6EE2" w14:textId="77777777" w:rsidR="00C946B2" w:rsidRDefault="00C946B2" w:rsidP="00C946B2">
            <w:pPr>
              <w:spacing w:line="240" w:lineRule="exact"/>
            </w:pPr>
            <w:r>
              <w:t>Français</w:t>
            </w:r>
          </w:p>
          <w:p w14:paraId="5B7C7FB5" w14:textId="77777777" w:rsidR="00C946B2" w:rsidRPr="00DB58B5" w:rsidRDefault="00C946B2" w:rsidP="00C946B2">
            <w:pPr>
              <w:spacing w:line="240" w:lineRule="exact"/>
            </w:pPr>
            <w:r>
              <w:t>Original : espagnol</w:t>
            </w:r>
          </w:p>
        </w:tc>
      </w:tr>
    </w:tbl>
    <w:p w14:paraId="6B3DD58E" w14:textId="77777777" w:rsidR="00623CA8" w:rsidRDefault="00623CA8" w:rsidP="00623CA8">
      <w:pPr>
        <w:spacing w:before="120"/>
        <w:rPr>
          <w:b/>
          <w:sz w:val="24"/>
          <w:szCs w:val="24"/>
        </w:rPr>
      </w:pPr>
      <w:r w:rsidRPr="00C56102">
        <w:rPr>
          <w:b/>
          <w:sz w:val="24"/>
          <w:szCs w:val="24"/>
        </w:rPr>
        <w:t>Comité pour l</w:t>
      </w:r>
      <w:r w:rsidR="004252BC">
        <w:rPr>
          <w:b/>
          <w:sz w:val="24"/>
          <w:szCs w:val="24"/>
        </w:rPr>
        <w:t>’</w:t>
      </w:r>
      <w:r w:rsidRPr="00C56102">
        <w:rPr>
          <w:b/>
          <w:sz w:val="24"/>
          <w:szCs w:val="24"/>
        </w:rPr>
        <w:t>élimination de la discrimination raciale</w:t>
      </w:r>
    </w:p>
    <w:p w14:paraId="3E369C33" w14:textId="77777777" w:rsidR="00384AB0" w:rsidRPr="006956F0" w:rsidRDefault="00384AB0" w:rsidP="00384AB0">
      <w:pPr>
        <w:pStyle w:val="HChG"/>
        <w:rPr>
          <w:lang w:val="fr-FR"/>
        </w:rPr>
      </w:pPr>
      <w:r w:rsidRPr="006956F0">
        <w:rPr>
          <w:lang w:val="fr-FR"/>
        </w:rPr>
        <w:tab/>
      </w:r>
      <w:r w:rsidRPr="006956F0">
        <w:rPr>
          <w:lang w:val="fr-FR"/>
        </w:rPr>
        <w:tab/>
        <w:t>Observations finales concernant le rapport d</w:t>
      </w:r>
      <w:r w:rsidR="004252BC">
        <w:rPr>
          <w:lang w:val="fr-FR"/>
        </w:rPr>
        <w:t>’</w:t>
      </w:r>
      <w:r w:rsidRPr="006956F0">
        <w:rPr>
          <w:lang w:val="fr-FR"/>
        </w:rPr>
        <w:t>El Salvador valant dix-huitième et dix-neuvième rapports périodiques</w:t>
      </w:r>
      <w:r w:rsidRPr="00A45DC5">
        <w:rPr>
          <w:rStyle w:val="Appelnotedebasdep"/>
          <w:b w:val="0"/>
          <w:sz w:val="20"/>
          <w:szCs w:val="28"/>
          <w:vertAlign w:val="baseline"/>
        </w:rPr>
        <w:footnoteReference w:customMarkFollows="1" w:id="2"/>
        <w:t>*</w:t>
      </w:r>
    </w:p>
    <w:p w14:paraId="501334DB" w14:textId="77777777" w:rsidR="00384AB0" w:rsidRPr="00686FBA" w:rsidRDefault="00384AB0" w:rsidP="00384AB0">
      <w:pPr>
        <w:pStyle w:val="SingleTxtG"/>
        <w:rPr>
          <w:lang w:val="fr-FR"/>
        </w:rPr>
      </w:pPr>
      <w:r w:rsidRPr="00686FBA">
        <w:rPr>
          <w:lang w:val="fr-FR"/>
        </w:rPr>
        <w:t>1.</w:t>
      </w:r>
      <w:r w:rsidRPr="00686FBA">
        <w:rPr>
          <w:lang w:val="fr-FR"/>
        </w:rPr>
        <w:tab/>
      </w:r>
      <w:r w:rsidRPr="006956F0">
        <w:rPr>
          <w:lang w:val="fr-FR"/>
        </w:rPr>
        <w:t>Le Comité a examiné le rapport d</w:t>
      </w:r>
      <w:r w:rsidR="004252BC">
        <w:rPr>
          <w:lang w:val="fr-FR"/>
        </w:rPr>
        <w:t>’</w:t>
      </w:r>
      <w:r w:rsidRPr="006956F0">
        <w:rPr>
          <w:lang w:val="fr-FR"/>
        </w:rPr>
        <w:t>El Salvador valant dix-huitième et dix-neuvième rapports périodiques (CERD/C/SLV/18-19), à ses 2743</w:t>
      </w:r>
      <w:r w:rsidRPr="00686FBA">
        <w:rPr>
          <w:vertAlign w:val="superscript"/>
          <w:lang w:val="fr-FR"/>
        </w:rPr>
        <w:t>e</w:t>
      </w:r>
      <w:r w:rsidRPr="006956F0">
        <w:rPr>
          <w:lang w:val="fr-FR"/>
        </w:rPr>
        <w:t xml:space="preserve"> et</w:t>
      </w:r>
      <w:r>
        <w:rPr>
          <w:lang w:val="fr-FR"/>
        </w:rPr>
        <w:t xml:space="preserve"> 2744</w:t>
      </w:r>
      <w:r w:rsidRPr="00686FBA">
        <w:rPr>
          <w:vertAlign w:val="superscript"/>
          <w:lang w:val="fr-FR"/>
        </w:rPr>
        <w:t>e</w:t>
      </w:r>
      <w:r>
        <w:rPr>
          <w:lang w:val="fr-FR"/>
        </w:rPr>
        <w:t> séances (CERD/C/SR.2743 et 2744</w:t>
      </w:r>
      <w:r w:rsidRPr="00686FBA">
        <w:rPr>
          <w:lang w:val="fr-FR"/>
        </w:rPr>
        <w:t xml:space="preserve">), </w:t>
      </w:r>
      <w:r>
        <w:rPr>
          <w:lang w:val="fr-FR"/>
        </w:rPr>
        <w:t>les 7 et 8 août 2019. À sa 2762</w:t>
      </w:r>
      <w:r w:rsidRPr="0028025C">
        <w:rPr>
          <w:vertAlign w:val="superscript"/>
          <w:lang w:val="fr-FR"/>
        </w:rPr>
        <w:t>e</w:t>
      </w:r>
      <w:r>
        <w:rPr>
          <w:lang w:val="fr-FR"/>
        </w:rPr>
        <w:t> </w:t>
      </w:r>
      <w:r w:rsidRPr="00686FBA">
        <w:rPr>
          <w:lang w:val="fr-FR"/>
        </w:rPr>
        <w:t>séance, le 2</w:t>
      </w:r>
      <w:r>
        <w:rPr>
          <w:lang w:val="fr-FR"/>
        </w:rPr>
        <w:t>2 </w:t>
      </w:r>
      <w:r w:rsidRPr="00686FBA">
        <w:rPr>
          <w:lang w:val="fr-FR"/>
        </w:rPr>
        <w:t xml:space="preserve">août 2019, </w:t>
      </w:r>
      <w:r>
        <w:rPr>
          <w:lang w:val="fr-FR"/>
        </w:rPr>
        <w:t>le Comité</w:t>
      </w:r>
      <w:r w:rsidRPr="00686FBA">
        <w:rPr>
          <w:lang w:val="fr-FR"/>
        </w:rPr>
        <w:t xml:space="preserve"> a adopté les observations finales ci-après.</w:t>
      </w:r>
    </w:p>
    <w:p w14:paraId="0BDF97B8" w14:textId="77777777" w:rsidR="00384AB0" w:rsidRPr="006956F0" w:rsidRDefault="00384AB0" w:rsidP="00384AB0">
      <w:pPr>
        <w:pStyle w:val="H1G"/>
        <w:rPr>
          <w:lang w:val="fr-FR"/>
        </w:rPr>
      </w:pPr>
      <w:r>
        <w:rPr>
          <w:lang w:val="fr-FR"/>
        </w:rPr>
        <w:tab/>
      </w:r>
      <w:r w:rsidRPr="006956F0">
        <w:rPr>
          <w:lang w:val="fr-FR"/>
        </w:rPr>
        <w:t>A.</w:t>
      </w:r>
      <w:r w:rsidRPr="006956F0">
        <w:rPr>
          <w:lang w:val="fr-FR"/>
        </w:rPr>
        <w:tab/>
        <w:t>Introduction</w:t>
      </w:r>
    </w:p>
    <w:p w14:paraId="1BCC1F60" w14:textId="77777777" w:rsidR="00384AB0" w:rsidRPr="006956F0" w:rsidRDefault="00384AB0" w:rsidP="00384AB0">
      <w:pPr>
        <w:pStyle w:val="SingleTxtG"/>
        <w:rPr>
          <w:lang w:val="fr-FR"/>
        </w:rPr>
      </w:pPr>
      <w:r w:rsidRPr="006956F0">
        <w:rPr>
          <w:lang w:val="fr-FR"/>
        </w:rPr>
        <w:t>2.</w:t>
      </w:r>
      <w:r w:rsidRPr="006956F0">
        <w:rPr>
          <w:lang w:val="fr-FR"/>
        </w:rPr>
        <w:tab/>
        <w:t>Le Comité accueille avec satisfaction le rapport de l</w:t>
      </w:r>
      <w:r w:rsidR="004252BC">
        <w:rPr>
          <w:lang w:val="fr-FR"/>
        </w:rPr>
        <w:t>’</w:t>
      </w:r>
      <w:r w:rsidRPr="006956F0">
        <w:rPr>
          <w:lang w:val="fr-FR"/>
        </w:rPr>
        <w:t xml:space="preserve">État partie valant dix-huitième et dix-neuvième rapports périodiques. </w:t>
      </w:r>
      <w:r>
        <w:rPr>
          <w:lang w:val="fr-FR"/>
        </w:rPr>
        <w:t>Il</w:t>
      </w:r>
      <w:r w:rsidRPr="006956F0">
        <w:rPr>
          <w:lang w:val="fr-FR"/>
        </w:rPr>
        <w:t xml:space="preserve"> se félicite du dialogue ouvert qu</w:t>
      </w:r>
      <w:r w:rsidR="004252BC">
        <w:rPr>
          <w:lang w:val="fr-FR"/>
        </w:rPr>
        <w:t>’</w:t>
      </w:r>
      <w:r w:rsidRPr="006956F0">
        <w:rPr>
          <w:lang w:val="fr-FR"/>
        </w:rPr>
        <w:t>il a eu avec la délégation de l</w:t>
      </w:r>
      <w:r w:rsidR="004252BC">
        <w:rPr>
          <w:lang w:val="fr-FR"/>
        </w:rPr>
        <w:t>’</w:t>
      </w:r>
      <w:r w:rsidRPr="006956F0">
        <w:rPr>
          <w:lang w:val="fr-FR"/>
        </w:rPr>
        <w:t xml:space="preserve">État partie et de toutes les informations complémentaires portées à son attention. </w:t>
      </w:r>
    </w:p>
    <w:p w14:paraId="00DC5BD4" w14:textId="77777777" w:rsidR="00384AB0" w:rsidRPr="006956F0" w:rsidRDefault="00384AB0" w:rsidP="00384AB0">
      <w:pPr>
        <w:pStyle w:val="H1G"/>
        <w:rPr>
          <w:lang w:val="fr-FR"/>
        </w:rPr>
      </w:pPr>
      <w:r>
        <w:rPr>
          <w:lang w:val="fr-FR"/>
        </w:rPr>
        <w:tab/>
      </w:r>
      <w:r w:rsidRPr="006956F0">
        <w:rPr>
          <w:lang w:val="fr-FR"/>
        </w:rPr>
        <w:t>B.</w:t>
      </w:r>
      <w:r w:rsidRPr="006956F0">
        <w:rPr>
          <w:lang w:val="fr-FR"/>
        </w:rPr>
        <w:tab/>
        <w:t>Aspects positifs</w:t>
      </w:r>
    </w:p>
    <w:p w14:paraId="20BB7F1A" w14:textId="77777777" w:rsidR="00384AB0" w:rsidRPr="006956F0" w:rsidRDefault="00384AB0" w:rsidP="00384AB0">
      <w:pPr>
        <w:pStyle w:val="SingleTxtG"/>
        <w:rPr>
          <w:lang w:val="fr-FR"/>
        </w:rPr>
      </w:pPr>
      <w:r w:rsidRPr="006956F0">
        <w:rPr>
          <w:lang w:val="fr-FR"/>
        </w:rPr>
        <w:t>3.</w:t>
      </w:r>
      <w:r w:rsidRPr="006956F0">
        <w:rPr>
          <w:lang w:val="fr-FR"/>
        </w:rPr>
        <w:tab/>
        <w:t>Le Comité note avec satisfaction que l</w:t>
      </w:r>
      <w:r w:rsidR="004252BC">
        <w:rPr>
          <w:lang w:val="fr-FR"/>
        </w:rPr>
        <w:t>’</w:t>
      </w:r>
      <w:r w:rsidRPr="006956F0">
        <w:rPr>
          <w:lang w:val="fr-FR"/>
        </w:rPr>
        <w:t>État partie a ratifié le Protocole facultatif à la Convention relative aux droits de l</w:t>
      </w:r>
      <w:r w:rsidR="004252BC">
        <w:rPr>
          <w:lang w:val="fr-FR"/>
        </w:rPr>
        <w:t>’</w:t>
      </w:r>
      <w:r w:rsidRPr="006956F0">
        <w:rPr>
          <w:lang w:val="fr-FR"/>
        </w:rPr>
        <w:t>enfant établissant une procédure de présentation de communications, le 9</w:t>
      </w:r>
      <w:r>
        <w:rPr>
          <w:lang w:val="fr-FR"/>
        </w:rPr>
        <w:t> </w:t>
      </w:r>
      <w:r w:rsidRPr="006956F0">
        <w:rPr>
          <w:lang w:val="fr-FR"/>
        </w:rPr>
        <w:t>février 2015.</w:t>
      </w:r>
    </w:p>
    <w:p w14:paraId="5407CCEE" w14:textId="77777777" w:rsidR="00384AB0" w:rsidRPr="006956F0" w:rsidRDefault="00384AB0" w:rsidP="00384AB0">
      <w:pPr>
        <w:pStyle w:val="SingleTxtG"/>
        <w:rPr>
          <w:lang w:val="fr-FR"/>
        </w:rPr>
      </w:pPr>
      <w:r w:rsidRPr="006956F0">
        <w:rPr>
          <w:lang w:val="fr-FR"/>
        </w:rPr>
        <w:t>4.</w:t>
      </w:r>
      <w:r w:rsidRPr="006956F0">
        <w:rPr>
          <w:lang w:val="fr-FR"/>
        </w:rPr>
        <w:tab/>
        <w:t>Le Comité se félicite de la déclaration faite par l</w:t>
      </w:r>
      <w:r w:rsidR="004252BC">
        <w:rPr>
          <w:lang w:val="fr-FR"/>
        </w:rPr>
        <w:t>’</w:t>
      </w:r>
      <w:r w:rsidRPr="006956F0">
        <w:rPr>
          <w:lang w:val="fr-FR"/>
        </w:rPr>
        <w:t>État partie le 23</w:t>
      </w:r>
      <w:r>
        <w:rPr>
          <w:lang w:val="fr-FR"/>
        </w:rPr>
        <w:t> </w:t>
      </w:r>
      <w:r w:rsidRPr="006956F0">
        <w:rPr>
          <w:lang w:val="fr-FR"/>
        </w:rPr>
        <w:t>mars 2016, dans laquelle il reconnaît la compétence du Comité pour recevoir et examiner des communications émanant de particuliers conformément à l</w:t>
      </w:r>
      <w:r w:rsidR="004252BC">
        <w:rPr>
          <w:lang w:val="fr-FR"/>
        </w:rPr>
        <w:t>’</w:t>
      </w:r>
      <w:r w:rsidRPr="006956F0">
        <w:rPr>
          <w:lang w:val="fr-FR"/>
        </w:rPr>
        <w:t>article</w:t>
      </w:r>
      <w:r>
        <w:rPr>
          <w:lang w:val="fr-FR"/>
        </w:rPr>
        <w:t> </w:t>
      </w:r>
      <w:r w:rsidRPr="006956F0">
        <w:rPr>
          <w:lang w:val="fr-FR"/>
        </w:rPr>
        <w:t>14 de la Convention.</w:t>
      </w:r>
    </w:p>
    <w:p w14:paraId="4A4DAC8D" w14:textId="77777777" w:rsidR="00384AB0" w:rsidRPr="006956F0" w:rsidRDefault="00384AB0" w:rsidP="00384AB0">
      <w:pPr>
        <w:pStyle w:val="SingleTxtG"/>
        <w:rPr>
          <w:lang w:val="fr-FR"/>
        </w:rPr>
      </w:pPr>
      <w:r w:rsidRPr="006956F0">
        <w:rPr>
          <w:lang w:val="fr-FR"/>
        </w:rPr>
        <w:t>5.</w:t>
      </w:r>
      <w:r w:rsidRPr="006956F0">
        <w:rPr>
          <w:lang w:val="fr-FR"/>
        </w:rPr>
        <w:tab/>
        <w:t>Le Comité se félicite également de l</w:t>
      </w:r>
      <w:r w:rsidR="004252BC">
        <w:rPr>
          <w:lang w:val="fr-FR"/>
        </w:rPr>
        <w:t>’</w:t>
      </w:r>
      <w:r w:rsidRPr="006956F0">
        <w:rPr>
          <w:lang w:val="fr-FR"/>
        </w:rPr>
        <w:t>adoption en 2018 de la politique publique en faveur des peuples autochtones, de la politique nationale de santé en faveur des peuples autochtones et du Plan d</w:t>
      </w:r>
      <w:r w:rsidR="004252BC">
        <w:rPr>
          <w:lang w:val="fr-FR"/>
        </w:rPr>
        <w:t>’</w:t>
      </w:r>
      <w:r w:rsidRPr="006956F0">
        <w:rPr>
          <w:lang w:val="fr-FR"/>
        </w:rPr>
        <w:t>action national pour les peuples autochtones.</w:t>
      </w:r>
    </w:p>
    <w:p w14:paraId="20E1768A" w14:textId="77777777" w:rsidR="00384AB0" w:rsidRPr="006956F0" w:rsidRDefault="00384AB0" w:rsidP="00384AB0">
      <w:pPr>
        <w:pStyle w:val="H1G"/>
        <w:rPr>
          <w:lang w:val="fr-FR"/>
        </w:rPr>
      </w:pPr>
      <w:r>
        <w:rPr>
          <w:lang w:val="fr-FR"/>
        </w:rPr>
        <w:tab/>
      </w:r>
      <w:r w:rsidRPr="006956F0">
        <w:rPr>
          <w:lang w:val="fr-FR"/>
        </w:rPr>
        <w:t>C.</w:t>
      </w:r>
      <w:r w:rsidRPr="006956F0">
        <w:rPr>
          <w:lang w:val="fr-FR"/>
        </w:rPr>
        <w:tab/>
        <w:t>Préoccupations et recommandations</w:t>
      </w:r>
    </w:p>
    <w:p w14:paraId="048D5365" w14:textId="77777777" w:rsidR="00384AB0" w:rsidRPr="006956F0" w:rsidRDefault="00384AB0" w:rsidP="00384AB0">
      <w:pPr>
        <w:pStyle w:val="H23G"/>
        <w:rPr>
          <w:lang w:val="fr-FR"/>
        </w:rPr>
      </w:pPr>
      <w:r w:rsidRPr="006956F0">
        <w:rPr>
          <w:lang w:val="fr-FR"/>
        </w:rPr>
        <w:tab/>
      </w:r>
      <w:r w:rsidRPr="006956F0">
        <w:rPr>
          <w:lang w:val="fr-FR"/>
        </w:rPr>
        <w:tab/>
        <w:t>Données statistiques et recensement de la population</w:t>
      </w:r>
    </w:p>
    <w:p w14:paraId="3CC4F334" w14:textId="77777777" w:rsidR="00384AB0" w:rsidRPr="006956F0" w:rsidRDefault="00384AB0" w:rsidP="00384AB0">
      <w:pPr>
        <w:pStyle w:val="SingleTxtG"/>
        <w:rPr>
          <w:lang w:val="fr-FR"/>
        </w:rPr>
      </w:pPr>
      <w:r w:rsidRPr="006956F0">
        <w:rPr>
          <w:lang w:val="fr-FR"/>
        </w:rPr>
        <w:t>6.</w:t>
      </w:r>
      <w:r w:rsidRPr="006956F0">
        <w:rPr>
          <w:lang w:val="fr-FR"/>
        </w:rPr>
        <w:tab/>
        <w:t>Le Comité regrette l</w:t>
      </w:r>
      <w:r w:rsidR="004252BC">
        <w:rPr>
          <w:lang w:val="fr-FR"/>
        </w:rPr>
        <w:t>’</w:t>
      </w:r>
      <w:r w:rsidRPr="006956F0">
        <w:rPr>
          <w:lang w:val="fr-FR"/>
        </w:rPr>
        <w:t>absence de données statistiques ventilées par groupe ethnique, genre et âge sur la composition démographique de la population</w:t>
      </w:r>
      <w:r>
        <w:rPr>
          <w:lang w:val="fr-FR"/>
        </w:rPr>
        <w:t>, car celles-ci</w:t>
      </w:r>
      <w:r w:rsidRPr="006956F0">
        <w:rPr>
          <w:lang w:val="fr-FR"/>
        </w:rPr>
        <w:t xml:space="preserve"> </w:t>
      </w:r>
      <w:r>
        <w:rPr>
          <w:lang w:val="fr-FR"/>
        </w:rPr>
        <w:t>lui permettraient d</w:t>
      </w:r>
      <w:r w:rsidR="004252BC">
        <w:rPr>
          <w:lang w:val="fr-FR"/>
        </w:rPr>
        <w:t>’</w:t>
      </w:r>
      <w:r w:rsidRPr="006956F0">
        <w:rPr>
          <w:lang w:val="fr-FR"/>
        </w:rPr>
        <w:t>évaluer l</w:t>
      </w:r>
      <w:r w:rsidR="004252BC">
        <w:rPr>
          <w:lang w:val="fr-FR"/>
        </w:rPr>
        <w:t>’</w:t>
      </w:r>
      <w:r w:rsidRPr="006956F0">
        <w:rPr>
          <w:lang w:val="fr-FR"/>
        </w:rPr>
        <w:t>application de la Convention et des politiques publiques visant les groupes victimes de discrimination raciale, en particulier les peuples autochtones, les personnes d</w:t>
      </w:r>
      <w:r w:rsidR="004252BC">
        <w:rPr>
          <w:lang w:val="fr-FR"/>
        </w:rPr>
        <w:t>’</w:t>
      </w:r>
      <w:r w:rsidRPr="006956F0">
        <w:rPr>
          <w:lang w:val="fr-FR"/>
        </w:rPr>
        <w:t>ascendance africaine et les migrants, les réfugiés, les demandeurs d</w:t>
      </w:r>
      <w:r w:rsidR="004252BC">
        <w:rPr>
          <w:lang w:val="fr-FR"/>
        </w:rPr>
        <w:t>’</w:t>
      </w:r>
      <w:r w:rsidRPr="006956F0">
        <w:rPr>
          <w:lang w:val="fr-FR"/>
        </w:rPr>
        <w:t>asile</w:t>
      </w:r>
      <w:r>
        <w:rPr>
          <w:lang w:val="fr-FR"/>
        </w:rPr>
        <w:t>,</w:t>
      </w:r>
      <w:r w:rsidRPr="006956F0">
        <w:rPr>
          <w:lang w:val="fr-FR"/>
        </w:rPr>
        <w:t xml:space="preserve"> les personnes déplacées dans le pays</w:t>
      </w:r>
      <w:r>
        <w:rPr>
          <w:lang w:val="fr-FR"/>
        </w:rPr>
        <w:t xml:space="preserve">, les apatrides et </w:t>
      </w:r>
      <w:r w:rsidRPr="002655B1">
        <w:rPr>
          <w:lang w:val="fr-FR"/>
        </w:rPr>
        <w:t>autres non-nationaux</w:t>
      </w:r>
      <w:r w:rsidRPr="006956F0">
        <w:rPr>
          <w:lang w:val="fr-FR"/>
        </w:rPr>
        <w:t xml:space="preserve"> (art.</w:t>
      </w:r>
      <w:r>
        <w:rPr>
          <w:lang w:val="fr-FR"/>
        </w:rPr>
        <w:t> </w:t>
      </w:r>
      <w:r w:rsidRPr="006956F0">
        <w:rPr>
          <w:lang w:val="fr-FR"/>
        </w:rPr>
        <w:t>2).</w:t>
      </w:r>
    </w:p>
    <w:p w14:paraId="6AB2DD7E" w14:textId="77777777" w:rsidR="00384AB0" w:rsidRPr="006956F0" w:rsidRDefault="00384AB0" w:rsidP="00384AB0">
      <w:pPr>
        <w:pStyle w:val="SingleTxtG"/>
        <w:keepNext/>
        <w:rPr>
          <w:b/>
          <w:lang w:val="fr-FR"/>
        </w:rPr>
      </w:pPr>
      <w:r w:rsidRPr="006956F0">
        <w:rPr>
          <w:lang w:val="fr-FR"/>
        </w:rPr>
        <w:lastRenderedPageBreak/>
        <w:t>7.</w:t>
      </w:r>
      <w:r w:rsidRPr="006956F0">
        <w:rPr>
          <w:lang w:val="fr-FR"/>
        </w:rPr>
        <w:tab/>
      </w:r>
      <w:r w:rsidRPr="006956F0">
        <w:rPr>
          <w:b/>
          <w:bCs/>
          <w:lang w:val="fr-FR"/>
        </w:rPr>
        <w:t>À la lumière de sa recommandation précéd</w:t>
      </w:r>
      <w:r>
        <w:rPr>
          <w:b/>
          <w:bCs/>
          <w:lang w:val="fr-FR"/>
        </w:rPr>
        <w:t>ente (CERD/C/SLV/CO/16-17, par.</w:t>
      </w:r>
      <w:r>
        <w:rPr>
          <w:lang w:val="fr-FR"/>
        </w:rPr>
        <w:t> </w:t>
      </w:r>
      <w:r w:rsidRPr="006956F0">
        <w:rPr>
          <w:b/>
          <w:bCs/>
          <w:lang w:val="fr-FR"/>
        </w:rPr>
        <w:t xml:space="preserve">9) et de sa recommandation générale </w:t>
      </w:r>
      <w:r w:rsidRPr="00E725D8">
        <w:rPr>
          <w:rFonts w:eastAsia="MS Mincho"/>
          <w:b/>
          <w:bCs/>
          <w:lang w:val="fr-FR"/>
        </w:rPr>
        <w:t>n</w:t>
      </w:r>
      <w:r w:rsidRPr="00E725D8">
        <w:rPr>
          <w:rFonts w:eastAsia="MS Mincho"/>
          <w:b/>
          <w:bCs/>
          <w:vertAlign w:val="superscript"/>
          <w:lang w:val="fr-FR"/>
        </w:rPr>
        <w:t>o</w:t>
      </w:r>
      <w:r>
        <w:rPr>
          <w:lang w:val="fr-FR"/>
        </w:rPr>
        <w:t> </w:t>
      </w:r>
      <w:r w:rsidRPr="006956F0">
        <w:rPr>
          <w:b/>
          <w:bCs/>
          <w:lang w:val="fr-FR"/>
        </w:rPr>
        <w:t>4 (1973) sur les rapports des États parties, le Comité engage instamment l</w:t>
      </w:r>
      <w:r w:rsidR="004252BC">
        <w:rPr>
          <w:b/>
          <w:bCs/>
          <w:lang w:val="fr-FR"/>
        </w:rPr>
        <w:t>’</w:t>
      </w:r>
      <w:r w:rsidRPr="006956F0">
        <w:rPr>
          <w:b/>
          <w:bCs/>
          <w:lang w:val="fr-FR"/>
        </w:rPr>
        <w:t>État partie, en ce qui concerne la composition démographique de la population, à prendre des mesures pour</w:t>
      </w:r>
      <w:r>
        <w:rPr>
          <w:b/>
          <w:bCs/>
          <w:lang w:val="fr-FR"/>
        </w:rPr>
        <w:t> :</w:t>
      </w:r>
    </w:p>
    <w:p w14:paraId="6AE80F2D" w14:textId="77777777" w:rsidR="00384AB0" w:rsidRPr="006956F0" w:rsidRDefault="00384AB0" w:rsidP="00384AB0">
      <w:pPr>
        <w:pStyle w:val="SingleTxtG"/>
        <w:ind w:firstLine="567"/>
        <w:rPr>
          <w:b/>
          <w:lang w:val="fr-FR"/>
        </w:rPr>
      </w:pPr>
      <w:r w:rsidRPr="006956F0">
        <w:rPr>
          <w:b/>
          <w:lang w:val="fr-FR"/>
        </w:rPr>
        <w:t>a)</w:t>
      </w:r>
      <w:r w:rsidRPr="006956F0">
        <w:rPr>
          <w:b/>
          <w:lang w:val="fr-FR"/>
        </w:rPr>
        <w:tab/>
      </w:r>
      <w:r w:rsidRPr="006956F0">
        <w:rPr>
          <w:b/>
          <w:bCs/>
          <w:lang w:val="fr-FR"/>
        </w:rPr>
        <w:t>Disposer de données fiables, à jour et complètes, ventilées par groupe ethnique, genre et âge, sur la composition démographique de la population, afin de prendre des mesures conformes aux obligations de l</w:t>
      </w:r>
      <w:r w:rsidR="004252BC">
        <w:rPr>
          <w:b/>
          <w:bCs/>
          <w:lang w:val="fr-FR"/>
        </w:rPr>
        <w:t>’</w:t>
      </w:r>
      <w:r w:rsidRPr="006956F0">
        <w:rPr>
          <w:b/>
          <w:bCs/>
          <w:lang w:val="fr-FR"/>
        </w:rPr>
        <w:t xml:space="preserve">État partie </w:t>
      </w:r>
      <w:r>
        <w:rPr>
          <w:b/>
          <w:bCs/>
          <w:lang w:val="fr-FR"/>
        </w:rPr>
        <w:t>en vertu</w:t>
      </w:r>
      <w:r w:rsidRPr="006956F0">
        <w:rPr>
          <w:b/>
          <w:bCs/>
          <w:lang w:val="fr-FR"/>
        </w:rPr>
        <w:t xml:space="preserve"> de la Convention</w:t>
      </w:r>
      <w:r>
        <w:rPr>
          <w:b/>
          <w:bCs/>
          <w:lang w:val="fr-FR"/>
        </w:rPr>
        <w:t> ;</w:t>
      </w:r>
    </w:p>
    <w:p w14:paraId="639B1A78" w14:textId="77777777" w:rsidR="00384AB0" w:rsidRPr="006956F0" w:rsidRDefault="00384AB0" w:rsidP="00384AB0">
      <w:pPr>
        <w:pStyle w:val="SingleTxtG"/>
        <w:ind w:firstLine="567"/>
        <w:rPr>
          <w:b/>
          <w:lang w:val="fr-FR"/>
        </w:rPr>
      </w:pPr>
      <w:r w:rsidRPr="006956F0">
        <w:rPr>
          <w:b/>
          <w:lang w:val="fr-FR"/>
        </w:rPr>
        <w:t>b)</w:t>
      </w:r>
      <w:r w:rsidRPr="006956F0">
        <w:rPr>
          <w:b/>
          <w:lang w:val="fr-FR"/>
        </w:rPr>
        <w:tab/>
      </w:r>
      <w:r w:rsidRPr="006956F0">
        <w:rPr>
          <w:b/>
          <w:bCs/>
          <w:lang w:val="fr-FR"/>
        </w:rPr>
        <w:t>Assurer la participation des peuples autochtones et de la population d</w:t>
      </w:r>
      <w:r w:rsidR="004252BC">
        <w:rPr>
          <w:b/>
          <w:bCs/>
          <w:lang w:val="fr-FR"/>
        </w:rPr>
        <w:t>’</w:t>
      </w:r>
      <w:r w:rsidRPr="006956F0">
        <w:rPr>
          <w:b/>
          <w:bCs/>
          <w:lang w:val="fr-FR"/>
        </w:rPr>
        <w:t>ascendance africaine à la validation et à la mise en œuvre de la méthodologie du septième recensement</w:t>
      </w:r>
      <w:r>
        <w:rPr>
          <w:b/>
          <w:bCs/>
          <w:lang w:val="fr-FR"/>
        </w:rPr>
        <w:t> ;</w:t>
      </w:r>
    </w:p>
    <w:p w14:paraId="505367CD" w14:textId="77777777" w:rsidR="00384AB0" w:rsidRPr="006956F0" w:rsidRDefault="00384AB0" w:rsidP="00384AB0">
      <w:pPr>
        <w:pStyle w:val="SingleTxtG"/>
        <w:ind w:firstLine="567"/>
        <w:rPr>
          <w:b/>
          <w:lang w:val="fr-FR"/>
        </w:rPr>
      </w:pPr>
      <w:r w:rsidRPr="006956F0">
        <w:rPr>
          <w:b/>
          <w:lang w:val="fr-FR"/>
        </w:rPr>
        <w:t>c)</w:t>
      </w:r>
      <w:r w:rsidRPr="006956F0">
        <w:rPr>
          <w:b/>
          <w:lang w:val="fr-FR"/>
        </w:rPr>
        <w:tab/>
      </w:r>
      <w:r w:rsidRPr="006956F0">
        <w:rPr>
          <w:b/>
          <w:bCs/>
          <w:lang w:val="fr-FR"/>
        </w:rPr>
        <w:t>Veiller à ce que le principe de l</w:t>
      </w:r>
      <w:r w:rsidR="004252BC">
        <w:rPr>
          <w:b/>
          <w:bCs/>
          <w:lang w:val="fr-FR"/>
        </w:rPr>
        <w:t>’</w:t>
      </w:r>
      <w:r w:rsidRPr="006956F0">
        <w:rPr>
          <w:b/>
          <w:bCs/>
          <w:lang w:val="fr-FR"/>
        </w:rPr>
        <w:t>auto-identification soit incorporé dans le septième recensement, en ce qui concerne les peuples autochtones et la population d</w:t>
      </w:r>
      <w:r w:rsidR="004252BC">
        <w:rPr>
          <w:b/>
          <w:bCs/>
          <w:lang w:val="fr-FR"/>
        </w:rPr>
        <w:t>’</w:t>
      </w:r>
      <w:r w:rsidRPr="006956F0">
        <w:rPr>
          <w:b/>
          <w:bCs/>
          <w:lang w:val="fr-FR"/>
        </w:rPr>
        <w:t>ascendance africaine</w:t>
      </w:r>
      <w:r>
        <w:rPr>
          <w:b/>
          <w:bCs/>
          <w:lang w:val="fr-FR"/>
        </w:rPr>
        <w:t> ;</w:t>
      </w:r>
    </w:p>
    <w:p w14:paraId="2AC20721" w14:textId="77777777" w:rsidR="00384AB0" w:rsidRPr="006956F0" w:rsidRDefault="00384AB0" w:rsidP="00384AB0">
      <w:pPr>
        <w:pStyle w:val="SingleTxtG"/>
        <w:ind w:firstLine="567"/>
        <w:rPr>
          <w:b/>
          <w:lang w:val="fr-FR"/>
        </w:rPr>
      </w:pPr>
      <w:r w:rsidRPr="006956F0">
        <w:rPr>
          <w:b/>
          <w:lang w:val="fr-FR"/>
        </w:rPr>
        <w:t>d)</w:t>
      </w:r>
      <w:r w:rsidRPr="006956F0">
        <w:rPr>
          <w:b/>
          <w:lang w:val="fr-FR"/>
        </w:rPr>
        <w:tab/>
      </w:r>
      <w:r w:rsidRPr="006956F0">
        <w:rPr>
          <w:b/>
          <w:bCs/>
          <w:lang w:val="fr-FR"/>
        </w:rPr>
        <w:t>Élaborer une campagne de sensibilisation à l</w:t>
      </w:r>
      <w:r w:rsidR="004252BC">
        <w:rPr>
          <w:b/>
          <w:bCs/>
          <w:lang w:val="fr-FR"/>
        </w:rPr>
        <w:t>’</w:t>
      </w:r>
      <w:r w:rsidRPr="006956F0">
        <w:rPr>
          <w:b/>
          <w:bCs/>
          <w:lang w:val="fr-FR"/>
        </w:rPr>
        <w:t>intention des peuples autochtones et de la population d</w:t>
      </w:r>
      <w:r w:rsidR="004252BC">
        <w:rPr>
          <w:b/>
          <w:bCs/>
          <w:lang w:val="fr-FR"/>
        </w:rPr>
        <w:t>’</w:t>
      </w:r>
      <w:r w:rsidRPr="006956F0">
        <w:rPr>
          <w:b/>
          <w:bCs/>
          <w:lang w:val="fr-FR"/>
        </w:rPr>
        <w:t>ascendance africaine avant le recensement.</w:t>
      </w:r>
    </w:p>
    <w:p w14:paraId="709846CA" w14:textId="77777777" w:rsidR="00384AB0" w:rsidRPr="006956F0" w:rsidRDefault="00384AB0" w:rsidP="00384AB0">
      <w:pPr>
        <w:pStyle w:val="H23G"/>
        <w:rPr>
          <w:lang w:val="fr-FR"/>
        </w:rPr>
      </w:pPr>
      <w:r w:rsidRPr="006956F0">
        <w:rPr>
          <w:lang w:val="fr-FR"/>
        </w:rPr>
        <w:tab/>
      </w:r>
      <w:r w:rsidRPr="006956F0">
        <w:rPr>
          <w:lang w:val="fr-FR"/>
        </w:rPr>
        <w:tab/>
        <w:t>Définition de la discrimination raciale</w:t>
      </w:r>
    </w:p>
    <w:p w14:paraId="1CE0B05E" w14:textId="77777777" w:rsidR="00384AB0" w:rsidRPr="006956F0" w:rsidRDefault="00384AB0" w:rsidP="00384AB0">
      <w:pPr>
        <w:pStyle w:val="SingleTxtG"/>
        <w:rPr>
          <w:lang w:val="fr-FR"/>
        </w:rPr>
      </w:pPr>
      <w:r w:rsidRPr="006956F0">
        <w:rPr>
          <w:lang w:val="fr-FR"/>
        </w:rPr>
        <w:t>8.</w:t>
      </w:r>
      <w:r w:rsidRPr="006956F0">
        <w:rPr>
          <w:lang w:val="fr-FR"/>
        </w:rPr>
        <w:tab/>
        <w:t>Le Comité prend note de l</w:t>
      </w:r>
      <w:r w:rsidR="004252BC">
        <w:rPr>
          <w:lang w:val="fr-FR"/>
        </w:rPr>
        <w:t>’</w:t>
      </w:r>
      <w:r w:rsidRPr="006956F0">
        <w:rPr>
          <w:lang w:val="fr-FR"/>
        </w:rPr>
        <w:t>article 3 de la Constitution et de l</w:t>
      </w:r>
      <w:r w:rsidR="004252BC">
        <w:rPr>
          <w:lang w:val="fr-FR"/>
        </w:rPr>
        <w:t>’</w:t>
      </w:r>
      <w:r w:rsidRPr="006956F0">
        <w:rPr>
          <w:lang w:val="fr-FR"/>
        </w:rPr>
        <w:t>article 30 de la loi de 2016 sur la culture relatif à l</w:t>
      </w:r>
      <w:r w:rsidR="004252BC">
        <w:rPr>
          <w:lang w:val="fr-FR"/>
        </w:rPr>
        <w:t>’</w:t>
      </w:r>
      <w:r w:rsidRPr="006956F0">
        <w:rPr>
          <w:lang w:val="fr-FR"/>
        </w:rPr>
        <w:t>égalité et à la non-discrimination</w:t>
      </w:r>
      <w:r>
        <w:rPr>
          <w:lang w:val="fr-FR"/>
        </w:rPr>
        <w:t xml:space="preserve">. Toutefois, il </w:t>
      </w:r>
      <w:r w:rsidRPr="006956F0">
        <w:rPr>
          <w:lang w:val="fr-FR"/>
        </w:rPr>
        <w:t>se déclare à nouveau préoccupé par l</w:t>
      </w:r>
      <w:r w:rsidR="004252BC">
        <w:rPr>
          <w:lang w:val="fr-FR"/>
        </w:rPr>
        <w:t>’</w:t>
      </w:r>
      <w:r w:rsidRPr="006956F0">
        <w:rPr>
          <w:lang w:val="fr-FR"/>
        </w:rPr>
        <w:t xml:space="preserve">inadéquation de la définition de la discrimination raciale </w:t>
      </w:r>
      <w:r>
        <w:rPr>
          <w:lang w:val="fr-FR"/>
        </w:rPr>
        <w:t xml:space="preserve">figurant </w:t>
      </w:r>
      <w:r w:rsidRPr="006956F0">
        <w:rPr>
          <w:lang w:val="fr-FR"/>
        </w:rPr>
        <w:t>dans la législation de l</w:t>
      </w:r>
      <w:r w:rsidR="004252BC">
        <w:rPr>
          <w:lang w:val="fr-FR"/>
        </w:rPr>
        <w:t>’</w:t>
      </w:r>
      <w:r w:rsidRPr="006956F0">
        <w:rPr>
          <w:lang w:val="fr-FR"/>
        </w:rPr>
        <w:t>État partie, car elle n</w:t>
      </w:r>
      <w:r w:rsidR="004252BC">
        <w:rPr>
          <w:lang w:val="fr-FR"/>
        </w:rPr>
        <w:t>’</w:t>
      </w:r>
      <w:r w:rsidRPr="006956F0">
        <w:rPr>
          <w:lang w:val="fr-FR"/>
        </w:rPr>
        <w:t xml:space="preserve">intègre pas tous les éléments de la définition énoncée dans la Convention, en particulier en ce qui concerne les discours de haine </w:t>
      </w:r>
      <w:r>
        <w:rPr>
          <w:lang w:val="fr-FR"/>
        </w:rPr>
        <w:t>à caractère raciste</w:t>
      </w:r>
      <w:r w:rsidRPr="006956F0">
        <w:rPr>
          <w:lang w:val="fr-FR"/>
        </w:rPr>
        <w:t>. À cet égard, le Comité est préoccupé par les commentaires racistes et discriminatoires à l</w:t>
      </w:r>
      <w:r w:rsidR="004252BC">
        <w:rPr>
          <w:lang w:val="fr-FR"/>
        </w:rPr>
        <w:t>’</w:t>
      </w:r>
      <w:r w:rsidRPr="006956F0">
        <w:rPr>
          <w:lang w:val="fr-FR"/>
        </w:rPr>
        <w:t xml:space="preserve">égard des </w:t>
      </w:r>
      <w:r>
        <w:rPr>
          <w:lang w:val="fr-FR"/>
        </w:rPr>
        <w:t xml:space="preserve">personnes </w:t>
      </w:r>
      <w:r w:rsidRPr="006956F0">
        <w:rPr>
          <w:lang w:val="fr-FR"/>
        </w:rPr>
        <w:t>autochtones de la part d</w:t>
      </w:r>
      <w:r w:rsidR="004252BC">
        <w:rPr>
          <w:lang w:val="fr-FR"/>
        </w:rPr>
        <w:t>’</w:t>
      </w:r>
      <w:r w:rsidRPr="006956F0">
        <w:rPr>
          <w:lang w:val="fr-FR"/>
        </w:rPr>
        <w:t>agents de la fonction publique (art.</w:t>
      </w:r>
      <w:r>
        <w:rPr>
          <w:lang w:val="fr-FR"/>
        </w:rPr>
        <w:t> </w:t>
      </w:r>
      <w:r w:rsidRPr="006956F0">
        <w:rPr>
          <w:lang w:val="fr-FR"/>
        </w:rPr>
        <w:t>1).</w:t>
      </w:r>
    </w:p>
    <w:p w14:paraId="72DAB8B9" w14:textId="77777777" w:rsidR="00384AB0" w:rsidRPr="006956F0" w:rsidRDefault="00384AB0" w:rsidP="00384AB0">
      <w:pPr>
        <w:pStyle w:val="SingleTxtG"/>
        <w:rPr>
          <w:b/>
          <w:lang w:val="fr-FR"/>
        </w:rPr>
      </w:pPr>
      <w:r w:rsidRPr="006956F0">
        <w:rPr>
          <w:lang w:val="fr-FR"/>
        </w:rPr>
        <w:t>9.</w:t>
      </w:r>
      <w:r w:rsidRPr="006956F0">
        <w:rPr>
          <w:lang w:val="fr-FR"/>
        </w:rPr>
        <w:tab/>
      </w:r>
      <w:r w:rsidRPr="006956F0">
        <w:rPr>
          <w:b/>
          <w:bCs/>
          <w:lang w:val="fr-FR"/>
        </w:rPr>
        <w:t xml:space="preserve">Compte tenu de ses recommandations générales </w:t>
      </w:r>
      <w:r w:rsidRPr="003D5B40">
        <w:rPr>
          <w:rFonts w:eastAsia="MS Mincho"/>
          <w:b/>
          <w:bCs/>
          <w:lang w:val="fr-FR"/>
        </w:rPr>
        <w:t>n</w:t>
      </w:r>
      <w:r w:rsidRPr="003D5B40">
        <w:rPr>
          <w:rFonts w:eastAsia="MS Mincho"/>
          <w:b/>
          <w:bCs/>
          <w:vertAlign w:val="superscript"/>
          <w:lang w:val="fr-FR"/>
        </w:rPr>
        <w:t>o</w:t>
      </w:r>
      <w:r>
        <w:rPr>
          <w:b/>
          <w:bCs/>
          <w:lang w:val="fr-FR"/>
        </w:rPr>
        <w:t> </w:t>
      </w:r>
      <w:r w:rsidRPr="006956F0">
        <w:rPr>
          <w:b/>
          <w:bCs/>
          <w:lang w:val="fr-FR"/>
        </w:rPr>
        <w:t>14 (1993) concernant le paragraphe</w:t>
      </w:r>
      <w:r>
        <w:rPr>
          <w:lang w:val="fr-FR"/>
        </w:rPr>
        <w:t> </w:t>
      </w:r>
      <w:r w:rsidRPr="006956F0">
        <w:rPr>
          <w:b/>
          <w:bCs/>
          <w:lang w:val="fr-FR"/>
        </w:rPr>
        <w:t>1 de l</w:t>
      </w:r>
      <w:r w:rsidR="004252BC">
        <w:rPr>
          <w:b/>
          <w:bCs/>
          <w:lang w:val="fr-FR"/>
        </w:rPr>
        <w:t>’</w:t>
      </w:r>
      <w:r w:rsidRPr="006956F0">
        <w:rPr>
          <w:b/>
          <w:bCs/>
          <w:lang w:val="fr-FR"/>
        </w:rPr>
        <w:t>article premier de la Convention</w:t>
      </w:r>
      <w:r>
        <w:rPr>
          <w:b/>
          <w:bCs/>
          <w:lang w:val="fr-FR"/>
        </w:rPr>
        <w:t xml:space="preserve">, </w:t>
      </w:r>
      <w:r w:rsidRPr="003D5B40">
        <w:rPr>
          <w:rFonts w:eastAsia="MS Mincho"/>
          <w:b/>
          <w:bCs/>
          <w:lang w:val="fr-FR"/>
        </w:rPr>
        <w:t>n</w:t>
      </w:r>
      <w:r w:rsidRPr="003D5B40">
        <w:rPr>
          <w:rFonts w:eastAsia="MS Mincho"/>
          <w:b/>
          <w:bCs/>
          <w:vertAlign w:val="superscript"/>
          <w:lang w:val="fr-FR"/>
        </w:rPr>
        <w:t>o</w:t>
      </w:r>
      <w:r>
        <w:rPr>
          <w:b/>
          <w:bCs/>
          <w:lang w:val="fr-FR"/>
        </w:rPr>
        <w:t> 29 (2002) concernant la discrimination fondée sur l</w:t>
      </w:r>
      <w:r w:rsidR="004252BC">
        <w:rPr>
          <w:b/>
          <w:bCs/>
          <w:lang w:val="fr-FR"/>
        </w:rPr>
        <w:t>’</w:t>
      </w:r>
      <w:r>
        <w:rPr>
          <w:b/>
          <w:bCs/>
          <w:lang w:val="fr-FR"/>
        </w:rPr>
        <w:t xml:space="preserve">ascendance, </w:t>
      </w:r>
      <w:r w:rsidRPr="00C46E3F">
        <w:rPr>
          <w:rFonts w:eastAsia="MS Mincho"/>
          <w:b/>
          <w:bCs/>
          <w:lang w:val="fr-FR"/>
        </w:rPr>
        <w:t>n</w:t>
      </w:r>
      <w:r w:rsidRPr="00C46E3F">
        <w:rPr>
          <w:rFonts w:eastAsia="MS Mincho"/>
          <w:b/>
          <w:bCs/>
          <w:vertAlign w:val="superscript"/>
          <w:lang w:val="fr-FR"/>
        </w:rPr>
        <w:t>o</w:t>
      </w:r>
      <w:r>
        <w:rPr>
          <w:b/>
          <w:bCs/>
          <w:lang w:val="fr-FR"/>
        </w:rPr>
        <w:t> </w:t>
      </w:r>
      <w:r w:rsidRPr="006956F0">
        <w:rPr>
          <w:b/>
          <w:bCs/>
          <w:lang w:val="fr-FR"/>
        </w:rPr>
        <w:t>15 (1993) concernant l</w:t>
      </w:r>
      <w:r w:rsidR="004252BC">
        <w:rPr>
          <w:b/>
          <w:bCs/>
          <w:lang w:val="fr-FR"/>
        </w:rPr>
        <w:t>’</w:t>
      </w:r>
      <w:r w:rsidRPr="006956F0">
        <w:rPr>
          <w:b/>
          <w:bCs/>
          <w:lang w:val="fr-FR"/>
        </w:rPr>
        <w:t>article</w:t>
      </w:r>
      <w:r>
        <w:rPr>
          <w:lang w:val="fr-FR"/>
        </w:rPr>
        <w:t> </w:t>
      </w:r>
      <w:r w:rsidRPr="006956F0">
        <w:rPr>
          <w:b/>
          <w:bCs/>
          <w:lang w:val="fr-FR"/>
        </w:rPr>
        <w:t xml:space="preserve">4 de la Convention et </w:t>
      </w:r>
      <w:r w:rsidRPr="00C46E3F">
        <w:rPr>
          <w:rFonts w:eastAsia="MS Mincho"/>
          <w:b/>
          <w:bCs/>
          <w:lang w:val="fr-FR"/>
        </w:rPr>
        <w:t>n</w:t>
      </w:r>
      <w:r w:rsidRPr="00C46E3F">
        <w:rPr>
          <w:rFonts w:eastAsia="MS Mincho"/>
          <w:b/>
          <w:bCs/>
          <w:vertAlign w:val="superscript"/>
          <w:lang w:val="fr-FR"/>
        </w:rPr>
        <w:t>o</w:t>
      </w:r>
      <w:r>
        <w:rPr>
          <w:b/>
          <w:bCs/>
          <w:lang w:val="fr-FR"/>
        </w:rPr>
        <w:t> </w:t>
      </w:r>
      <w:r w:rsidRPr="006956F0">
        <w:rPr>
          <w:b/>
          <w:bCs/>
          <w:lang w:val="fr-FR"/>
        </w:rPr>
        <w:t xml:space="preserve">35 </w:t>
      </w:r>
      <w:r>
        <w:rPr>
          <w:b/>
          <w:bCs/>
          <w:lang w:val="fr-FR"/>
        </w:rPr>
        <w:t xml:space="preserve">(2013) </w:t>
      </w:r>
      <w:r w:rsidRPr="006956F0">
        <w:rPr>
          <w:b/>
          <w:bCs/>
          <w:lang w:val="fr-FR"/>
        </w:rPr>
        <w:t xml:space="preserve">sur la lutte contre les discours de haine </w:t>
      </w:r>
      <w:r>
        <w:rPr>
          <w:b/>
          <w:bCs/>
          <w:lang w:val="fr-FR"/>
        </w:rPr>
        <w:t>à caractère raciste</w:t>
      </w:r>
      <w:r w:rsidRPr="006956F0">
        <w:rPr>
          <w:b/>
          <w:bCs/>
          <w:lang w:val="fr-FR"/>
        </w:rPr>
        <w:t>, le Comité recommande à nouveau à l</w:t>
      </w:r>
      <w:r w:rsidR="004252BC">
        <w:rPr>
          <w:b/>
          <w:bCs/>
          <w:lang w:val="fr-FR"/>
        </w:rPr>
        <w:t>’</w:t>
      </w:r>
      <w:r w:rsidRPr="006956F0">
        <w:rPr>
          <w:b/>
          <w:bCs/>
          <w:lang w:val="fr-FR"/>
        </w:rPr>
        <w:t>État partie</w:t>
      </w:r>
      <w:r>
        <w:rPr>
          <w:b/>
          <w:bCs/>
          <w:lang w:val="fr-FR"/>
        </w:rPr>
        <w:t> :</w:t>
      </w:r>
    </w:p>
    <w:p w14:paraId="4BED8259" w14:textId="77777777" w:rsidR="00384AB0" w:rsidRPr="006956F0" w:rsidRDefault="00384AB0" w:rsidP="00384AB0">
      <w:pPr>
        <w:pStyle w:val="SingleTxtG"/>
        <w:ind w:firstLine="567"/>
        <w:rPr>
          <w:b/>
          <w:lang w:val="fr-FR"/>
        </w:rPr>
      </w:pPr>
      <w:r w:rsidRPr="006956F0">
        <w:rPr>
          <w:b/>
          <w:lang w:val="fr-FR"/>
        </w:rPr>
        <w:t>a)</w:t>
      </w:r>
      <w:r w:rsidRPr="006956F0">
        <w:rPr>
          <w:b/>
          <w:lang w:val="fr-FR"/>
        </w:rPr>
        <w:tab/>
      </w:r>
      <w:r>
        <w:rPr>
          <w:b/>
          <w:bCs/>
          <w:lang w:val="fr-FR"/>
        </w:rPr>
        <w:t>De m</w:t>
      </w:r>
      <w:r w:rsidRPr="006956F0">
        <w:rPr>
          <w:b/>
          <w:bCs/>
          <w:lang w:val="fr-FR"/>
        </w:rPr>
        <w:t>ettre les dispositions actuelles relatives à la discrimination raciale en conformité avec la définition énoncée à l</w:t>
      </w:r>
      <w:r w:rsidR="004252BC">
        <w:rPr>
          <w:b/>
          <w:bCs/>
          <w:lang w:val="fr-FR"/>
        </w:rPr>
        <w:t>’</w:t>
      </w:r>
      <w:r w:rsidRPr="006956F0">
        <w:rPr>
          <w:b/>
          <w:bCs/>
          <w:lang w:val="fr-FR"/>
        </w:rPr>
        <w:t>article premier de la Convention, au moyen de l</w:t>
      </w:r>
      <w:r w:rsidR="004252BC">
        <w:rPr>
          <w:b/>
          <w:bCs/>
          <w:lang w:val="fr-FR"/>
        </w:rPr>
        <w:t>’</w:t>
      </w:r>
      <w:r w:rsidRPr="006956F0">
        <w:rPr>
          <w:b/>
          <w:bCs/>
          <w:lang w:val="fr-FR"/>
        </w:rPr>
        <w:t>adoption d</w:t>
      </w:r>
      <w:r w:rsidR="004252BC">
        <w:rPr>
          <w:b/>
          <w:bCs/>
          <w:lang w:val="fr-FR"/>
        </w:rPr>
        <w:t>’</w:t>
      </w:r>
      <w:r w:rsidRPr="006956F0">
        <w:rPr>
          <w:b/>
          <w:bCs/>
          <w:lang w:val="fr-FR"/>
        </w:rPr>
        <w:t>une loi primaire.</w:t>
      </w:r>
      <w:r w:rsidRPr="006956F0">
        <w:rPr>
          <w:lang w:val="fr-FR"/>
        </w:rPr>
        <w:t xml:space="preserve"> </w:t>
      </w:r>
      <w:r>
        <w:rPr>
          <w:b/>
          <w:bCs/>
          <w:lang w:val="fr-FR"/>
        </w:rPr>
        <w:t>À ce propos</w:t>
      </w:r>
      <w:r w:rsidRPr="006956F0">
        <w:rPr>
          <w:b/>
          <w:bCs/>
          <w:lang w:val="fr-FR"/>
        </w:rPr>
        <w:t>, le Comité souligne l</w:t>
      </w:r>
      <w:r w:rsidR="004252BC">
        <w:rPr>
          <w:b/>
          <w:bCs/>
          <w:lang w:val="fr-FR"/>
        </w:rPr>
        <w:t>’</w:t>
      </w:r>
      <w:r w:rsidRPr="006956F0">
        <w:rPr>
          <w:b/>
          <w:bCs/>
          <w:lang w:val="fr-FR"/>
        </w:rPr>
        <w:t>utilité d</w:t>
      </w:r>
      <w:r w:rsidR="004252BC">
        <w:rPr>
          <w:b/>
          <w:bCs/>
          <w:lang w:val="fr-FR"/>
        </w:rPr>
        <w:t>’</w:t>
      </w:r>
      <w:r w:rsidRPr="006956F0">
        <w:rPr>
          <w:b/>
          <w:bCs/>
          <w:lang w:val="fr-FR"/>
        </w:rPr>
        <w:t>une loi distincte pour lutter contre la discrimination raciale (CERD/C/SLV/CO/16-17, par.</w:t>
      </w:r>
      <w:r>
        <w:rPr>
          <w:lang w:val="fr-FR"/>
        </w:rPr>
        <w:t> </w:t>
      </w:r>
      <w:r w:rsidRPr="006956F0">
        <w:rPr>
          <w:b/>
          <w:bCs/>
          <w:lang w:val="fr-FR"/>
        </w:rPr>
        <w:t>11)</w:t>
      </w:r>
      <w:r>
        <w:rPr>
          <w:b/>
          <w:bCs/>
          <w:lang w:val="fr-FR"/>
        </w:rPr>
        <w:t> ;</w:t>
      </w:r>
      <w:r w:rsidRPr="006956F0">
        <w:rPr>
          <w:lang w:val="fr-FR"/>
        </w:rPr>
        <w:t xml:space="preserve"> </w:t>
      </w:r>
    </w:p>
    <w:p w14:paraId="71AE74F5" w14:textId="77777777" w:rsidR="00384AB0" w:rsidRPr="006956F0" w:rsidRDefault="00384AB0" w:rsidP="00384AB0">
      <w:pPr>
        <w:pStyle w:val="SingleTxtG"/>
        <w:ind w:firstLine="567"/>
        <w:rPr>
          <w:lang w:val="fr-FR"/>
        </w:rPr>
      </w:pPr>
      <w:r w:rsidRPr="00C46E3F">
        <w:rPr>
          <w:b/>
          <w:lang w:val="fr-FR"/>
        </w:rPr>
        <w:t>b)</w:t>
      </w:r>
      <w:r w:rsidRPr="006956F0">
        <w:rPr>
          <w:lang w:val="fr-FR"/>
        </w:rPr>
        <w:tab/>
      </w:r>
      <w:r>
        <w:rPr>
          <w:b/>
          <w:bCs/>
          <w:lang w:val="fr-FR"/>
        </w:rPr>
        <w:t>D</w:t>
      </w:r>
      <w:r w:rsidR="004252BC">
        <w:rPr>
          <w:b/>
          <w:bCs/>
          <w:lang w:val="fr-FR"/>
        </w:rPr>
        <w:t>’</w:t>
      </w:r>
      <w:r>
        <w:rPr>
          <w:b/>
          <w:bCs/>
          <w:lang w:val="fr-FR"/>
        </w:rPr>
        <w:t>a</w:t>
      </w:r>
      <w:r w:rsidRPr="006956F0">
        <w:rPr>
          <w:b/>
          <w:bCs/>
          <w:lang w:val="fr-FR"/>
        </w:rPr>
        <w:t xml:space="preserve">dopter une politique nationale de sensibilisation à la discrimination raciale et de dialogue interculturel </w:t>
      </w:r>
      <w:r>
        <w:rPr>
          <w:b/>
          <w:bCs/>
          <w:lang w:val="fr-FR"/>
        </w:rPr>
        <w:t>visant à</w:t>
      </w:r>
      <w:r w:rsidRPr="006956F0">
        <w:rPr>
          <w:b/>
          <w:bCs/>
          <w:lang w:val="fr-FR"/>
        </w:rPr>
        <w:t xml:space="preserve"> combattre les stéréotypes raciaux</w:t>
      </w:r>
      <w:r>
        <w:rPr>
          <w:b/>
          <w:bCs/>
          <w:lang w:val="fr-FR"/>
        </w:rPr>
        <w:t>, les discours de haine à caractère raciste</w:t>
      </w:r>
      <w:r w:rsidRPr="006956F0">
        <w:rPr>
          <w:b/>
          <w:bCs/>
          <w:lang w:val="fr-FR"/>
        </w:rPr>
        <w:t xml:space="preserve"> et toutes les formes de discrimination raciale (CERD/C/SLV/CO/16-17, par.</w:t>
      </w:r>
      <w:r>
        <w:rPr>
          <w:lang w:val="fr-FR"/>
        </w:rPr>
        <w:t> </w:t>
      </w:r>
      <w:r w:rsidRPr="006956F0">
        <w:rPr>
          <w:b/>
          <w:bCs/>
          <w:lang w:val="fr-FR"/>
        </w:rPr>
        <w:t>12).</w:t>
      </w:r>
      <w:r w:rsidRPr="006956F0">
        <w:rPr>
          <w:lang w:val="fr-FR"/>
        </w:rPr>
        <w:t xml:space="preserve"> </w:t>
      </w:r>
    </w:p>
    <w:p w14:paraId="4CC9D908" w14:textId="77777777" w:rsidR="00384AB0" w:rsidRPr="006956F0" w:rsidRDefault="00384AB0" w:rsidP="00384AB0">
      <w:pPr>
        <w:pStyle w:val="H23G"/>
        <w:rPr>
          <w:lang w:val="fr-FR"/>
        </w:rPr>
      </w:pPr>
      <w:r w:rsidRPr="006956F0">
        <w:rPr>
          <w:lang w:val="fr-FR"/>
        </w:rPr>
        <w:tab/>
      </w:r>
      <w:r w:rsidRPr="006956F0">
        <w:rPr>
          <w:lang w:val="fr-FR"/>
        </w:rPr>
        <w:tab/>
        <w:t>Interdiction de la discrimination raciale</w:t>
      </w:r>
    </w:p>
    <w:p w14:paraId="7697F5D3" w14:textId="77777777" w:rsidR="00384AB0" w:rsidRPr="006956F0" w:rsidRDefault="00384AB0" w:rsidP="00384AB0">
      <w:pPr>
        <w:pStyle w:val="SingleTxtG"/>
        <w:rPr>
          <w:lang w:val="fr-FR"/>
        </w:rPr>
      </w:pPr>
      <w:r w:rsidRPr="006956F0">
        <w:rPr>
          <w:lang w:val="fr-FR"/>
        </w:rPr>
        <w:t>10.</w:t>
      </w:r>
      <w:r w:rsidRPr="006956F0">
        <w:rPr>
          <w:lang w:val="fr-FR"/>
        </w:rPr>
        <w:tab/>
        <w:t>Le Comité constate avec préoccupation que la législation de l</w:t>
      </w:r>
      <w:r w:rsidR="004252BC">
        <w:rPr>
          <w:lang w:val="fr-FR"/>
        </w:rPr>
        <w:t>’</w:t>
      </w:r>
      <w:r w:rsidRPr="006956F0">
        <w:rPr>
          <w:lang w:val="fr-FR"/>
        </w:rPr>
        <w:t>État partie, en particulier le Code pénal, ne couvre pas tous les types de peines prévues à l</w:t>
      </w:r>
      <w:r w:rsidR="004252BC">
        <w:rPr>
          <w:lang w:val="fr-FR"/>
        </w:rPr>
        <w:t>’</w:t>
      </w:r>
      <w:r w:rsidRPr="006956F0">
        <w:rPr>
          <w:lang w:val="fr-FR"/>
        </w:rPr>
        <w:t>article</w:t>
      </w:r>
      <w:r>
        <w:rPr>
          <w:lang w:val="fr-FR"/>
        </w:rPr>
        <w:t> </w:t>
      </w:r>
      <w:r w:rsidRPr="006956F0">
        <w:rPr>
          <w:lang w:val="fr-FR"/>
        </w:rPr>
        <w:t>4 de la Convention (art.</w:t>
      </w:r>
      <w:r>
        <w:rPr>
          <w:lang w:val="fr-FR"/>
        </w:rPr>
        <w:t> </w:t>
      </w:r>
      <w:r w:rsidRPr="006956F0">
        <w:rPr>
          <w:lang w:val="fr-FR"/>
        </w:rPr>
        <w:t>4).</w:t>
      </w:r>
    </w:p>
    <w:p w14:paraId="3EBE8B66" w14:textId="77777777" w:rsidR="00384AB0" w:rsidRPr="006956F0" w:rsidRDefault="00384AB0" w:rsidP="00384AB0">
      <w:pPr>
        <w:pStyle w:val="SingleTxtG"/>
        <w:rPr>
          <w:b/>
          <w:lang w:val="fr-FR"/>
        </w:rPr>
      </w:pPr>
      <w:r w:rsidRPr="006956F0">
        <w:rPr>
          <w:lang w:val="fr-FR"/>
        </w:rPr>
        <w:t>11.</w:t>
      </w:r>
      <w:r w:rsidRPr="006956F0">
        <w:rPr>
          <w:lang w:val="fr-FR"/>
        </w:rPr>
        <w:tab/>
      </w:r>
      <w:r w:rsidRPr="006956F0">
        <w:rPr>
          <w:b/>
          <w:bCs/>
          <w:lang w:val="fr-FR"/>
        </w:rPr>
        <w:t>Le Comité recommande à l</w:t>
      </w:r>
      <w:r w:rsidR="004252BC">
        <w:rPr>
          <w:b/>
          <w:bCs/>
          <w:lang w:val="fr-FR"/>
        </w:rPr>
        <w:t>’</w:t>
      </w:r>
      <w:r w:rsidRPr="006956F0">
        <w:rPr>
          <w:b/>
          <w:bCs/>
          <w:lang w:val="fr-FR"/>
        </w:rPr>
        <w:t>État partie d</w:t>
      </w:r>
      <w:r w:rsidR="004252BC">
        <w:rPr>
          <w:b/>
          <w:bCs/>
          <w:lang w:val="fr-FR"/>
        </w:rPr>
        <w:t>’</w:t>
      </w:r>
      <w:r w:rsidRPr="006956F0">
        <w:rPr>
          <w:b/>
          <w:bCs/>
          <w:lang w:val="fr-FR"/>
        </w:rPr>
        <w:t>aligner les dispositions actuelles relatives à l</w:t>
      </w:r>
      <w:r w:rsidR="004252BC">
        <w:rPr>
          <w:b/>
          <w:bCs/>
          <w:lang w:val="fr-FR"/>
        </w:rPr>
        <w:t>’</w:t>
      </w:r>
      <w:r w:rsidRPr="006956F0">
        <w:rPr>
          <w:b/>
          <w:bCs/>
          <w:lang w:val="fr-FR"/>
        </w:rPr>
        <w:t xml:space="preserve">infraction de discrimination raciale, </w:t>
      </w:r>
      <w:r>
        <w:rPr>
          <w:b/>
          <w:bCs/>
          <w:lang w:val="fr-FR"/>
        </w:rPr>
        <w:t>en particulier</w:t>
      </w:r>
      <w:r w:rsidRPr="006956F0">
        <w:rPr>
          <w:b/>
          <w:bCs/>
          <w:lang w:val="fr-FR"/>
        </w:rPr>
        <w:t xml:space="preserve"> l</w:t>
      </w:r>
      <w:r w:rsidR="004252BC">
        <w:rPr>
          <w:b/>
          <w:bCs/>
          <w:lang w:val="fr-FR"/>
        </w:rPr>
        <w:t>’</w:t>
      </w:r>
      <w:r w:rsidRPr="006956F0">
        <w:rPr>
          <w:b/>
          <w:bCs/>
          <w:lang w:val="fr-FR"/>
        </w:rPr>
        <w:t>article</w:t>
      </w:r>
      <w:r>
        <w:rPr>
          <w:lang w:val="fr-FR"/>
        </w:rPr>
        <w:t> </w:t>
      </w:r>
      <w:r w:rsidRPr="006956F0">
        <w:rPr>
          <w:b/>
          <w:bCs/>
          <w:lang w:val="fr-FR"/>
        </w:rPr>
        <w:t>30 de la loi sur la</w:t>
      </w:r>
      <w:r>
        <w:rPr>
          <w:lang w:val="fr-FR"/>
        </w:rPr>
        <w:t> </w:t>
      </w:r>
      <w:r w:rsidRPr="006956F0">
        <w:rPr>
          <w:b/>
          <w:bCs/>
          <w:lang w:val="fr-FR"/>
        </w:rPr>
        <w:t>culture et l</w:t>
      </w:r>
      <w:r w:rsidR="004252BC">
        <w:rPr>
          <w:b/>
          <w:bCs/>
          <w:lang w:val="fr-FR"/>
        </w:rPr>
        <w:t>’</w:t>
      </w:r>
      <w:r w:rsidRPr="006956F0">
        <w:rPr>
          <w:b/>
          <w:bCs/>
          <w:lang w:val="fr-FR"/>
        </w:rPr>
        <w:t>article</w:t>
      </w:r>
      <w:r>
        <w:rPr>
          <w:lang w:val="fr-FR"/>
        </w:rPr>
        <w:t> </w:t>
      </w:r>
      <w:r w:rsidRPr="006956F0">
        <w:rPr>
          <w:b/>
          <w:bCs/>
          <w:lang w:val="fr-FR"/>
        </w:rPr>
        <w:t>292 du Code pénal, sur l</w:t>
      </w:r>
      <w:r w:rsidR="004252BC">
        <w:rPr>
          <w:b/>
          <w:bCs/>
          <w:lang w:val="fr-FR"/>
        </w:rPr>
        <w:t>’</w:t>
      </w:r>
      <w:r w:rsidRPr="006956F0">
        <w:rPr>
          <w:b/>
          <w:bCs/>
          <w:lang w:val="fr-FR"/>
        </w:rPr>
        <w:t>article</w:t>
      </w:r>
      <w:r>
        <w:rPr>
          <w:lang w:val="fr-FR"/>
        </w:rPr>
        <w:t> </w:t>
      </w:r>
      <w:r w:rsidRPr="006956F0">
        <w:rPr>
          <w:b/>
          <w:bCs/>
          <w:lang w:val="fr-FR"/>
        </w:rPr>
        <w:t>4 de la Convention (CERD/C/SLV/CO/16-17, par.</w:t>
      </w:r>
      <w:r>
        <w:rPr>
          <w:lang w:val="fr-FR"/>
        </w:rPr>
        <w:t> </w:t>
      </w:r>
      <w:r w:rsidRPr="006956F0">
        <w:rPr>
          <w:b/>
          <w:bCs/>
          <w:lang w:val="fr-FR"/>
        </w:rPr>
        <w:t>12).</w:t>
      </w:r>
    </w:p>
    <w:p w14:paraId="2EF6A9B0" w14:textId="77777777" w:rsidR="00384AB0" w:rsidRPr="006956F0" w:rsidRDefault="00384AB0" w:rsidP="00384AB0">
      <w:pPr>
        <w:pStyle w:val="H23G"/>
        <w:rPr>
          <w:lang w:val="fr-FR"/>
        </w:rPr>
      </w:pPr>
      <w:r w:rsidRPr="006956F0">
        <w:rPr>
          <w:lang w:val="fr-FR"/>
        </w:rPr>
        <w:tab/>
      </w:r>
      <w:r w:rsidRPr="006956F0">
        <w:rPr>
          <w:lang w:val="fr-FR"/>
        </w:rPr>
        <w:tab/>
        <w:t>Cadre institutionnel de lutte contre la discrimination raciale</w:t>
      </w:r>
    </w:p>
    <w:p w14:paraId="47D8926A" w14:textId="77777777" w:rsidR="00384AB0" w:rsidRPr="006956F0" w:rsidRDefault="00384AB0" w:rsidP="00384AB0">
      <w:pPr>
        <w:pStyle w:val="SingleTxtG"/>
        <w:rPr>
          <w:lang w:val="fr-FR"/>
        </w:rPr>
      </w:pPr>
      <w:r w:rsidRPr="006956F0">
        <w:rPr>
          <w:lang w:val="fr-FR"/>
        </w:rPr>
        <w:t>12.</w:t>
      </w:r>
      <w:r w:rsidRPr="006956F0">
        <w:rPr>
          <w:lang w:val="fr-FR"/>
        </w:rPr>
        <w:tab/>
        <w:t>Le Comité constate avec préoccupation qu</w:t>
      </w:r>
      <w:r w:rsidR="004252BC">
        <w:rPr>
          <w:lang w:val="fr-FR"/>
        </w:rPr>
        <w:t>’</w:t>
      </w:r>
      <w:r w:rsidRPr="006956F0">
        <w:rPr>
          <w:lang w:val="fr-FR"/>
        </w:rPr>
        <w:t>aucun organe de l</w:t>
      </w:r>
      <w:r w:rsidR="004252BC">
        <w:rPr>
          <w:lang w:val="fr-FR"/>
        </w:rPr>
        <w:t>’</w:t>
      </w:r>
      <w:r w:rsidRPr="006956F0">
        <w:rPr>
          <w:lang w:val="fr-FR"/>
        </w:rPr>
        <w:t>État n</w:t>
      </w:r>
      <w:r w:rsidR="004252BC">
        <w:rPr>
          <w:lang w:val="fr-FR"/>
        </w:rPr>
        <w:t>’</w:t>
      </w:r>
      <w:r w:rsidRPr="006956F0">
        <w:rPr>
          <w:lang w:val="fr-FR"/>
        </w:rPr>
        <w:t>est expressément chargé de l</w:t>
      </w:r>
      <w:r w:rsidR="004252BC">
        <w:rPr>
          <w:lang w:val="fr-FR"/>
        </w:rPr>
        <w:t>’</w:t>
      </w:r>
      <w:r w:rsidRPr="006956F0">
        <w:rPr>
          <w:lang w:val="fr-FR"/>
        </w:rPr>
        <w:t xml:space="preserve">élimination de la discrimination raciale. </w:t>
      </w:r>
      <w:r>
        <w:rPr>
          <w:lang w:val="fr-FR"/>
        </w:rPr>
        <w:t>Il</w:t>
      </w:r>
      <w:r w:rsidRPr="006956F0">
        <w:rPr>
          <w:lang w:val="fr-FR"/>
        </w:rPr>
        <w:t xml:space="preserve"> prend note de l</w:t>
      </w:r>
      <w:r w:rsidR="004252BC">
        <w:rPr>
          <w:lang w:val="fr-FR"/>
        </w:rPr>
        <w:t>’</w:t>
      </w:r>
      <w:r w:rsidRPr="006956F0">
        <w:rPr>
          <w:lang w:val="fr-FR"/>
        </w:rPr>
        <w:t>existence de la Direction des peuples autochtones au sein du Ministère de la culture, mais il note avec inquiétude que l</w:t>
      </w:r>
      <w:r w:rsidR="004252BC">
        <w:rPr>
          <w:lang w:val="fr-FR"/>
        </w:rPr>
        <w:t>’</w:t>
      </w:r>
      <w:r w:rsidRPr="006956F0">
        <w:rPr>
          <w:lang w:val="fr-FR"/>
        </w:rPr>
        <w:t>application de la Convention en ce qui concerne les peuples autochtones est limitée au domaine des politiques culturelles (art.</w:t>
      </w:r>
      <w:r w:rsidR="00C61C09">
        <w:rPr>
          <w:lang w:val="fr-FR"/>
        </w:rPr>
        <w:t> </w:t>
      </w:r>
      <w:r w:rsidRPr="006956F0">
        <w:rPr>
          <w:lang w:val="fr-FR"/>
        </w:rPr>
        <w:t>2).</w:t>
      </w:r>
    </w:p>
    <w:p w14:paraId="5A75BF4D" w14:textId="77777777" w:rsidR="00384AB0" w:rsidRPr="00495333" w:rsidRDefault="00384AB0" w:rsidP="00384AB0">
      <w:pPr>
        <w:pStyle w:val="SingleTxtG"/>
        <w:keepNext/>
        <w:rPr>
          <w:b/>
          <w:lang w:val="fr-FR"/>
        </w:rPr>
      </w:pPr>
      <w:r w:rsidRPr="00495333">
        <w:rPr>
          <w:lang w:val="fr-FR"/>
        </w:rPr>
        <w:t>13.</w:t>
      </w:r>
      <w:r w:rsidRPr="00495333">
        <w:rPr>
          <w:lang w:val="fr-FR"/>
        </w:rPr>
        <w:tab/>
      </w:r>
      <w:r w:rsidRPr="00495333">
        <w:rPr>
          <w:b/>
          <w:lang w:val="fr-FR"/>
        </w:rPr>
        <w:t xml:space="preserve">Compte tenu de sa recommandation générale </w:t>
      </w:r>
      <w:r w:rsidRPr="00C46E3F">
        <w:rPr>
          <w:rFonts w:eastAsia="MS Mincho"/>
          <w:b/>
          <w:lang w:val="fr-FR"/>
        </w:rPr>
        <w:t>n</w:t>
      </w:r>
      <w:r w:rsidRPr="00C46E3F">
        <w:rPr>
          <w:rFonts w:eastAsia="MS Mincho"/>
          <w:b/>
          <w:vertAlign w:val="superscript"/>
          <w:lang w:val="fr-FR"/>
        </w:rPr>
        <w:t>o</w:t>
      </w:r>
      <w:r>
        <w:rPr>
          <w:b/>
          <w:lang w:val="fr-FR"/>
        </w:rPr>
        <w:t> </w:t>
      </w:r>
      <w:r w:rsidRPr="00495333">
        <w:rPr>
          <w:b/>
          <w:lang w:val="fr-FR"/>
        </w:rPr>
        <w:t>17 (1993) concernant la création d</w:t>
      </w:r>
      <w:r w:rsidR="004252BC">
        <w:rPr>
          <w:b/>
          <w:lang w:val="fr-FR"/>
        </w:rPr>
        <w:t>’</w:t>
      </w:r>
      <w:r w:rsidRPr="00495333">
        <w:rPr>
          <w:b/>
          <w:lang w:val="fr-FR"/>
        </w:rPr>
        <w:t>organismes nationaux pour faciliter l</w:t>
      </w:r>
      <w:r w:rsidR="004252BC">
        <w:rPr>
          <w:b/>
          <w:lang w:val="fr-FR"/>
        </w:rPr>
        <w:t>’</w:t>
      </w:r>
      <w:r w:rsidRPr="00495333">
        <w:rPr>
          <w:b/>
          <w:lang w:val="fr-FR"/>
        </w:rPr>
        <w:t>application de la Convention, le Comité recommande à l</w:t>
      </w:r>
      <w:r w:rsidR="004252BC">
        <w:rPr>
          <w:b/>
          <w:lang w:val="fr-FR"/>
        </w:rPr>
        <w:t>’</w:t>
      </w:r>
      <w:r w:rsidRPr="00495333">
        <w:rPr>
          <w:b/>
          <w:lang w:val="fr-FR"/>
        </w:rPr>
        <w:t>État partie</w:t>
      </w:r>
      <w:r>
        <w:rPr>
          <w:b/>
          <w:lang w:val="fr-FR"/>
        </w:rPr>
        <w:t> :</w:t>
      </w:r>
      <w:r w:rsidRPr="00495333">
        <w:rPr>
          <w:b/>
          <w:lang w:val="fr-FR"/>
        </w:rPr>
        <w:t xml:space="preserve"> </w:t>
      </w:r>
    </w:p>
    <w:p w14:paraId="7238E228" w14:textId="77777777" w:rsidR="00384AB0" w:rsidRPr="006956F0" w:rsidRDefault="00384AB0" w:rsidP="00384AB0">
      <w:pPr>
        <w:pStyle w:val="SingleTxtG"/>
        <w:ind w:firstLine="567"/>
        <w:rPr>
          <w:b/>
          <w:lang w:val="fr-FR"/>
        </w:rPr>
      </w:pPr>
      <w:r>
        <w:rPr>
          <w:b/>
          <w:lang w:val="fr-FR"/>
        </w:rPr>
        <w:t>a</w:t>
      </w:r>
      <w:r w:rsidRPr="006956F0">
        <w:rPr>
          <w:b/>
          <w:lang w:val="fr-FR"/>
        </w:rPr>
        <w:t>)</w:t>
      </w:r>
      <w:r w:rsidRPr="006956F0">
        <w:rPr>
          <w:b/>
          <w:lang w:val="fr-FR"/>
        </w:rPr>
        <w:tab/>
      </w:r>
      <w:r>
        <w:rPr>
          <w:b/>
          <w:bCs/>
          <w:lang w:val="fr-FR"/>
        </w:rPr>
        <w:t xml:space="preserve">De créer </w:t>
      </w:r>
      <w:r w:rsidRPr="006956F0">
        <w:rPr>
          <w:b/>
          <w:bCs/>
          <w:lang w:val="fr-FR"/>
        </w:rPr>
        <w:t>une entité publique chargée de lutter contre la discrimination raciale</w:t>
      </w:r>
      <w:r>
        <w:rPr>
          <w:b/>
          <w:bCs/>
          <w:lang w:val="fr-FR"/>
        </w:rPr>
        <w:t xml:space="preserve"> et compétente pour recevoir les plaintes pour discrimination raciale</w:t>
      </w:r>
      <w:r w:rsidRPr="006956F0">
        <w:rPr>
          <w:b/>
          <w:bCs/>
          <w:lang w:val="fr-FR"/>
        </w:rPr>
        <w:t xml:space="preserve">, </w:t>
      </w:r>
      <w:r>
        <w:rPr>
          <w:b/>
          <w:bCs/>
          <w:lang w:val="fr-FR"/>
        </w:rPr>
        <w:t>et de la doter</w:t>
      </w:r>
      <w:r w:rsidRPr="006956F0">
        <w:rPr>
          <w:b/>
          <w:bCs/>
          <w:lang w:val="fr-FR"/>
        </w:rPr>
        <w:t xml:space="preserve"> de ressources financières suffisantes et d</w:t>
      </w:r>
      <w:r w:rsidR="004252BC">
        <w:rPr>
          <w:b/>
          <w:bCs/>
          <w:lang w:val="fr-FR"/>
        </w:rPr>
        <w:t>’</w:t>
      </w:r>
      <w:r w:rsidRPr="006956F0">
        <w:rPr>
          <w:b/>
          <w:bCs/>
          <w:lang w:val="fr-FR"/>
        </w:rPr>
        <w:t>un personnel approprié</w:t>
      </w:r>
      <w:r>
        <w:rPr>
          <w:b/>
          <w:bCs/>
          <w:lang w:val="fr-FR"/>
        </w:rPr>
        <w:t> ;</w:t>
      </w:r>
    </w:p>
    <w:p w14:paraId="0B491C09" w14:textId="77777777" w:rsidR="00384AB0" w:rsidRPr="00160406" w:rsidRDefault="00384AB0" w:rsidP="00384AB0">
      <w:pPr>
        <w:pStyle w:val="SingleTxtG"/>
        <w:ind w:firstLine="567"/>
        <w:rPr>
          <w:b/>
          <w:lang w:val="fr-FR"/>
        </w:rPr>
      </w:pPr>
      <w:r>
        <w:rPr>
          <w:b/>
          <w:lang w:val="fr-FR"/>
        </w:rPr>
        <w:t>b</w:t>
      </w:r>
      <w:r w:rsidRPr="00160406">
        <w:rPr>
          <w:b/>
          <w:lang w:val="fr-FR"/>
        </w:rPr>
        <w:t>)</w:t>
      </w:r>
      <w:r w:rsidRPr="00160406">
        <w:rPr>
          <w:b/>
          <w:lang w:val="fr-FR"/>
        </w:rPr>
        <w:tab/>
        <w:t>D</w:t>
      </w:r>
      <w:r w:rsidR="004252BC">
        <w:rPr>
          <w:b/>
          <w:lang w:val="fr-FR"/>
        </w:rPr>
        <w:t>’</w:t>
      </w:r>
      <w:r w:rsidRPr="00160406">
        <w:rPr>
          <w:b/>
          <w:lang w:val="fr-FR"/>
        </w:rPr>
        <w:t>assurer un financement suffisant du Bureau du Procureur chargé de la défense des droits de l</w:t>
      </w:r>
      <w:r w:rsidR="004252BC">
        <w:rPr>
          <w:b/>
          <w:lang w:val="fr-FR"/>
        </w:rPr>
        <w:t>’</w:t>
      </w:r>
      <w:r w:rsidRPr="00160406">
        <w:rPr>
          <w:b/>
          <w:lang w:val="fr-FR"/>
        </w:rPr>
        <w:t>homme</w:t>
      </w:r>
      <w:r>
        <w:rPr>
          <w:b/>
          <w:lang w:val="fr-FR"/>
        </w:rPr>
        <w:t> ;</w:t>
      </w:r>
    </w:p>
    <w:p w14:paraId="0EC5305B" w14:textId="77777777" w:rsidR="00384AB0" w:rsidRPr="006956F0" w:rsidRDefault="00873983" w:rsidP="00384AB0">
      <w:pPr>
        <w:pStyle w:val="SingleTxtG"/>
        <w:ind w:firstLine="567"/>
        <w:rPr>
          <w:b/>
          <w:lang w:val="fr-FR"/>
        </w:rPr>
      </w:pPr>
      <w:r>
        <w:rPr>
          <w:b/>
          <w:lang w:val="fr-FR"/>
        </w:rPr>
        <w:t>c</w:t>
      </w:r>
      <w:r w:rsidR="00384AB0" w:rsidRPr="006956F0">
        <w:rPr>
          <w:b/>
          <w:lang w:val="fr-FR"/>
        </w:rPr>
        <w:t>)</w:t>
      </w:r>
      <w:r w:rsidR="00384AB0" w:rsidRPr="006956F0">
        <w:rPr>
          <w:b/>
          <w:lang w:val="fr-FR"/>
        </w:rPr>
        <w:tab/>
      </w:r>
      <w:r w:rsidR="00384AB0">
        <w:rPr>
          <w:b/>
          <w:bCs/>
          <w:lang w:val="fr-FR"/>
        </w:rPr>
        <w:t>De r</w:t>
      </w:r>
      <w:r w:rsidR="00384AB0" w:rsidRPr="006956F0">
        <w:rPr>
          <w:b/>
          <w:bCs/>
          <w:lang w:val="fr-FR"/>
        </w:rPr>
        <w:t xml:space="preserve">enforcer la Direction des peuples autochtones, en </w:t>
      </w:r>
      <w:r w:rsidR="00384AB0" w:rsidRPr="004E560D">
        <w:rPr>
          <w:b/>
          <w:bCs/>
          <w:lang w:val="fr-FR"/>
        </w:rPr>
        <w:t>élargissant son mandat</w:t>
      </w:r>
      <w:r w:rsidR="00384AB0">
        <w:rPr>
          <w:b/>
          <w:bCs/>
          <w:lang w:val="fr-FR"/>
        </w:rPr>
        <w:t xml:space="preserve"> et en </w:t>
      </w:r>
      <w:r w:rsidR="00384AB0" w:rsidRPr="006956F0">
        <w:rPr>
          <w:b/>
          <w:bCs/>
          <w:lang w:val="fr-FR"/>
        </w:rPr>
        <w:t>la dotant d</w:t>
      </w:r>
      <w:r w:rsidR="004252BC">
        <w:rPr>
          <w:b/>
          <w:bCs/>
          <w:lang w:val="fr-FR"/>
        </w:rPr>
        <w:t>’</w:t>
      </w:r>
      <w:r w:rsidR="00384AB0" w:rsidRPr="006956F0">
        <w:rPr>
          <w:b/>
          <w:bCs/>
          <w:lang w:val="fr-FR"/>
        </w:rPr>
        <w:t>un financement adéquat et d</w:t>
      </w:r>
      <w:r w:rsidR="004252BC">
        <w:rPr>
          <w:b/>
          <w:bCs/>
          <w:lang w:val="fr-FR"/>
        </w:rPr>
        <w:t>’</w:t>
      </w:r>
      <w:r w:rsidR="00384AB0" w:rsidRPr="006956F0">
        <w:rPr>
          <w:b/>
          <w:bCs/>
          <w:lang w:val="fr-FR"/>
        </w:rPr>
        <w:t>un personnel approprié.</w:t>
      </w:r>
    </w:p>
    <w:p w14:paraId="3DDCD78B" w14:textId="77777777" w:rsidR="00384AB0" w:rsidRPr="006956F0" w:rsidRDefault="00384AB0" w:rsidP="00384AB0">
      <w:pPr>
        <w:pStyle w:val="H23G"/>
        <w:rPr>
          <w:lang w:val="fr-FR"/>
        </w:rPr>
      </w:pPr>
      <w:r w:rsidRPr="006956F0">
        <w:rPr>
          <w:lang w:val="fr-FR"/>
        </w:rPr>
        <w:tab/>
      </w:r>
      <w:r w:rsidRPr="006956F0">
        <w:rPr>
          <w:lang w:val="fr-FR"/>
        </w:rPr>
        <w:tab/>
        <w:t>Discrimination structurelle</w:t>
      </w:r>
    </w:p>
    <w:p w14:paraId="5C45CA15" w14:textId="77777777" w:rsidR="00384AB0" w:rsidRPr="006956F0" w:rsidRDefault="00384AB0" w:rsidP="00384AB0">
      <w:pPr>
        <w:pStyle w:val="SingleTxtG"/>
        <w:rPr>
          <w:lang w:val="fr-FR"/>
        </w:rPr>
      </w:pPr>
      <w:r w:rsidRPr="006956F0">
        <w:rPr>
          <w:lang w:val="fr-FR"/>
        </w:rPr>
        <w:t>14.</w:t>
      </w:r>
      <w:r w:rsidRPr="006956F0">
        <w:rPr>
          <w:lang w:val="fr-FR"/>
        </w:rPr>
        <w:tab/>
        <w:t>Le Comité prend note des mesures prises dans le domaine économique et social, telles que le Plan quinquennal de développement 2014-2019 du Gouvernement, la loi de 2014 sur le développement et la protection sociale et la Stratégie d</w:t>
      </w:r>
      <w:r w:rsidR="004252BC">
        <w:rPr>
          <w:lang w:val="fr-FR"/>
        </w:rPr>
        <w:t>’</w:t>
      </w:r>
      <w:r w:rsidRPr="006956F0">
        <w:rPr>
          <w:lang w:val="fr-FR"/>
        </w:rPr>
        <w:t xml:space="preserve">élimination de la pauvreté </w:t>
      </w:r>
      <w:r>
        <w:rPr>
          <w:lang w:val="fr-FR"/>
        </w:rPr>
        <w:t xml:space="preserve">de </w:t>
      </w:r>
      <w:r w:rsidRPr="006956F0">
        <w:rPr>
          <w:lang w:val="fr-FR"/>
        </w:rPr>
        <w:t>2017. Il prend note également de la création du Cabinet de la protection sociale en 2019. Toutefois, le Comité note avec préoccupation que la pauvreté et l</w:t>
      </w:r>
      <w:r w:rsidR="004252BC">
        <w:rPr>
          <w:lang w:val="fr-FR"/>
        </w:rPr>
        <w:t>’</w:t>
      </w:r>
      <w:r w:rsidRPr="006956F0">
        <w:rPr>
          <w:lang w:val="fr-FR"/>
        </w:rPr>
        <w:t>exclusion sociale continuent de toucher de manière disproportionnée les peuples autochtones, les personnes d</w:t>
      </w:r>
      <w:r w:rsidR="004252BC">
        <w:rPr>
          <w:lang w:val="fr-FR"/>
        </w:rPr>
        <w:t>’</w:t>
      </w:r>
      <w:r w:rsidRPr="006956F0">
        <w:rPr>
          <w:lang w:val="fr-FR"/>
        </w:rPr>
        <w:t>ascendance africaine, ainsi que les migrants, les réfugiés, les demandeurs d</w:t>
      </w:r>
      <w:r w:rsidR="004252BC">
        <w:rPr>
          <w:lang w:val="fr-FR"/>
        </w:rPr>
        <w:t>’</w:t>
      </w:r>
      <w:r w:rsidRPr="006956F0">
        <w:rPr>
          <w:lang w:val="fr-FR"/>
        </w:rPr>
        <w:t>asile</w:t>
      </w:r>
      <w:r>
        <w:rPr>
          <w:lang w:val="fr-FR"/>
        </w:rPr>
        <w:t>,</w:t>
      </w:r>
      <w:r w:rsidRPr="006956F0">
        <w:rPr>
          <w:lang w:val="fr-FR"/>
        </w:rPr>
        <w:t xml:space="preserve"> </w:t>
      </w:r>
      <w:r>
        <w:rPr>
          <w:lang w:val="fr-FR"/>
        </w:rPr>
        <w:t xml:space="preserve">les apatrides, les non-nationaux et </w:t>
      </w:r>
      <w:r w:rsidRPr="006956F0">
        <w:rPr>
          <w:lang w:val="fr-FR"/>
        </w:rPr>
        <w:t>les personnes déplacées dans le pays (art.</w:t>
      </w:r>
      <w:r>
        <w:rPr>
          <w:lang w:val="fr-FR"/>
        </w:rPr>
        <w:t> </w:t>
      </w:r>
      <w:r w:rsidRPr="006956F0">
        <w:rPr>
          <w:lang w:val="fr-FR"/>
        </w:rPr>
        <w:t xml:space="preserve">2 et 5). </w:t>
      </w:r>
    </w:p>
    <w:p w14:paraId="7C66789E" w14:textId="77777777" w:rsidR="00384AB0" w:rsidRPr="006956F0" w:rsidRDefault="00384AB0" w:rsidP="00384AB0">
      <w:pPr>
        <w:pStyle w:val="SingleTxtG"/>
        <w:rPr>
          <w:b/>
          <w:lang w:val="fr-FR"/>
        </w:rPr>
      </w:pPr>
      <w:r w:rsidRPr="006956F0">
        <w:rPr>
          <w:lang w:val="fr-FR"/>
        </w:rPr>
        <w:t>15.</w:t>
      </w:r>
      <w:r w:rsidRPr="006956F0">
        <w:rPr>
          <w:lang w:val="fr-FR"/>
        </w:rPr>
        <w:tab/>
      </w:r>
      <w:r w:rsidRPr="006956F0">
        <w:rPr>
          <w:b/>
          <w:bCs/>
          <w:lang w:val="fr-FR"/>
        </w:rPr>
        <w:t xml:space="preserve">Compte tenu de sa recommandation </w:t>
      </w:r>
      <w:r>
        <w:rPr>
          <w:b/>
          <w:bCs/>
          <w:lang w:val="fr-FR"/>
        </w:rPr>
        <w:t xml:space="preserve">générale </w:t>
      </w:r>
      <w:r w:rsidRPr="00C453A6">
        <w:rPr>
          <w:rFonts w:eastAsia="MS Mincho"/>
          <w:b/>
          <w:bCs/>
          <w:lang w:val="fr-FR"/>
        </w:rPr>
        <w:t>n</w:t>
      </w:r>
      <w:r w:rsidRPr="00C453A6">
        <w:rPr>
          <w:rFonts w:eastAsia="MS Mincho"/>
          <w:b/>
          <w:bCs/>
          <w:vertAlign w:val="superscript"/>
          <w:lang w:val="fr-FR"/>
        </w:rPr>
        <w:t>o</w:t>
      </w:r>
      <w:r>
        <w:rPr>
          <w:b/>
          <w:bCs/>
          <w:lang w:val="fr-FR"/>
        </w:rPr>
        <w:t> </w:t>
      </w:r>
      <w:r w:rsidRPr="006956F0">
        <w:rPr>
          <w:b/>
          <w:bCs/>
          <w:lang w:val="fr-FR"/>
        </w:rPr>
        <w:t>32 (2009) sur la signification et la portée des mesures spéciales prévues dans la Convention, le Comité recommande à l</w:t>
      </w:r>
      <w:r w:rsidR="004252BC">
        <w:rPr>
          <w:b/>
          <w:bCs/>
          <w:lang w:val="fr-FR"/>
        </w:rPr>
        <w:t>’</w:t>
      </w:r>
      <w:r w:rsidRPr="006956F0">
        <w:rPr>
          <w:b/>
          <w:bCs/>
          <w:lang w:val="fr-FR"/>
        </w:rPr>
        <w:t>État partie d</w:t>
      </w:r>
      <w:r w:rsidR="004252BC">
        <w:rPr>
          <w:b/>
          <w:bCs/>
          <w:lang w:val="fr-FR"/>
        </w:rPr>
        <w:t>’</w:t>
      </w:r>
      <w:r w:rsidRPr="006956F0">
        <w:rPr>
          <w:b/>
          <w:bCs/>
          <w:lang w:val="fr-FR"/>
        </w:rPr>
        <w:t xml:space="preserve">adopter une politique nationale globale de lutte contre la discrimination raciale et le racisme qui favorise </w:t>
      </w:r>
      <w:r>
        <w:rPr>
          <w:b/>
          <w:bCs/>
          <w:lang w:val="fr-FR"/>
        </w:rPr>
        <w:t>pleinement</w:t>
      </w:r>
      <w:r w:rsidRPr="006956F0">
        <w:rPr>
          <w:b/>
          <w:bCs/>
          <w:lang w:val="fr-FR"/>
        </w:rPr>
        <w:t xml:space="preserve"> l</w:t>
      </w:r>
      <w:r w:rsidR="004252BC">
        <w:rPr>
          <w:b/>
          <w:bCs/>
          <w:lang w:val="fr-FR"/>
        </w:rPr>
        <w:t>’</w:t>
      </w:r>
      <w:r w:rsidRPr="006956F0">
        <w:rPr>
          <w:b/>
          <w:bCs/>
          <w:lang w:val="fr-FR"/>
        </w:rPr>
        <w:t>intégration sociale et réduise les niveaux élevés de pauvreté et d</w:t>
      </w:r>
      <w:r w:rsidR="004252BC">
        <w:rPr>
          <w:b/>
          <w:bCs/>
          <w:lang w:val="fr-FR"/>
        </w:rPr>
        <w:t>’</w:t>
      </w:r>
      <w:r w:rsidRPr="006956F0">
        <w:rPr>
          <w:b/>
          <w:bCs/>
          <w:lang w:val="fr-FR"/>
        </w:rPr>
        <w:t>inégalité qui persistent chez les autochtones et les personnes d</w:t>
      </w:r>
      <w:r w:rsidR="004252BC">
        <w:rPr>
          <w:b/>
          <w:bCs/>
          <w:lang w:val="fr-FR"/>
        </w:rPr>
        <w:t>’</w:t>
      </w:r>
      <w:r w:rsidRPr="006956F0">
        <w:rPr>
          <w:b/>
          <w:bCs/>
          <w:lang w:val="fr-FR"/>
        </w:rPr>
        <w:t xml:space="preserve">ascendance africaine, en </w:t>
      </w:r>
      <w:r>
        <w:rPr>
          <w:b/>
          <w:bCs/>
          <w:lang w:val="fr-FR"/>
        </w:rPr>
        <w:t>accordant la</w:t>
      </w:r>
      <w:r w:rsidRPr="006956F0">
        <w:rPr>
          <w:b/>
          <w:bCs/>
          <w:lang w:val="fr-FR"/>
        </w:rPr>
        <w:t xml:space="preserve"> priorité aux mesures propres à améliorer le niveau de vie des enfants de ces groupes.</w:t>
      </w:r>
      <w:r w:rsidRPr="006956F0">
        <w:rPr>
          <w:lang w:val="fr-FR"/>
        </w:rPr>
        <w:t xml:space="preserve"> </w:t>
      </w:r>
    </w:p>
    <w:p w14:paraId="022E424F" w14:textId="77777777" w:rsidR="00384AB0" w:rsidRPr="006956F0" w:rsidRDefault="00384AB0" w:rsidP="00384AB0">
      <w:pPr>
        <w:pStyle w:val="H23G"/>
        <w:rPr>
          <w:lang w:val="fr-FR"/>
        </w:rPr>
      </w:pPr>
      <w:r w:rsidRPr="006956F0">
        <w:rPr>
          <w:lang w:val="fr-FR"/>
        </w:rPr>
        <w:tab/>
      </w:r>
      <w:r w:rsidRPr="006956F0">
        <w:rPr>
          <w:lang w:val="fr-FR"/>
        </w:rPr>
        <w:tab/>
        <w:t>Situation des personnes d</w:t>
      </w:r>
      <w:r w:rsidR="004252BC">
        <w:rPr>
          <w:lang w:val="fr-FR"/>
        </w:rPr>
        <w:t>’</w:t>
      </w:r>
      <w:r w:rsidRPr="006956F0">
        <w:rPr>
          <w:lang w:val="fr-FR"/>
        </w:rPr>
        <w:t>ascendance africaine</w:t>
      </w:r>
    </w:p>
    <w:p w14:paraId="43B27C62" w14:textId="77777777" w:rsidR="00384AB0" w:rsidRPr="00C21D05" w:rsidRDefault="00384AB0" w:rsidP="00384AB0">
      <w:pPr>
        <w:pStyle w:val="SingleTxtG"/>
        <w:rPr>
          <w:spacing w:val="-2"/>
          <w:lang w:val="fr-FR"/>
        </w:rPr>
      </w:pPr>
      <w:r w:rsidRPr="006956F0">
        <w:rPr>
          <w:lang w:val="fr-FR"/>
        </w:rPr>
        <w:t>16.</w:t>
      </w:r>
      <w:r w:rsidRPr="006956F0">
        <w:rPr>
          <w:lang w:val="fr-FR"/>
        </w:rPr>
        <w:tab/>
      </w:r>
      <w:r w:rsidRPr="00C21D05">
        <w:rPr>
          <w:spacing w:val="-2"/>
          <w:lang w:val="fr-FR"/>
        </w:rPr>
        <w:t>Le Comité prend note de la présentation à l</w:t>
      </w:r>
      <w:r w:rsidR="004252BC">
        <w:rPr>
          <w:spacing w:val="-2"/>
          <w:lang w:val="fr-FR"/>
        </w:rPr>
        <w:t>’</w:t>
      </w:r>
      <w:r w:rsidRPr="00C21D05">
        <w:rPr>
          <w:spacing w:val="-2"/>
          <w:lang w:val="fr-FR"/>
        </w:rPr>
        <w:t>Assemblée législative d</w:t>
      </w:r>
      <w:r w:rsidR="004252BC">
        <w:rPr>
          <w:spacing w:val="-2"/>
          <w:lang w:val="fr-FR"/>
        </w:rPr>
        <w:t>’</w:t>
      </w:r>
      <w:r w:rsidRPr="00C21D05">
        <w:rPr>
          <w:spacing w:val="-2"/>
          <w:lang w:val="fr-FR"/>
        </w:rPr>
        <w:t>une proposition visant à modifier le deuxième paragraphe de l</w:t>
      </w:r>
      <w:r w:rsidR="004252BC">
        <w:rPr>
          <w:spacing w:val="-2"/>
          <w:lang w:val="fr-FR"/>
        </w:rPr>
        <w:t>’</w:t>
      </w:r>
      <w:r w:rsidRPr="00C21D05">
        <w:rPr>
          <w:spacing w:val="-2"/>
          <w:lang w:val="fr-FR"/>
        </w:rPr>
        <w:t>article 63 de la Constitution de l</w:t>
      </w:r>
      <w:r w:rsidR="004252BC">
        <w:rPr>
          <w:spacing w:val="-2"/>
          <w:lang w:val="fr-FR"/>
        </w:rPr>
        <w:t>’</w:t>
      </w:r>
      <w:r w:rsidRPr="00C21D05">
        <w:rPr>
          <w:spacing w:val="-2"/>
          <w:lang w:val="fr-FR"/>
        </w:rPr>
        <w:t>État partie, de manière à reconnaître l</w:t>
      </w:r>
      <w:r w:rsidR="004252BC">
        <w:rPr>
          <w:spacing w:val="-2"/>
          <w:lang w:val="fr-FR"/>
        </w:rPr>
        <w:t>’</w:t>
      </w:r>
      <w:r w:rsidRPr="00C21D05">
        <w:rPr>
          <w:spacing w:val="-2"/>
          <w:lang w:val="fr-FR"/>
        </w:rPr>
        <w:t>existence de la population d</w:t>
      </w:r>
      <w:r w:rsidR="004252BC">
        <w:rPr>
          <w:spacing w:val="-2"/>
          <w:lang w:val="fr-FR"/>
        </w:rPr>
        <w:t>’</w:t>
      </w:r>
      <w:r w:rsidRPr="00C21D05">
        <w:rPr>
          <w:spacing w:val="-2"/>
          <w:lang w:val="fr-FR"/>
        </w:rPr>
        <w:t>ascendance africaine. Le Comité prend note des initiatives visant à reconnaître l</w:t>
      </w:r>
      <w:r w:rsidR="004252BC">
        <w:rPr>
          <w:spacing w:val="-2"/>
          <w:lang w:val="fr-FR"/>
        </w:rPr>
        <w:t>’</w:t>
      </w:r>
      <w:r w:rsidRPr="00C21D05">
        <w:rPr>
          <w:spacing w:val="-2"/>
          <w:lang w:val="fr-FR"/>
        </w:rPr>
        <w:t>histoire et la culture de la population d</w:t>
      </w:r>
      <w:r w:rsidR="004252BC">
        <w:rPr>
          <w:spacing w:val="-2"/>
          <w:lang w:val="fr-FR"/>
        </w:rPr>
        <w:t>’</w:t>
      </w:r>
      <w:r w:rsidRPr="00C21D05">
        <w:rPr>
          <w:spacing w:val="-2"/>
          <w:lang w:val="fr-FR"/>
        </w:rPr>
        <w:t>ascendance africaine, mais il est préoccupé par l</w:t>
      </w:r>
      <w:r w:rsidR="004252BC">
        <w:rPr>
          <w:spacing w:val="-2"/>
          <w:lang w:val="fr-FR"/>
        </w:rPr>
        <w:t>’</w:t>
      </w:r>
      <w:r w:rsidRPr="00C21D05">
        <w:rPr>
          <w:spacing w:val="-2"/>
          <w:lang w:val="fr-FR"/>
        </w:rPr>
        <w:t>absence d</w:t>
      </w:r>
      <w:r w:rsidR="004252BC">
        <w:rPr>
          <w:spacing w:val="-2"/>
          <w:lang w:val="fr-FR"/>
        </w:rPr>
        <w:t>’</w:t>
      </w:r>
      <w:r w:rsidRPr="00C21D05">
        <w:rPr>
          <w:spacing w:val="-2"/>
          <w:lang w:val="fr-FR"/>
        </w:rPr>
        <w:t>une politique nationale de protection des droits de cette population. Il constate également avec inquiétude qu</w:t>
      </w:r>
      <w:r w:rsidR="004252BC">
        <w:rPr>
          <w:spacing w:val="-2"/>
          <w:lang w:val="fr-FR"/>
        </w:rPr>
        <w:t>’</w:t>
      </w:r>
      <w:r w:rsidRPr="00C21D05">
        <w:rPr>
          <w:spacing w:val="-2"/>
          <w:lang w:val="fr-FR"/>
        </w:rPr>
        <w:t>aucun organe de l</w:t>
      </w:r>
      <w:r w:rsidR="004252BC">
        <w:rPr>
          <w:spacing w:val="-2"/>
          <w:lang w:val="fr-FR"/>
        </w:rPr>
        <w:t>’</w:t>
      </w:r>
      <w:r w:rsidRPr="00C21D05">
        <w:rPr>
          <w:spacing w:val="-2"/>
          <w:lang w:val="fr-FR"/>
        </w:rPr>
        <w:t>État ne s</w:t>
      </w:r>
      <w:r w:rsidR="004252BC">
        <w:rPr>
          <w:spacing w:val="-2"/>
          <w:lang w:val="fr-FR"/>
        </w:rPr>
        <w:t>’</w:t>
      </w:r>
      <w:r w:rsidRPr="00C21D05">
        <w:rPr>
          <w:spacing w:val="-2"/>
          <w:lang w:val="fr-FR"/>
        </w:rPr>
        <w:t xml:space="preserve">occupe </w:t>
      </w:r>
      <w:r w:rsidRPr="00E13477">
        <w:rPr>
          <w:spacing w:val="-2"/>
          <w:lang w:val="fr-FR"/>
        </w:rPr>
        <w:t>exclusivement</w:t>
      </w:r>
      <w:r w:rsidRPr="00C21D05">
        <w:rPr>
          <w:spacing w:val="-2"/>
          <w:lang w:val="fr-FR"/>
        </w:rPr>
        <w:t xml:space="preserve"> de la population d</w:t>
      </w:r>
      <w:r w:rsidR="004252BC">
        <w:rPr>
          <w:spacing w:val="-2"/>
          <w:lang w:val="fr-FR"/>
        </w:rPr>
        <w:t>’</w:t>
      </w:r>
      <w:r w:rsidRPr="00C21D05">
        <w:rPr>
          <w:spacing w:val="-2"/>
          <w:lang w:val="fr-FR"/>
        </w:rPr>
        <w:t>ascendance africaine (art. 2 et 5).</w:t>
      </w:r>
    </w:p>
    <w:p w14:paraId="315A9179" w14:textId="77777777" w:rsidR="00384AB0" w:rsidRPr="00594B18" w:rsidRDefault="00384AB0" w:rsidP="00384AB0">
      <w:pPr>
        <w:pStyle w:val="SingleTxtG"/>
        <w:keepNext/>
        <w:rPr>
          <w:b/>
          <w:lang w:val="fr-FR"/>
        </w:rPr>
      </w:pPr>
      <w:r w:rsidRPr="00594B18">
        <w:rPr>
          <w:lang w:val="fr-FR"/>
        </w:rPr>
        <w:t>17.</w:t>
      </w:r>
      <w:r w:rsidRPr="00594B18">
        <w:rPr>
          <w:lang w:val="fr-FR"/>
        </w:rPr>
        <w:tab/>
      </w:r>
      <w:r w:rsidRPr="00594B18">
        <w:rPr>
          <w:b/>
          <w:lang w:val="fr-FR"/>
        </w:rPr>
        <w:t xml:space="preserve">À la lumière de sa recommandation générale </w:t>
      </w:r>
      <w:r w:rsidRPr="00C453A6">
        <w:rPr>
          <w:rFonts w:eastAsia="MS Mincho"/>
          <w:b/>
          <w:lang w:val="fr-FR"/>
        </w:rPr>
        <w:t>n</w:t>
      </w:r>
      <w:r w:rsidRPr="00C453A6">
        <w:rPr>
          <w:rFonts w:eastAsia="MS Mincho"/>
          <w:b/>
          <w:vertAlign w:val="superscript"/>
          <w:lang w:val="fr-FR"/>
        </w:rPr>
        <w:t>o</w:t>
      </w:r>
      <w:r>
        <w:rPr>
          <w:lang w:val="fr-FR"/>
        </w:rPr>
        <w:t> </w:t>
      </w:r>
      <w:r w:rsidRPr="00594B18">
        <w:rPr>
          <w:b/>
          <w:lang w:val="fr-FR"/>
        </w:rPr>
        <w:t>34 (2011) sur la discrimination raciale à l</w:t>
      </w:r>
      <w:r w:rsidR="004252BC">
        <w:rPr>
          <w:b/>
          <w:lang w:val="fr-FR"/>
        </w:rPr>
        <w:t>’</w:t>
      </w:r>
      <w:r w:rsidRPr="00594B18">
        <w:rPr>
          <w:b/>
          <w:lang w:val="fr-FR"/>
        </w:rPr>
        <w:t>égard des personnes d</w:t>
      </w:r>
      <w:r w:rsidR="004252BC">
        <w:rPr>
          <w:b/>
          <w:lang w:val="fr-FR"/>
        </w:rPr>
        <w:t>’</w:t>
      </w:r>
      <w:r w:rsidRPr="00594B18">
        <w:rPr>
          <w:b/>
          <w:lang w:val="fr-FR"/>
        </w:rPr>
        <w:t>ascendance africaine, le Comité recommande à l</w:t>
      </w:r>
      <w:r w:rsidR="004252BC">
        <w:rPr>
          <w:b/>
          <w:lang w:val="fr-FR"/>
        </w:rPr>
        <w:t>’</w:t>
      </w:r>
      <w:r w:rsidRPr="00594B18">
        <w:rPr>
          <w:b/>
          <w:lang w:val="fr-FR"/>
        </w:rPr>
        <w:t>État partie</w:t>
      </w:r>
      <w:r>
        <w:rPr>
          <w:b/>
          <w:lang w:val="fr-FR"/>
        </w:rPr>
        <w:t> :</w:t>
      </w:r>
    </w:p>
    <w:p w14:paraId="7A8B9F94" w14:textId="77777777" w:rsidR="00384AB0" w:rsidRPr="006956F0" w:rsidRDefault="00384AB0" w:rsidP="00384AB0">
      <w:pPr>
        <w:pStyle w:val="SingleTxtG"/>
        <w:ind w:firstLine="567"/>
        <w:rPr>
          <w:b/>
          <w:lang w:val="fr-FR"/>
        </w:rPr>
      </w:pPr>
      <w:r w:rsidRPr="006956F0">
        <w:rPr>
          <w:b/>
          <w:lang w:val="fr-FR"/>
        </w:rPr>
        <w:t>a)</w:t>
      </w:r>
      <w:r w:rsidRPr="006956F0">
        <w:rPr>
          <w:b/>
          <w:lang w:val="fr-FR"/>
        </w:rPr>
        <w:tab/>
      </w:r>
      <w:r>
        <w:rPr>
          <w:b/>
          <w:bCs/>
          <w:lang w:val="fr-FR"/>
        </w:rPr>
        <w:t>D</w:t>
      </w:r>
      <w:r w:rsidR="004252BC">
        <w:rPr>
          <w:b/>
          <w:bCs/>
          <w:lang w:val="fr-FR"/>
        </w:rPr>
        <w:t>’</w:t>
      </w:r>
      <w:r>
        <w:rPr>
          <w:b/>
          <w:bCs/>
          <w:lang w:val="fr-FR"/>
        </w:rPr>
        <w:t>a</w:t>
      </w:r>
      <w:r w:rsidRPr="006956F0">
        <w:rPr>
          <w:b/>
          <w:bCs/>
          <w:lang w:val="fr-FR"/>
        </w:rPr>
        <w:t>dopter rapidement la réforme constitutionnelle visant à reconnaître l</w:t>
      </w:r>
      <w:r w:rsidR="004252BC">
        <w:rPr>
          <w:b/>
          <w:bCs/>
          <w:lang w:val="fr-FR"/>
        </w:rPr>
        <w:t>’</w:t>
      </w:r>
      <w:r w:rsidRPr="006956F0">
        <w:rPr>
          <w:b/>
          <w:bCs/>
          <w:lang w:val="fr-FR"/>
        </w:rPr>
        <w:t>existence de la population d</w:t>
      </w:r>
      <w:r w:rsidR="004252BC">
        <w:rPr>
          <w:b/>
          <w:bCs/>
          <w:lang w:val="fr-FR"/>
        </w:rPr>
        <w:t>’</w:t>
      </w:r>
      <w:r w:rsidRPr="006956F0">
        <w:rPr>
          <w:b/>
          <w:bCs/>
          <w:lang w:val="fr-FR"/>
        </w:rPr>
        <w:t>ascendance africaine dans l</w:t>
      </w:r>
      <w:r w:rsidR="004252BC">
        <w:rPr>
          <w:b/>
          <w:bCs/>
          <w:lang w:val="fr-FR"/>
        </w:rPr>
        <w:t>’</w:t>
      </w:r>
      <w:r w:rsidRPr="006956F0">
        <w:rPr>
          <w:b/>
          <w:bCs/>
          <w:lang w:val="fr-FR"/>
        </w:rPr>
        <w:t>État partie</w:t>
      </w:r>
      <w:r>
        <w:rPr>
          <w:b/>
          <w:bCs/>
          <w:lang w:val="fr-FR"/>
        </w:rPr>
        <w:t> ;</w:t>
      </w:r>
    </w:p>
    <w:p w14:paraId="5975DBB0" w14:textId="77777777" w:rsidR="00384AB0" w:rsidRPr="006956F0" w:rsidRDefault="00384AB0" w:rsidP="00384AB0">
      <w:pPr>
        <w:pStyle w:val="SingleTxtG"/>
        <w:ind w:firstLine="567"/>
        <w:rPr>
          <w:b/>
          <w:lang w:val="fr-FR"/>
        </w:rPr>
      </w:pPr>
      <w:r w:rsidRPr="006956F0">
        <w:rPr>
          <w:b/>
          <w:lang w:val="fr-FR"/>
        </w:rPr>
        <w:t>b)</w:t>
      </w:r>
      <w:r w:rsidRPr="006956F0">
        <w:rPr>
          <w:b/>
          <w:lang w:val="fr-FR"/>
        </w:rPr>
        <w:tab/>
      </w:r>
      <w:r>
        <w:rPr>
          <w:b/>
          <w:bCs/>
          <w:lang w:val="fr-FR"/>
        </w:rPr>
        <w:t>De m</w:t>
      </w:r>
      <w:r w:rsidRPr="006956F0">
        <w:rPr>
          <w:b/>
          <w:bCs/>
          <w:lang w:val="fr-FR"/>
        </w:rPr>
        <w:t>ettre en place des initiatives pour protéger les droits de la population d</w:t>
      </w:r>
      <w:r w:rsidR="004252BC">
        <w:rPr>
          <w:b/>
          <w:bCs/>
          <w:lang w:val="fr-FR"/>
        </w:rPr>
        <w:t>’</w:t>
      </w:r>
      <w:r w:rsidRPr="006956F0">
        <w:rPr>
          <w:b/>
          <w:bCs/>
          <w:lang w:val="fr-FR"/>
        </w:rPr>
        <w:t>ascendance africaine avec la participation des communautés et organisations concernées</w:t>
      </w:r>
      <w:r>
        <w:rPr>
          <w:b/>
          <w:bCs/>
          <w:lang w:val="fr-FR"/>
        </w:rPr>
        <w:t> ;</w:t>
      </w:r>
      <w:r w:rsidRPr="006956F0">
        <w:rPr>
          <w:lang w:val="fr-FR"/>
        </w:rPr>
        <w:t xml:space="preserve"> </w:t>
      </w:r>
    </w:p>
    <w:p w14:paraId="1979D092" w14:textId="77777777" w:rsidR="00384AB0" w:rsidRPr="006956F0" w:rsidRDefault="00384AB0" w:rsidP="00384AB0">
      <w:pPr>
        <w:pStyle w:val="SingleTxtG"/>
        <w:ind w:firstLine="567"/>
        <w:rPr>
          <w:b/>
          <w:lang w:val="fr-FR"/>
        </w:rPr>
      </w:pPr>
      <w:r w:rsidRPr="006956F0">
        <w:rPr>
          <w:b/>
          <w:lang w:val="fr-FR"/>
        </w:rPr>
        <w:t>c)</w:t>
      </w:r>
      <w:r w:rsidRPr="006956F0">
        <w:rPr>
          <w:b/>
          <w:lang w:val="fr-FR"/>
        </w:rPr>
        <w:tab/>
      </w:r>
      <w:r>
        <w:rPr>
          <w:b/>
          <w:bCs/>
          <w:lang w:val="fr-FR"/>
        </w:rPr>
        <w:t>De c</w:t>
      </w:r>
      <w:r w:rsidRPr="006956F0">
        <w:rPr>
          <w:b/>
          <w:bCs/>
          <w:lang w:val="fr-FR"/>
        </w:rPr>
        <w:t>réer une entité publique pour la protection et la promotion des droits de la population d</w:t>
      </w:r>
      <w:r w:rsidR="004252BC">
        <w:rPr>
          <w:b/>
          <w:bCs/>
          <w:lang w:val="fr-FR"/>
        </w:rPr>
        <w:t>’</w:t>
      </w:r>
      <w:r w:rsidRPr="006956F0">
        <w:rPr>
          <w:b/>
          <w:bCs/>
          <w:lang w:val="fr-FR"/>
        </w:rPr>
        <w:t>ascendance africaine.</w:t>
      </w:r>
    </w:p>
    <w:p w14:paraId="71433E83" w14:textId="77777777" w:rsidR="00384AB0" w:rsidRPr="006956F0" w:rsidRDefault="00384AB0" w:rsidP="00384AB0">
      <w:pPr>
        <w:pStyle w:val="H23G"/>
        <w:rPr>
          <w:lang w:val="fr-FR"/>
        </w:rPr>
      </w:pPr>
      <w:r w:rsidRPr="006956F0">
        <w:rPr>
          <w:lang w:val="fr-FR"/>
        </w:rPr>
        <w:tab/>
      </w:r>
      <w:r w:rsidRPr="006956F0">
        <w:rPr>
          <w:lang w:val="fr-FR"/>
        </w:rPr>
        <w:tab/>
        <w:t>Cadre juridique relatif aux droits des peuples autochtones</w:t>
      </w:r>
    </w:p>
    <w:p w14:paraId="3BC220C0" w14:textId="77777777" w:rsidR="00384AB0" w:rsidRPr="006956F0" w:rsidRDefault="00384AB0" w:rsidP="00384AB0">
      <w:pPr>
        <w:pStyle w:val="SingleTxtG"/>
        <w:rPr>
          <w:lang w:val="fr-FR"/>
        </w:rPr>
      </w:pPr>
      <w:r w:rsidRPr="006956F0">
        <w:rPr>
          <w:lang w:val="fr-FR"/>
        </w:rPr>
        <w:t>18.</w:t>
      </w:r>
      <w:r w:rsidRPr="006956F0">
        <w:rPr>
          <w:lang w:val="fr-FR"/>
        </w:rPr>
        <w:tab/>
        <w:t>Le Comité prend note de la reconnaissance constitutionnelle des peuples autochtones et du projet de loi sur les droits des peuples autochtones examiné par l</w:t>
      </w:r>
      <w:r w:rsidR="004252BC">
        <w:rPr>
          <w:lang w:val="fr-FR"/>
        </w:rPr>
        <w:t>’</w:t>
      </w:r>
      <w:r w:rsidRPr="006956F0">
        <w:rPr>
          <w:lang w:val="fr-FR"/>
        </w:rPr>
        <w:t xml:space="preserve">Assemblée législative. Il prend </w:t>
      </w:r>
      <w:r>
        <w:rPr>
          <w:lang w:val="fr-FR"/>
        </w:rPr>
        <w:t xml:space="preserve">également </w:t>
      </w:r>
      <w:r w:rsidRPr="006956F0">
        <w:rPr>
          <w:lang w:val="fr-FR"/>
        </w:rPr>
        <w:t>note de la loi générale sur la culture, qui comprend un chapitre relatif aux droits des peuples autochtones, et des sept ordonnances municipales sur les droits des communautés autochtones. Toutefois, le Comité constate avec préoccupation que l</w:t>
      </w:r>
      <w:r w:rsidR="004252BC">
        <w:rPr>
          <w:lang w:val="fr-FR"/>
        </w:rPr>
        <w:t>’</w:t>
      </w:r>
      <w:r w:rsidRPr="006956F0">
        <w:rPr>
          <w:lang w:val="fr-FR"/>
        </w:rPr>
        <w:t xml:space="preserve">élaboration des normes et des politiques publiques se fonde sur la Convention </w:t>
      </w:r>
      <w:r>
        <w:rPr>
          <w:lang w:val="fr-FR"/>
        </w:rPr>
        <w:t>de 1957 relative aux populations aborigènes et tribales (</w:t>
      </w:r>
      <w:r w:rsidRPr="00B60932">
        <w:rPr>
          <w:rFonts w:eastAsia="MS Mincho"/>
          <w:lang w:val="fr-FR"/>
        </w:rPr>
        <w:t>n</w:t>
      </w:r>
      <w:r w:rsidRPr="00B60932">
        <w:rPr>
          <w:rFonts w:eastAsia="MS Mincho"/>
          <w:vertAlign w:val="superscript"/>
          <w:lang w:val="fr-FR"/>
        </w:rPr>
        <w:t>o</w:t>
      </w:r>
      <w:r>
        <w:rPr>
          <w:lang w:val="fr-FR"/>
        </w:rPr>
        <w:t> </w:t>
      </w:r>
      <w:r w:rsidRPr="006956F0">
        <w:rPr>
          <w:lang w:val="fr-FR"/>
        </w:rPr>
        <w:t>107</w:t>
      </w:r>
      <w:r>
        <w:rPr>
          <w:lang w:val="fr-FR"/>
        </w:rPr>
        <w:t>)</w:t>
      </w:r>
      <w:r w:rsidRPr="006956F0">
        <w:rPr>
          <w:lang w:val="fr-FR"/>
        </w:rPr>
        <w:t xml:space="preserve"> de l</w:t>
      </w:r>
      <w:r w:rsidR="004252BC">
        <w:rPr>
          <w:lang w:val="fr-FR"/>
        </w:rPr>
        <w:t>’</w:t>
      </w:r>
      <w:r w:rsidRPr="006956F0">
        <w:rPr>
          <w:lang w:val="fr-FR"/>
        </w:rPr>
        <w:t>Organisation internationale du Travail</w:t>
      </w:r>
      <w:r>
        <w:rPr>
          <w:lang w:val="fr-FR"/>
        </w:rPr>
        <w:t xml:space="preserve"> (OIT)</w:t>
      </w:r>
      <w:r w:rsidRPr="006956F0">
        <w:rPr>
          <w:lang w:val="fr-FR"/>
        </w:rPr>
        <w:t>, qui a perdu sa pertinence et sa validité en droit international en raison de son orientation assimilatrice. En outre, le Comité est préoccupé par l</w:t>
      </w:r>
      <w:r w:rsidR="004252BC">
        <w:rPr>
          <w:lang w:val="fr-FR"/>
        </w:rPr>
        <w:t>’</w:t>
      </w:r>
      <w:r w:rsidRPr="006956F0">
        <w:rPr>
          <w:lang w:val="fr-FR"/>
        </w:rPr>
        <w:t xml:space="preserve">absence de consultations </w:t>
      </w:r>
      <w:r>
        <w:rPr>
          <w:lang w:val="fr-FR"/>
        </w:rPr>
        <w:t>satisfaisantes</w:t>
      </w:r>
      <w:r w:rsidRPr="006956F0">
        <w:rPr>
          <w:lang w:val="fr-FR"/>
        </w:rPr>
        <w:t xml:space="preserve"> sur la législation relative aux peuples autochtones, en particulier les ordonnances municipales et le projet de loi sur les droits des peuples autochtones (art.</w:t>
      </w:r>
      <w:r>
        <w:rPr>
          <w:lang w:val="fr-FR"/>
        </w:rPr>
        <w:t> </w:t>
      </w:r>
      <w:r w:rsidRPr="006956F0">
        <w:rPr>
          <w:lang w:val="fr-FR"/>
        </w:rPr>
        <w:t>2 et</w:t>
      </w:r>
      <w:r>
        <w:rPr>
          <w:lang w:val="fr-FR"/>
        </w:rPr>
        <w:t> </w:t>
      </w:r>
      <w:r w:rsidRPr="006956F0">
        <w:rPr>
          <w:lang w:val="fr-FR"/>
        </w:rPr>
        <w:t xml:space="preserve">5). </w:t>
      </w:r>
    </w:p>
    <w:p w14:paraId="216F34A7" w14:textId="77777777" w:rsidR="00384AB0" w:rsidRPr="00D5047D" w:rsidRDefault="00384AB0" w:rsidP="00384AB0">
      <w:pPr>
        <w:pStyle w:val="SingleTxtG"/>
        <w:keepNext/>
        <w:rPr>
          <w:b/>
          <w:lang w:val="fr-FR"/>
        </w:rPr>
      </w:pPr>
      <w:r w:rsidRPr="00D5047D">
        <w:rPr>
          <w:lang w:val="fr-FR"/>
        </w:rPr>
        <w:t>19.</w:t>
      </w:r>
      <w:r w:rsidRPr="00D5047D">
        <w:rPr>
          <w:lang w:val="fr-FR"/>
        </w:rPr>
        <w:tab/>
      </w:r>
      <w:r w:rsidRPr="00D5047D">
        <w:rPr>
          <w:b/>
          <w:lang w:val="fr-FR"/>
        </w:rPr>
        <w:t>Le Comi</w:t>
      </w:r>
      <w:r>
        <w:rPr>
          <w:b/>
          <w:lang w:val="fr-FR"/>
        </w:rPr>
        <w:t>té recommande à l</w:t>
      </w:r>
      <w:r w:rsidR="004252BC">
        <w:rPr>
          <w:b/>
          <w:lang w:val="fr-FR"/>
        </w:rPr>
        <w:t>’</w:t>
      </w:r>
      <w:r>
        <w:rPr>
          <w:b/>
          <w:lang w:val="fr-FR"/>
        </w:rPr>
        <w:t>État partie :</w:t>
      </w:r>
      <w:r w:rsidRPr="00D5047D">
        <w:rPr>
          <w:b/>
          <w:lang w:val="fr-FR"/>
        </w:rPr>
        <w:t xml:space="preserve"> </w:t>
      </w:r>
    </w:p>
    <w:p w14:paraId="4243A869" w14:textId="77777777" w:rsidR="00384AB0" w:rsidRPr="006956F0" w:rsidRDefault="00384AB0" w:rsidP="00384AB0">
      <w:pPr>
        <w:pStyle w:val="SingleTxtG"/>
        <w:ind w:firstLine="567"/>
        <w:rPr>
          <w:b/>
          <w:lang w:val="fr-FR"/>
        </w:rPr>
      </w:pPr>
      <w:r w:rsidRPr="006956F0">
        <w:rPr>
          <w:b/>
          <w:lang w:val="fr-FR"/>
        </w:rPr>
        <w:t>a)</w:t>
      </w:r>
      <w:r w:rsidRPr="006956F0">
        <w:rPr>
          <w:b/>
          <w:lang w:val="fr-FR"/>
        </w:rPr>
        <w:tab/>
      </w:r>
      <w:r>
        <w:rPr>
          <w:b/>
          <w:bCs/>
          <w:lang w:val="fr-FR"/>
        </w:rPr>
        <w:t>D</w:t>
      </w:r>
      <w:r w:rsidR="004252BC">
        <w:rPr>
          <w:b/>
          <w:bCs/>
          <w:lang w:val="fr-FR"/>
        </w:rPr>
        <w:t>’</w:t>
      </w:r>
      <w:r>
        <w:rPr>
          <w:b/>
          <w:bCs/>
          <w:lang w:val="fr-FR"/>
        </w:rPr>
        <w:t>a</w:t>
      </w:r>
      <w:r w:rsidRPr="006956F0">
        <w:rPr>
          <w:b/>
          <w:bCs/>
          <w:lang w:val="fr-FR"/>
        </w:rPr>
        <w:t xml:space="preserve">ccélérer la ratification de la Convention </w:t>
      </w:r>
      <w:r>
        <w:rPr>
          <w:b/>
          <w:bCs/>
          <w:lang w:val="fr-FR"/>
        </w:rPr>
        <w:t>de 1989 concernant les peuples indigènes et tribaux (</w:t>
      </w:r>
      <w:r w:rsidRPr="00B60932">
        <w:rPr>
          <w:rFonts w:eastAsia="MS Mincho"/>
          <w:b/>
          <w:bCs/>
          <w:lang w:val="fr-FR"/>
        </w:rPr>
        <w:t>n</w:t>
      </w:r>
      <w:r w:rsidRPr="00B60932">
        <w:rPr>
          <w:rFonts w:eastAsia="MS Mincho"/>
          <w:b/>
          <w:bCs/>
          <w:vertAlign w:val="superscript"/>
          <w:lang w:val="fr-FR"/>
        </w:rPr>
        <w:t>o</w:t>
      </w:r>
      <w:r>
        <w:rPr>
          <w:b/>
          <w:bCs/>
          <w:lang w:val="fr-FR"/>
        </w:rPr>
        <w:t> </w:t>
      </w:r>
      <w:r w:rsidRPr="006956F0">
        <w:rPr>
          <w:b/>
          <w:bCs/>
          <w:lang w:val="fr-FR"/>
        </w:rPr>
        <w:t>169</w:t>
      </w:r>
      <w:r>
        <w:rPr>
          <w:b/>
          <w:bCs/>
          <w:lang w:val="fr-FR"/>
        </w:rPr>
        <w:t>)</w:t>
      </w:r>
      <w:r w:rsidRPr="006956F0">
        <w:rPr>
          <w:b/>
          <w:bCs/>
          <w:lang w:val="fr-FR"/>
        </w:rPr>
        <w:t xml:space="preserve"> de l</w:t>
      </w:r>
      <w:r w:rsidR="004252BC">
        <w:rPr>
          <w:b/>
          <w:bCs/>
          <w:lang w:val="fr-FR"/>
        </w:rPr>
        <w:t>’</w:t>
      </w:r>
      <w:r w:rsidRPr="006956F0">
        <w:rPr>
          <w:b/>
          <w:bCs/>
          <w:lang w:val="fr-FR"/>
        </w:rPr>
        <w:t>O</w:t>
      </w:r>
      <w:r>
        <w:rPr>
          <w:b/>
          <w:bCs/>
          <w:lang w:val="fr-FR"/>
        </w:rPr>
        <w:t>IT</w:t>
      </w:r>
      <w:r w:rsidRPr="006956F0">
        <w:rPr>
          <w:b/>
          <w:bCs/>
          <w:lang w:val="fr-FR"/>
        </w:rPr>
        <w:t>, compte tenu des recommandations répétées du Comité (CERD/C/SLV/CO/14-15, par.</w:t>
      </w:r>
      <w:r>
        <w:rPr>
          <w:b/>
          <w:bCs/>
          <w:lang w:val="fr-FR"/>
        </w:rPr>
        <w:t> </w:t>
      </w:r>
      <w:r w:rsidRPr="006956F0">
        <w:rPr>
          <w:b/>
          <w:bCs/>
          <w:lang w:val="fr-FR"/>
        </w:rPr>
        <w:t>15</w:t>
      </w:r>
      <w:r>
        <w:rPr>
          <w:b/>
          <w:bCs/>
          <w:lang w:val="fr-FR"/>
        </w:rPr>
        <w:t xml:space="preserve">, </w:t>
      </w:r>
      <w:r w:rsidRPr="006956F0">
        <w:rPr>
          <w:b/>
          <w:bCs/>
          <w:lang w:val="fr-FR"/>
        </w:rPr>
        <w:t>et CERD/C/SLV/CO/16-17, par.</w:t>
      </w:r>
      <w:r>
        <w:rPr>
          <w:lang w:val="fr-FR"/>
        </w:rPr>
        <w:t> </w:t>
      </w:r>
      <w:r w:rsidRPr="006956F0">
        <w:rPr>
          <w:b/>
          <w:bCs/>
          <w:lang w:val="fr-FR"/>
        </w:rPr>
        <w:t>16)</w:t>
      </w:r>
      <w:r>
        <w:rPr>
          <w:b/>
          <w:bCs/>
          <w:lang w:val="fr-FR"/>
        </w:rPr>
        <w:t> ;</w:t>
      </w:r>
    </w:p>
    <w:p w14:paraId="38A09165" w14:textId="77777777" w:rsidR="00384AB0" w:rsidRPr="006956F0" w:rsidRDefault="00384AB0" w:rsidP="00384AB0">
      <w:pPr>
        <w:pStyle w:val="SingleTxtG"/>
        <w:ind w:firstLine="567"/>
        <w:rPr>
          <w:b/>
          <w:lang w:val="fr-FR"/>
        </w:rPr>
      </w:pPr>
      <w:r w:rsidRPr="006956F0">
        <w:rPr>
          <w:b/>
          <w:lang w:val="fr-FR"/>
        </w:rPr>
        <w:t>b)</w:t>
      </w:r>
      <w:r w:rsidRPr="006956F0">
        <w:rPr>
          <w:b/>
          <w:lang w:val="fr-FR"/>
        </w:rPr>
        <w:tab/>
      </w:r>
      <w:r>
        <w:rPr>
          <w:b/>
          <w:bCs/>
          <w:lang w:val="fr-FR"/>
        </w:rPr>
        <w:t>De m</w:t>
      </w:r>
      <w:r w:rsidRPr="006956F0">
        <w:rPr>
          <w:b/>
          <w:bCs/>
          <w:lang w:val="fr-FR"/>
        </w:rPr>
        <w:t xml:space="preserve">ettre </w:t>
      </w:r>
      <w:r>
        <w:rPr>
          <w:b/>
          <w:bCs/>
          <w:lang w:val="fr-FR"/>
        </w:rPr>
        <w:t xml:space="preserve">effectivement </w:t>
      </w:r>
      <w:r w:rsidRPr="006956F0">
        <w:rPr>
          <w:b/>
          <w:bCs/>
          <w:lang w:val="fr-FR"/>
        </w:rPr>
        <w:t xml:space="preserve">en œuvre </w:t>
      </w:r>
      <w:r>
        <w:rPr>
          <w:b/>
          <w:bCs/>
          <w:lang w:val="fr-FR"/>
        </w:rPr>
        <w:t>le Plan d</w:t>
      </w:r>
      <w:r w:rsidR="004252BC">
        <w:rPr>
          <w:b/>
          <w:bCs/>
          <w:lang w:val="fr-FR"/>
        </w:rPr>
        <w:t>’</w:t>
      </w:r>
      <w:r>
        <w:rPr>
          <w:b/>
          <w:bCs/>
          <w:lang w:val="fr-FR"/>
        </w:rPr>
        <w:t>action national pour l</w:t>
      </w:r>
      <w:r w:rsidRPr="006956F0">
        <w:rPr>
          <w:b/>
          <w:bCs/>
          <w:lang w:val="fr-FR"/>
        </w:rPr>
        <w:t>es peuples autochtones</w:t>
      </w:r>
      <w:r>
        <w:rPr>
          <w:b/>
          <w:bCs/>
          <w:lang w:val="fr-FR"/>
        </w:rPr>
        <w:t> ;</w:t>
      </w:r>
      <w:r w:rsidRPr="006956F0">
        <w:rPr>
          <w:lang w:val="fr-FR"/>
        </w:rPr>
        <w:t xml:space="preserve"> </w:t>
      </w:r>
    </w:p>
    <w:p w14:paraId="02F6B3F3" w14:textId="77777777" w:rsidR="00384AB0" w:rsidRPr="006956F0" w:rsidRDefault="00384AB0" w:rsidP="00384AB0">
      <w:pPr>
        <w:pStyle w:val="SingleTxtG"/>
        <w:ind w:firstLine="567"/>
        <w:rPr>
          <w:b/>
          <w:lang w:val="fr-FR"/>
        </w:rPr>
      </w:pPr>
      <w:r w:rsidRPr="006956F0">
        <w:rPr>
          <w:b/>
          <w:lang w:val="fr-FR"/>
        </w:rPr>
        <w:t>c)</w:t>
      </w:r>
      <w:r w:rsidRPr="006956F0">
        <w:rPr>
          <w:b/>
          <w:lang w:val="fr-FR"/>
        </w:rPr>
        <w:tab/>
      </w:r>
      <w:r>
        <w:rPr>
          <w:b/>
          <w:bCs/>
          <w:lang w:val="fr-FR"/>
        </w:rPr>
        <w:t>De g</w:t>
      </w:r>
      <w:r w:rsidRPr="006956F0">
        <w:rPr>
          <w:b/>
          <w:bCs/>
          <w:lang w:val="fr-FR"/>
        </w:rPr>
        <w:t xml:space="preserve">arantir le droit des peuples autochtones à </w:t>
      </w:r>
      <w:r>
        <w:rPr>
          <w:b/>
          <w:bCs/>
          <w:lang w:val="fr-FR"/>
        </w:rPr>
        <w:t>la</w:t>
      </w:r>
      <w:r w:rsidRPr="006956F0">
        <w:rPr>
          <w:b/>
          <w:bCs/>
          <w:lang w:val="fr-FR"/>
        </w:rPr>
        <w:t xml:space="preserve"> participat</w:t>
      </w:r>
      <w:r>
        <w:rPr>
          <w:b/>
          <w:bCs/>
          <w:lang w:val="fr-FR"/>
        </w:rPr>
        <w:t>ion et à la consultation libre, préalable et éclairée</w:t>
      </w:r>
      <w:r w:rsidRPr="006956F0">
        <w:rPr>
          <w:b/>
          <w:bCs/>
          <w:lang w:val="fr-FR"/>
        </w:rPr>
        <w:t xml:space="preserve"> sur les évolutions législatives concernant leurs droits.</w:t>
      </w:r>
      <w:r w:rsidRPr="006956F0">
        <w:rPr>
          <w:lang w:val="fr-FR"/>
        </w:rPr>
        <w:t xml:space="preserve"> </w:t>
      </w:r>
    </w:p>
    <w:p w14:paraId="4D62261A" w14:textId="77777777" w:rsidR="00384AB0" w:rsidRPr="006956F0" w:rsidRDefault="00384AB0" w:rsidP="00384AB0">
      <w:pPr>
        <w:pStyle w:val="H23G"/>
        <w:rPr>
          <w:lang w:val="fr-FR"/>
        </w:rPr>
      </w:pPr>
      <w:r w:rsidRPr="006956F0">
        <w:rPr>
          <w:lang w:val="fr-FR"/>
        </w:rPr>
        <w:tab/>
      </w:r>
      <w:r w:rsidRPr="006956F0">
        <w:rPr>
          <w:lang w:val="fr-FR"/>
        </w:rPr>
        <w:tab/>
        <w:t>Terres, territoires et ressources naturelles</w:t>
      </w:r>
    </w:p>
    <w:p w14:paraId="495C8F76" w14:textId="77777777" w:rsidR="00384AB0" w:rsidRPr="006956F0" w:rsidRDefault="00384AB0" w:rsidP="00384AB0">
      <w:pPr>
        <w:pStyle w:val="SingleTxtG"/>
        <w:rPr>
          <w:lang w:val="fr-FR"/>
        </w:rPr>
      </w:pPr>
      <w:r w:rsidRPr="006956F0">
        <w:rPr>
          <w:lang w:val="fr-FR"/>
        </w:rPr>
        <w:t>20.</w:t>
      </w:r>
      <w:r w:rsidRPr="006956F0">
        <w:rPr>
          <w:lang w:val="fr-FR"/>
        </w:rPr>
        <w:tab/>
        <w:t>Le Comité est préoccupé par l</w:t>
      </w:r>
      <w:r w:rsidR="004252BC">
        <w:rPr>
          <w:lang w:val="fr-FR"/>
        </w:rPr>
        <w:t>’</w:t>
      </w:r>
      <w:r w:rsidRPr="006956F0">
        <w:rPr>
          <w:lang w:val="fr-FR"/>
        </w:rPr>
        <w:t>accès limité des peuples autochtones et de la population d</w:t>
      </w:r>
      <w:r w:rsidR="004252BC">
        <w:rPr>
          <w:lang w:val="fr-FR"/>
        </w:rPr>
        <w:t>’</w:t>
      </w:r>
      <w:r w:rsidRPr="006956F0">
        <w:rPr>
          <w:lang w:val="fr-FR"/>
        </w:rPr>
        <w:t xml:space="preserve">ascendance africaine à la propriété foncière. </w:t>
      </w:r>
      <w:r>
        <w:rPr>
          <w:lang w:val="fr-FR"/>
        </w:rPr>
        <w:t>En outre, l</w:t>
      </w:r>
      <w:r w:rsidR="004252BC">
        <w:rPr>
          <w:lang w:val="fr-FR"/>
        </w:rPr>
        <w:t>’</w:t>
      </w:r>
      <w:r>
        <w:rPr>
          <w:lang w:val="fr-FR"/>
        </w:rPr>
        <w:t>État partie dispose, par l</w:t>
      </w:r>
      <w:r w:rsidR="004252BC">
        <w:rPr>
          <w:lang w:val="fr-FR"/>
        </w:rPr>
        <w:t>’</w:t>
      </w:r>
      <w:r>
        <w:rPr>
          <w:lang w:val="fr-FR"/>
        </w:rPr>
        <w:t xml:space="preserve">intermédiaire de </w:t>
      </w:r>
      <w:r w:rsidRPr="006956F0">
        <w:rPr>
          <w:lang w:val="fr-FR"/>
        </w:rPr>
        <w:t>l</w:t>
      </w:r>
      <w:r w:rsidR="004252BC">
        <w:rPr>
          <w:lang w:val="fr-FR"/>
        </w:rPr>
        <w:t>’</w:t>
      </w:r>
      <w:r w:rsidRPr="006956F0">
        <w:rPr>
          <w:lang w:val="fr-FR"/>
        </w:rPr>
        <w:t>Institut pour la transformation agricole</w:t>
      </w:r>
      <w:r>
        <w:rPr>
          <w:lang w:val="fr-FR"/>
        </w:rPr>
        <w:t>,</w:t>
      </w:r>
      <w:r w:rsidRPr="006956F0">
        <w:rPr>
          <w:lang w:val="fr-FR"/>
        </w:rPr>
        <w:t xml:space="preserve"> d</w:t>
      </w:r>
      <w:r w:rsidR="004252BC">
        <w:rPr>
          <w:lang w:val="fr-FR"/>
        </w:rPr>
        <w:t>’</w:t>
      </w:r>
      <w:r w:rsidRPr="006956F0">
        <w:rPr>
          <w:lang w:val="fr-FR"/>
        </w:rPr>
        <w:t xml:space="preserve">un registre foncier pour les habitants des zones rurales, mais </w:t>
      </w:r>
      <w:r>
        <w:rPr>
          <w:lang w:val="fr-FR"/>
        </w:rPr>
        <w:t xml:space="preserve">il ne possède aucune information sur les </w:t>
      </w:r>
      <w:r w:rsidRPr="005F26F7">
        <w:rPr>
          <w:lang w:val="fr-FR"/>
        </w:rPr>
        <w:t>terres appartenant aux</w:t>
      </w:r>
      <w:r>
        <w:rPr>
          <w:lang w:val="fr-FR"/>
        </w:rPr>
        <w:t xml:space="preserve"> </w:t>
      </w:r>
      <w:r w:rsidRPr="006956F0">
        <w:rPr>
          <w:lang w:val="fr-FR"/>
        </w:rPr>
        <w:t xml:space="preserve">peuples autochtones ou </w:t>
      </w:r>
      <w:r>
        <w:rPr>
          <w:lang w:val="fr-FR"/>
        </w:rPr>
        <w:t>aux</w:t>
      </w:r>
      <w:r w:rsidRPr="006956F0">
        <w:rPr>
          <w:lang w:val="fr-FR"/>
        </w:rPr>
        <w:t xml:space="preserve"> personnes d</w:t>
      </w:r>
      <w:r w:rsidR="004252BC">
        <w:rPr>
          <w:lang w:val="fr-FR"/>
        </w:rPr>
        <w:t>’</w:t>
      </w:r>
      <w:r w:rsidRPr="006956F0">
        <w:rPr>
          <w:lang w:val="fr-FR"/>
        </w:rPr>
        <w:t>ascendance africaine. Le Comité est également préoccupé par le</w:t>
      </w:r>
      <w:r>
        <w:rPr>
          <w:lang w:val="fr-FR"/>
        </w:rPr>
        <w:t xml:space="preserve">s difficultés </w:t>
      </w:r>
      <w:r w:rsidRPr="006956F0">
        <w:rPr>
          <w:lang w:val="fr-FR"/>
        </w:rPr>
        <w:t>d</w:t>
      </w:r>
      <w:r w:rsidR="004252BC">
        <w:rPr>
          <w:lang w:val="fr-FR"/>
        </w:rPr>
        <w:t>’</w:t>
      </w:r>
      <w:r w:rsidRPr="006956F0">
        <w:rPr>
          <w:lang w:val="fr-FR"/>
        </w:rPr>
        <w:t>accès à l</w:t>
      </w:r>
      <w:r w:rsidR="004252BC">
        <w:rPr>
          <w:lang w:val="fr-FR"/>
        </w:rPr>
        <w:t>’</w:t>
      </w:r>
      <w:r w:rsidRPr="006956F0">
        <w:rPr>
          <w:lang w:val="fr-FR"/>
        </w:rPr>
        <w:t>eau, par la rar</w:t>
      </w:r>
      <w:r>
        <w:rPr>
          <w:lang w:val="fr-FR"/>
        </w:rPr>
        <w:t>eté</w:t>
      </w:r>
      <w:r w:rsidRPr="006956F0">
        <w:rPr>
          <w:lang w:val="fr-FR"/>
        </w:rPr>
        <w:t xml:space="preserve"> de cette ressource et par la présence de gangs </w:t>
      </w:r>
      <w:r>
        <w:rPr>
          <w:lang w:val="fr-FR"/>
        </w:rPr>
        <w:t xml:space="preserve">qui aggravent la situation </w:t>
      </w:r>
      <w:r w:rsidRPr="006956F0">
        <w:rPr>
          <w:lang w:val="fr-FR"/>
        </w:rPr>
        <w:t xml:space="preserve">(art. 2 et 5). </w:t>
      </w:r>
    </w:p>
    <w:p w14:paraId="7EF86E71" w14:textId="77777777" w:rsidR="00384AB0" w:rsidRPr="00AE7400" w:rsidRDefault="00384AB0" w:rsidP="00384AB0">
      <w:pPr>
        <w:pStyle w:val="SingleTxtG"/>
        <w:keepNext/>
        <w:rPr>
          <w:b/>
          <w:lang w:val="fr-FR"/>
        </w:rPr>
      </w:pPr>
      <w:r w:rsidRPr="00AE7400">
        <w:rPr>
          <w:lang w:val="fr-FR"/>
        </w:rPr>
        <w:t>21.</w:t>
      </w:r>
      <w:r w:rsidRPr="00AE7400">
        <w:rPr>
          <w:lang w:val="fr-FR"/>
        </w:rPr>
        <w:tab/>
      </w:r>
      <w:r w:rsidRPr="00AE7400">
        <w:rPr>
          <w:b/>
          <w:lang w:val="fr-FR"/>
        </w:rPr>
        <w:t>Le Comité recommande à l</w:t>
      </w:r>
      <w:r w:rsidR="004252BC">
        <w:rPr>
          <w:b/>
          <w:lang w:val="fr-FR"/>
        </w:rPr>
        <w:t>’</w:t>
      </w:r>
      <w:r w:rsidRPr="00AE7400">
        <w:rPr>
          <w:b/>
          <w:lang w:val="fr-FR"/>
        </w:rPr>
        <w:t>État partie</w:t>
      </w:r>
      <w:r>
        <w:rPr>
          <w:b/>
          <w:lang w:val="fr-FR"/>
        </w:rPr>
        <w:t> :</w:t>
      </w:r>
      <w:r w:rsidRPr="00AE7400">
        <w:rPr>
          <w:b/>
          <w:lang w:val="fr-FR"/>
        </w:rPr>
        <w:t xml:space="preserve"> </w:t>
      </w:r>
    </w:p>
    <w:p w14:paraId="1BB1D752" w14:textId="77777777" w:rsidR="00384AB0" w:rsidRPr="006956F0" w:rsidRDefault="00384AB0" w:rsidP="00384AB0">
      <w:pPr>
        <w:pStyle w:val="SingleTxtG"/>
        <w:ind w:firstLine="567"/>
        <w:rPr>
          <w:b/>
          <w:lang w:val="fr-FR"/>
        </w:rPr>
      </w:pPr>
      <w:r w:rsidRPr="006956F0">
        <w:rPr>
          <w:b/>
          <w:lang w:val="fr-FR"/>
        </w:rPr>
        <w:t>a)</w:t>
      </w:r>
      <w:r w:rsidRPr="006956F0">
        <w:rPr>
          <w:b/>
          <w:lang w:val="fr-FR"/>
        </w:rPr>
        <w:tab/>
      </w:r>
      <w:r>
        <w:rPr>
          <w:b/>
          <w:bCs/>
          <w:lang w:val="fr-FR"/>
        </w:rPr>
        <w:t>De c</w:t>
      </w:r>
      <w:r w:rsidRPr="00AE7400">
        <w:rPr>
          <w:b/>
          <w:bCs/>
          <w:lang w:val="fr-FR"/>
        </w:rPr>
        <w:t>ontinuer à assurer l</w:t>
      </w:r>
      <w:r w:rsidR="004252BC">
        <w:rPr>
          <w:b/>
          <w:bCs/>
          <w:lang w:val="fr-FR"/>
        </w:rPr>
        <w:t>’</w:t>
      </w:r>
      <w:r w:rsidRPr="00AE7400">
        <w:rPr>
          <w:b/>
          <w:bCs/>
          <w:lang w:val="fr-FR"/>
        </w:rPr>
        <w:t>accès à la terre et au territoire par l</w:t>
      </w:r>
      <w:r w:rsidR="004252BC">
        <w:rPr>
          <w:b/>
          <w:bCs/>
          <w:lang w:val="fr-FR"/>
        </w:rPr>
        <w:t>’</w:t>
      </w:r>
      <w:r w:rsidRPr="00AE7400">
        <w:rPr>
          <w:b/>
          <w:bCs/>
          <w:lang w:val="fr-FR"/>
        </w:rPr>
        <w:t>octroi de titres de propriété individuelle</w:t>
      </w:r>
      <w:r w:rsidRPr="006956F0">
        <w:rPr>
          <w:b/>
          <w:bCs/>
          <w:lang w:val="fr-FR"/>
        </w:rPr>
        <w:t xml:space="preserve"> et collective aux peuples autochtones et à la population d</w:t>
      </w:r>
      <w:r w:rsidR="004252BC">
        <w:rPr>
          <w:b/>
          <w:bCs/>
          <w:lang w:val="fr-FR"/>
        </w:rPr>
        <w:t>’</w:t>
      </w:r>
      <w:r w:rsidRPr="006956F0">
        <w:rPr>
          <w:b/>
          <w:bCs/>
          <w:lang w:val="fr-FR"/>
        </w:rPr>
        <w:t xml:space="preserve">ascendance africaine, compte tenu de la recommandation générale </w:t>
      </w:r>
      <w:r w:rsidRPr="00B60932">
        <w:rPr>
          <w:rFonts w:eastAsia="MS Mincho"/>
          <w:b/>
          <w:bCs/>
          <w:lang w:val="fr-FR"/>
        </w:rPr>
        <w:t>n</w:t>
      </w:r>
      <w:r w:rsidRPr="00B60932">
        <w:rPr>
          <w:rFonts w:eastAsia="MS Mincho"/>
          <w:b/>
          <w:bCs/>
          <w:vertAlign w:val="superscript"/>
          <w:lang w:val="fr-FR"/>
        </w:rPr>
        <w:t>o</w:t>
      </w:r>
      <w:r>
        <w:rPr>
          <w:b/>
          <w:bCs/>
          <w:lang w:val="fr-FR"/>
        </w:rPr>
        <w:t> </w:t>
      </w:r>
      <w:r w:rsidRPr="006956F0">
        <w:rPr>
          <w:b/>
          <w:bCs/>
          <w:lang w:val="fr-FR"/>
        </w:rPr>
        <w:t xml:space="preserve">23 (1997) du Comité </w:t>
      </w:r>
      <w:r>
        <w:rPr>
          <w:b/>
          <w:bCs/>
          <w:lang w:val="fr-FR"/>
        </w:rPr>
        <w:t>relative aux</w:t>
      </w:r>
      <w:r w:rsidRPr="006956F0">
        <w:rPr>
          <w:b/>
          <w:bCs/>
          <w:lang w:val="fr-FR"/>
        </w:rPr>
        <w:t xml:space="preserve"> droits des peuples autochtones</w:t>
      </w:r>
      <w:r>
        <w:rPr>
          <w:b/>
          <w:bCs/>
          <w:lang w:val="fr-FR"/>
        </w:rPr>
        <w:t xml:space="preserve"> (CERD/C/SLV/CO/16-17, par.</w:t>
      </w:r>
      <w:r w:rsidR="00873983">
        <w:rPr>
          <w:b/>
          <w:bCs/>
          <w:lang w:val="fr-FR"/>
        </w:rPr>
        <w:t> </w:t>
      </w:r>
      <w:r>
        <w:rPr>
          <w:b/>
          <w:bCs/>
          <w:lang w:val="fr-FR"/>
        </w:rPr>
        <w:t>17) ;</w:t>
      </w:r>
    </w:p>
    <w:p w14:paraId="109E186B" w14:textId="77777777" w:rsidR="00384AB0" w:rsidRPr="006956F0" w:rsidRDefault="00384AB0" w:rsidP="00384AB0">
      <w:pPr>
        <w:pStyle w:val="SingleTxtG"/>
        <w:ind w:firstLine="567"/>
        <w:rPr>
          <w:b/>
          <w:lang w:val="fr-FR"/>
        </w:rPr>
      </w:pPr>
      <w:r w:rsidRPr="006956F0">
        <w:rPr>
          <w:b/>
          <w:lang w:val="fr-FR"/>
        </w:rPr>
        <w:t>b)</w:t>
      </w:r>
      <w:r w:rsidRPr="006956F0">
        <w:rPr>
          <w:b/>
          <w:lang w:val="fr-FR"/>
        </w:rPr>
        <w:tab/>
      </w:r>
      <w:r>
        <w:rPr>
          <w:b/>
          <w:bCs/>
          <w:lang w:val="fr-FR"/>
        </w:rPr>
        <w:t>De m</w:t>
      </w:r>
      <w:r w:rsidRPr="006956F0">
        <w:rPr>
          <w:b/>
          <w:bCs/>
          <w:lang w:val="fr-FR"/>
        </w:rPr>
        <w:t>ettre en œuvre les mesures relatives à la protection des terres, territoires et ressources naturelles énoncées dans le Plan d</w:t>
      </w:r>
      <w:r w:rsidR="004252BC">
        <w:rPr>
          <w:b/>
          <w:bCs/>
          <w:lang w:val="fr-FR"/>
        </w:rPr>
        <w:t>’</w:t>
      </w:r>
      <w:r w:rsidRPr="006956F0">
        <w:rPr>
          <w:b/>
          <w:bCs/>
          <w:lang w:val="fr-FR"/>
        </w:rPr>
        <w:t>action</w:t>
      </w:r>
      <w:r>
        <w:rPr>
          <w:b/>
          <w:bCs/>
          <w:lang w:val="fr-FR"/>
        </w:rPr>
        <w:t xml:space="preserve"> national pour les </w:t>
      </w:r>
      <w:r w:rsidRPr="006956F0">
        <w:rPr>
          <w:b/>
          <w:bCs/>
          <w:lang w:val="fr-FR"/>
        </w:rPr>
        <w:t xml:space="preserve">peuples autochtones </w:t>
      </w:r>
      <w:r>
        <w:rPr>
          <w:b/>
          <w:bCs/>
          <w:lang w:val="fr-FR"/>
        </w:rPr>
        <w:t xml:space="preserve">et visant </w:t>
      </w:r>
      <w:r w:rsidRPr="006956F0">
        <w:rPr>
          <w:b/>
          <w:bCs/>
          <w:lang w:val="fr-FR"/>
        </w:rPr>
        <w:t>à garantir la protection juridique des terres des peuples autochtones, la conservation et la protection des terres, territoires et ressources naturelles, et à garantir la sécurité alimentaire et nutritionnelle dans le respect de la conception du monde et de l</w:t>
      </w:r>
      <w:r w:rsidR="004252BC">
        <w:rPr>
          <w:b/>
          <w:bCs/>
          <w:lang w:val="fr-FR"/>
        </w:rPr>
        <w:t>’</w:t>
      </w:r>
      <w:r w:rsidRPr="006956F0">
        <w:rPr>
          <w:b/>
          <w:bCs/>
          <w:lang w:val="fr-FR"/>
        </w:rPr>
        <w:t>identité autochtones</w:t>
      </w:r>
      <w:r>
        <w:rPr>
          <w:b/>
          <w:bCs/>
          <w:lang w:val="fr-FR"/>
        </w:rPr>
        <w:t> ;</w:t>
      </w:r>
    </w:p>
    <w:p w14:paraId="1C1B7A1E" w14:textId="77777777" w:rsidR="00384AB0" w:rsidRPr="006956F0" w:rsidRDefault="00384AB0" w:rsidP="00384AB0">
      <w:pPr>
        <w:pStyle w:val="SingleTxtG"/>
        <w:ind w:firstLine="567"/>
        <w:rPr>
          <w:b/>
          <w:lang w:val="fr-FR"/>
        </w:rPr>
      </w:pPr>
      <w:r w:rsidRPr="006956F0">
        <w:rPr>
          <w:b/>
          <w:lang w:val="fr-FR"/>
        </w:rPr>
        <w:t>c)</w:t>
      </w:r>
      <w:r w:rsidRPr="006956F0">
        <w:rPr>
          <w:b/>
          <w:lang w:val="fr-FR"/>
        </w:rPr>
        <w:tab/>
      </w:r>
      <w:r>
        <w:rPr>
          <w:b/>
          <w:bCs/>
          <w:lang w:val="fr-FR"/>
        </w:rPr>
        <w:t>De m</w:t>
      </w:r>
      <w:r w:rsidRPr="006956F0">
        <w:rPr>
          <w:b/>
          <w:bCs/>
          <w:lang w:val="fr-FR"/>
        </w:rPr>
        <w:t xml:space="preserve">aintenir et </w:t>
      </w:r>
      <w:r>
        <w:rPr>
          <w:b/>
          <w:bCs/>
          <w:lang w:val="fr-FR"/>
        </w:rPr>
        <w:t xml:space="preserve">de </w:t>
      </w:r>
      <w:r w:rsidRPr="006956F0">
        <w:rPr>
          <w:b/>
          <w:bCs/>
          <w:lang w:val="fr-FR"/>
        </w:rPr>
        <w:t>renforcer le dialogue entre le Ministère de l</w:t>
      </w:r>
      <w:r w:rsidR="004252BC">
        <w:rPr>
          <w:b/>
          <w:bCs/>
          <w:lang w:val="fr-FR"/>
        </w:rPr>
        <w:t>’</w:t>
      </w:r>
      <w:r w:rsidRPr="006956F0">
        <w:rPr>
          <w:b/>
          <w:bCs/>
          <w:lang w:val="fr-FR"/>
        </w:rPr>
        <w:t>environnement et les organisations de peuples autochtones, en particulier sur les politiques visant à faire face à la crise climatique</w:t>
      </w:r>
      <w:r>
        <w:rPr>
          <w:b/>
          <w:bCs/>
          <w:lang w:val="fr-FR"/>
        </w:rPr>
        <w:t> ;</w:t>
      </w:r>
    </w:p>
    <w:p w14:paraId="6528A20B" w14:textId="77777777" w:rsidR="00384AB0" w:rsidRPr="006956F0" w:rsidRDefault="00384AB0" w:rsidP="00384AB0">
      <w:pPr>
        <w:pStyle w:val="SingleTxtG"/>
        <w:ind w:firstLine="567"/>
        <w:rPr>
          <w:b/>
          <w:lang w:val="fr-FR"/>
        </w:rPr>
      </w:pPr>
      <w:r w:rsidRPr="006956F0">
        <w:rPr>
          <w:b/>
          <w:lang w:val="fr-FR"/>
        </w:rPr>
        <w:t>d)</w:t>
      </w:r>
      <w:r w:rsidRPr="006956F0">
        <w:rPr>
          <w:b/>
          <w:lang w:val="fr-FR"/>
        </w:rPr>
        <w:tab/>
      </w:r>
      <w:r>
        <w:rPr>
          <w:b/>
          <w:bCs/>
          <w:lang w:val="fr-FR"/>
        </w:rPr>
        <w:t>D</w:t>
      </w:r>
      <w:r w:rsidR="004252BC">
        <w:rPr>
          <w:b/>
          <w:bCs/>
          <w:lang w:val="fr-FR"/>
        </w:rPr>
        <w:t>’</w:t>
      </w:r>
      <w:r>
        <w:rPr>
          <w:b/>
          <w:bCs/>
          <w:lang w:val="fr-FR"/>
        </w:rPr>
        <w:t>a</w:t>
      </w:r>
      <w:r w:rsidRPr="006956F0">
        <w:rPr>
          <w:b/>
          <w:bCs/>
          <w:lang w:val="fr-FR"/>
        </w:rPr>
        <w:t>dopter des mesures pour garantir l</w:t>
      </w:r>
      <w:r w:rsidR="004252BC">
        <w:rPr>
          <w:b/>
          <w:bCs/>
          <w:lang w:val="fr-FR"/>
        </w:rPr>
        <w:t>’</w:t>
      </w:r>
      <w:r w:rsidRPr="006956F0">
        <w:rPr>
          <w:b/>
          <w:bCs/>
          <w:lang w:val="fr-FR"/>
        </w:rPr>
        <w:t>accès à l</w:t>
      </w:r>
      <w:r w:rsidR="004252BC">
        <w:rPr>
          <w:b/>
          <w:bCs/>
          <w:lang w:val="fr-FR"/>
        </w:rPr>
        <w:t>’</w:t>
      </w:r>
      <w:r w:rsidRPr="006956F0">
        <w:rPr>
          <w:b/>
          <w:bCs/>
          <w:lang w:val="fr-FR"/>
        </w:rPr>
        <w:t>eau des peuples autochtones et des communautés d</w:t>
      </w:r>
      <w:r w:rsidR="004252BC">
        <w:rPr>
          <w:b/>
          <w:bCs/>
          <w:lang w:val="fr-FR"/>
        </w:rPr>
        <w:t>’</w:t>
      </w:r>
      <w:r w:rsidRPr="006956F0">
        <w:rPr>
          <w:b/>
          <w:bCs/>
          <w:lang w:val="fr-FR"/>
        </w:rPr>
        <w:t>ascendance africaine</w:t>
      </w:r>
      <w:r>
        <w:rPr>
          <w:b/>
          <w:bCs/>
          <w:lang w:val="fr-FR"/>
        </w:rPr>
        <w:t>, notamment des mesures de protection contre les attaques des gangs</w:t>
      </w:r>
      <w:r w:rsidRPr="006956F0">
        <w:rPr>
          <w:b/>
          <w:bCs/>
          <w:lang w:val="fr-FR"/>
        </w:rPr>
        <w:t>.</w:t>
      </w:r>
      <w:r w:rsidRPr="006956F0">
        <w:rPr>
          <w:lang w:val="fr-FR"/>
        </w:rPr>
        <w:t xml:space="preserve"> </w:t>
      </w:r>
    </w:p>
    <w:p w14:paraId="62DD7555" w14:textId="77777777" w:rsidR="00384AB0" w:rsidRPr="006956F0" w:rsidRDefault="00384AB0" w:rsidP="00384AB0">
      <w:pPr>
        <w:pStyle w:val="H23G"/>
        <w:rPr>
          <w:lang w:val="fr-FR"/>
        </w:rPr>
      </w:pPr>
      <w:r>
        <w:rPr>
          <w:lang w:val="fr-FR"/>
        </w:rPr>
        <w:tab/>
      </w:r>
      <w:r>
        <w:rPr>
          <w:lang w:val="fr-FR"/>
        </w:rPr>
        <w:tab/>
        <w:t>Participation,</w:t>
      </w:r>
      <w:r w:rsidRPr="006956F0">
        <w:rPr>
          <w:lang w:val="fr-FR"/>
        </w:rPr>
        <w:t xml:space="preserve"> consultation préalable et consentement libre, préalable et éclairé</w:t>
      </w:r>
    </w:p>
    <w:p w14:paraId="64EB28F3" w14:textId="77777777" w:rsidR="00384AB0" w:rsidRPr="006956F0" w:rsidRDefault="00384AB0" w:rsidP="00384AB0">
      <w:pPr>
        <w:pStyle w:val="SingleTxtG"/>
        <w:rPr>
          <w:lang w:val="fr-FR"/>
        </w:rPr>
      </w:pPr>
      <w:r w:rsidRPr="006956F0">
        <w:rPr>
          <w:lang w:val="fr-FR"/>
        </w:rPr>
        <w:t>22.</w:t>
      </w:r>
      <w:r w:rsidRPr="006956F0">
        <w:rPr>
          <w:lang w:val="fr-FR"/>
        </w:rPr>
        <w:tab/>
        <w:t>Le Comité note que le droit des peuples autochtones de participer à la prise des décisions qui les concernent est prévu par la loi sur la culture et que le droit à la consultation est consacré par l</w:t>
      </w:r>
      <w:r w:rsidR="004252BC">
        <w:rPr>
          <w:lang w:val="fr-FR"/>
        </w:rPr>
        <w:t>’</w:t>
      </w:r>
      <w:r w:rsidRPr="006956F0">
        <w:rPr>
          <w:lang w:val="fr-FR"/>
        </w:rPr>
        <w:t>article</w:t>
      </w:r>
      <w:r>
        <w:rPr>
          <w:lang w:val="fr-FR"/>
        </w:rPr>
        <w:t> </w:t>
      </w:r>
      <w:r w:rsidRPr="006956F0">
        <w:rPr>
          <w:lang w:val="fr-FR"/>
        </w:rPr>
        <w:t>32 de cette loi et par les ordonnances municipales au niveau local. Le Comité prend note de l</w:t>
      </w:r>
      <w:r w:rsidR="004252BC">
        <w:rPr>
          <w:lang w:val="fr-FR"/>
        </w:rPr>
        <w:t>’</w:t>
      </w:r>
      <w:r w:rsidRPr="006956F0">
        <w:rPr>
          <w:lang w:val="fr-FR"/>
        </w:rPr>
        <w:t>existence d</w:t>
      </w:r>
      <w:r w:rsidR="004252BC">
        <w:rPr>
          <w:lang w:val="fr-FR"/>
        </w:rPr>
        <w:t>’</w:t>
      </w:r>
      <w:r w:rsidRPr="006956F0">
        <w:rPr>
          <w:lang w:val="fr-FR"/>
        </w:rPr>
        <w:t>une table ronde multisectorielle sur les peuples autochtones au Ministère de la culture</w:t>
      </w:r>
      <w:r>
        <w:rPr>
          <w:lang w:val="fr-FR"/>
        </w:rPr>
        <w:t xml:space="preserve">, du </w:t>
      </w:r>
      <w:r w:rsidRPr="006956F0">
        <w:rPr>
          <w:lang w:val="fr-FR"/>
        </w:rPr>
        <w:t xml:space="preserve">projet de loi sur les peuples autochtones </w:t>
      </w:r>
      <w:r>
        <w:rPr>
          <w:lang w:val="fr-FR"/>
        </w:rPr>
        <w:t xml:space="preserve">qui </w:t>
      </w:r>
      <w:r w:rsidRPr="006956F0">
        <w:rPr>
          <w:lang w:val="fr-FR"/>
        </w:rPr>
        <w:t>prévoit la création d</w:t>
      </w:r>
      <w:r w:rsidR="004252BC">
        <w:rPr>
          <w:lang w:val="fr-FR"/>
        </w:rPr>
        <w:t>’</w:t>
      </w:r>
      <w:r w:rsidRPr="006956F0">
        <w:rPr>
          <w:lang w:val="fr-FR"/>
        </w:rPr>
        <w:t xml:space="preserve">un conseil autochtone </w:t>
      </w:r>
      <w:r>
        <w:rPr>
          <w:lang w:val="fr-FR"/>
        </w:rPr>
        <w:t xml:space="preserve">et </w:t>
      </w:r>
      <w:r w:rsidRPr="006956F0">
        <w:rPr>
          <w:lang w:val="fr-FR"/>
        </w:rPr>
        <w:t>de la proposition des organis</w:t>
      </w:r>
      <w:r>
        <w:rPr>
          <w:lang w:val="fr-FR"/>
        </w:rPr>
        <w:t>ations autochtones de créer un c</w:t>
      </w:r>
      <w:r w:rsidRPr="006956F0">
        <w:rPr>
          <w:lang w:val="fr-FR"/>
        </w:rPr>
        <w:t xml:space="preserve">onseil </w:t>
      </w:r>
      <w:proofErr w:type="spellStart"/>
      <w:r w:rsidRPr="006956F0">
        <w:rPr>
          <w:lang w:val="fr-FR"/>
        </w:rPr>
        <w:t>intergouvernemental</w:t>
      </w:r>
      <w:proofErr w:type="spellEnd"/>
      <w:r w:rsidRPr="006956F0">
        <w:rPr>
          <w:lang w:val="fr-FR"/>
        </w:rPr>
        <w:t xml:space="preserve"> des peuples autochtones d</w:t>
      </w:r>
      <w:r w:rsidR="004252BC">
        <w:rPr>
          <w:lang w:val="fr-FR"/>
        </w:rPr>
        <w:t>’</w:t>
      </w:r>
      <w:r w:rsidRPr="006956F0">
        <w:rPr>
          <w:lang w:val="fr-FR"/>
        </w:rPr>
        <w:t>El</w:t>
      </w:r>
      <w:r w:rsidR="00873983">
        <w:rPr>
          <w:lang w:val="fr-FR"/>
        </w:rPr>
        <w:t> </w:t>
      </w:r>
      <w:r w:rsidRPr="006956F0">
        <w:rPr>
          <w:lang w:val="fr-FR"/>
        </w:rPr>
        <w:t xml:space="preserve">Salvador. </w:t>
      </w:r>
      <w:r>
        <w:rPr>
          <w:lang w:val="fr-FR"/>
        </w:rPr>
        <w:t>Il constate</w:t>
      </w:r>
      <w:r w:rsidRPr="006956F0">
        <w:rPr>
          <w:lang w:val="fr-FR"/>
        </w:rPr>
        <w:t xml:space="preserve"> que l</w:t>
      </w:r>
      <w:r w:rsidR="004252BC">
        <w:rPr>
          <w:lang w:val="fr-FR"/>
        </w:rPr>
        <w:t>’</w:t>
      </w:r>
      <w:r w:rsidRPr="006956F0">
        <w:rPr>
          <w:lang w:val="fr-FR"/>
        </w:rPr>
        <w:t>État partie a tenu des consultations avec les peuples autochtones, mais il est préoccupé par le fait que ces consultations n</w:t>
      </w:r>
      <w:r w:rsidR="004252BC">
        <w:rPr>
          <w:lang w:val="fr-FR"/>
        </w:rPr>
        <w:t>’</w:t>
      </w:r>
      <w:r w:rsidRPr="006956F0">
        <w:rPr>
          <w:lang w:val="fr-FR"/>
        </w:rPr>
        <w:t>ont pas été menées d</w:t>
      </w:r>
      <w:r w:rsidR="004252BC">
        <w:rPr>
          <w:lang w:val="fr-FR"/>
        </w:rPr>
        <w:t>’</w:t>
      </w:r>
      <w:r w:rsidRPr="006956F0">
        <w:rPr>
          <w:lang w:val="fr-FR"/>
        </w:rPr>
        <w:t>une manière adéquate et systématique et avec les organisations autochtones elles-mêmes (art.</w:t>
      </w:r>
      <w:r>
        <w:rPr>
          <w:lang w:val="fr-FR"/>
        </w:rPr>
        <w:t> </w:t>
      </w:r>
      <w:r w:rsidRPr="006956F0">
        <w:rPr>
          <w:lang w:val="fr-FR"/>
        </w:rPr>
        <w:t xml:space="preserve">2 et 5). </w:t>
      </w:r>
    </w:p>
    <w:p w14:paraId="2C8EE1C6" w14:textId="77777777" w:rsidR="00384AB0" w:rsidRPr="00A046D5" w:rsidRDefault="00384AB0" w:rsidP="00384AB0">
      <w:pPr>
        <w:pStyle w:val="SingleTxtG"/>
        <w:keepNext/>
        <w:rPr>
          <w:b/>
          <w:bCs/>
          <w:lang w:val="fr-FR"/>
        </w:rPr>
      </w:pPr>
      <w:r w:rsidRPr="00A046D5">
        <w:rPr>
          <w:bCs/>
          <w:lang w:val="fr-FR"/>
        </w:rPr>
        <w:t>23.</w:t>
      </w:r>
      <w:r w:rsidRPr="00A046D5">
        <w:rPr>
          <w:bCs/>
          <w:lang w:val="fr-FR"/>
        </w:rPr>
        <w:tab/>
      </w:r>
      <w:r w:rsidRPr="006956F0">
        <w:rPr>
          <w:b/>
          <w:bCs/>
          <w:lang w:val="fr-FR"/>
        </w:rPr>
        <w:t>Le Comité recommande à l</w:t>
      </w:r>
      <w:r w:rsidR="004252BC">
        <w:rPr>
          <w:b/>
          <w:bCs/>
          <w:lang w:val="fr-FR"/>
        </w:rPr>
        <w:t>’</w:t>
      </w:r>
      <w:r w:rsidRPr="006956F0">
        <w:rPr>
          <w:b/>
          <w:bCs/>
          <w:lang w:val="fr-FR"/>
        </w:rPr>
        <w:t>État partie d</w:t>
      </w:r>
      <w:r w:rsidR="004252BC">
        <w:rPr>
          <w:b/>
          <w:bCs/>
          <w:lang w:val="fr-FR"/>
        </w:rPr>
        <w:t>’</w:t>
      </w:r>
      <w:r w:rsidRPr="006956F0">
        <w:rPr>
          <w:b/>
          <w:bCs/>
          <w:lang w:val="fr-FR"/>
        </w:rPr>
        <w:t>adopter les mesures nécessaires pour garantir le droit des peuples autochtones d</w:t>
      </w:r>
      <w:r w:rsidR="004252BC">
        <w:rPr>
          <w:b/>
          <w:bCs/>
          <w:lang w:val="fr-FR"/>
        </w:rPr>
        <w:t>’</w:t>
      </w:r>
      <w:r w:rsidRPr="006956F0">
        <w:rPr>
          <w:b/>
          <w:bCs/>
          <w:lang w:val="fr-FR"/>
        </w:rPr>
        <w:t>être consultés sur toute mesure législative ou administrative susceptible de porter atteinte à leurs droits, en vue d</w:t>
      </w:r>
      <w:r w:rsidR="004252BC">
        <w:rPr>
          <w:b/>
          <w:bCs/>
          <w:lang w:val="fr-FR"/>
        </w:rPr>
        <w:t>’</w:t>
      </w:r>
      <w:r w:rsidRPr="006956F0">
        <w:rPr>
          <w:b/>
          <w:bCs/>
          <w:lang w:val="fr-FR"/>
        </w:rPr>
        <w:t>obtenir leur consentement préalable, libre et éclairé, et de veiller à ce que les consultations soient menées en temps voulu, de manière systématique et transparente, en tenant dûment compte de la représentation des peuples concernés et en respectant leurs caractéristiques culturelles et leurs traditions, notamment celles qui concernent la prise de décision</w:t>
      </w:r>
      <w:r>
        <w:rPr>
          <w:b/>
          <w:bCs/>
          <w:lang w:val="fr-FR"/>
        </w:rPr>
        <w:t>s</w:t>
      </w:r>
      <w:r w:rsidRPr="006956F0">
        <w:rPr>
          <w:b/>
          <w:bCs/>
          <w:lang w:val="fr-FR"/>
        </w:rPr>
        <w:t>.</w:t>
      </w:r>
      <w:r w:rsidRPr="00A046D5">
        <w:rPr>
          <w:b/>
          <w:bCs/>
          <w:lang w:val="fr-FR"/>
        </w:rPr>
        <w:t xml:space="preserve"> À cette fin, le Comité encourage l</w:t>
      </w:r>
      <w:r w:rsidR="004252BC">
        <w:rPr>
          <w:b/>
          <w:bCs/>
          <w:lang w:val="fr-FR"/>
        </w:rPr>
        <w:t>’</w:t>
      </w:r>
      <w:r w:rsidRPr="00A046D5">
        <w:rPr>
          <w:b/>
          <w:bCs/>
          <w:lang w:val="fr-FR"/>
        </w:rPr>
        <w:t>État partie à</w:t>
      </w:r>
      <w:r>
        <w:rPr>
          <w:b/>
          <w:bCs/>
          <w:lang w:val="fr-FR"/>
        </w:rPr>
        <w:t> :</w:t>
      </w:r>
      <w:r w:rsidRPr="00A046D5">
        <w:rPr>
          <w:b/>
          <w:bCs/>
          <w:lang w:val="fr-FR"/>
        </w:rPr>
        <w:t xml:space="preserve"> </w:t>
      </w:r>
    </w:p>
    <w:p w14:paraId="00782733" w14:textId="77777777" w:rsidR="00384AB0" w:rsidRPr="006956F0" w:rsidRDefault="00384AB0" w:rsidP="00384AB0">
      <w:pPr>
        <w:pStyle w:val="SingleTxtG"/>
        <w:ind w:firstLine="567"/>
        <w:rPr>
          <w:b/>
          <w:lang w:val="fr-FR"/>
        </w:rPr>
      </w:pPr>
      <w:r w:rsidRPr="006956F0">
        <w:rPr>
          <w:b/>
          <w:lang w:val="fr-FR"/>
        </w:rPr>
        <w:t>a)</w:t>
      </w:r>
      <w:r w:rsidRPr="006956F0">
        <w:rPr>
          <w:b/>
          <w:lang w:val="fr-FR"/>
        </w:rPr>
        <w:tab/>
      </w:r>
      <w:r>
        <w:rPr>
          <w:b/>
          <w:lang w:val="fr-FR"/>
        </w:rPr>
        <w:t xml:space="preserve">Prendre comme </w:t>
      </w:r>
      <w:r w:rsidRPr="006956F0">
        <w:rPr>
          <w:b/>
          <w:bCs/>
          <w:lang w:val="fr-FR"/>
        </w:rPr>
        <w:t>exemple de bonnes pratiques en matière de consultation le processus d</w:t>
      </w:r>
      <w:r w:rsidR="004252BC">
        <w:rPr>
          <w:b/>
          <w:bCs/>
          <w:lang w:val="fr-FR"/>
        </w:rPr>
        <w:t>’</w:t>
      </w:r>
      <w:r w:rsidRPr="006956F0">
        <w:rPr>
          <w:b/>
          <w:bCs/>
          <w:lang w:val="fr-FR"/>
        </w:rPr>
        <w:t>élaboration du Plan d</w:t>
      </w:r>
      <w:r w:rsidR="004252BC">
        <w:rPr>
          <w:b/>
          <w:bCs/>
          <w:lang w:val="fr-FR"/>
        </w:rPr>
        <w:t>’</w:t>
      </w:r>
      <w:r w:rsidRPr="006956F0">
        <w:rPr>
          <w:b/>
          <w:bCs/>
          <w:lang w:val="fr-FR"/>
        </w:rPr>
        <w:t>action national pour les</w:t>
      </w:r>
      <w:r>
        <w:rPr>
          <w:b/>
          <w:bCs/>
          <w:lang w:val="fr-FR"/>
        </w:rPr>
        <w:t xml:space="preserve"> peuples autochtones ;</w:t>
      </w:r>
    </w:p>
    <w:p w14:paraId="1C8480D5" w14:textId="77777777" w:rsidR="00384AB0" w:rsidRPr="006956F0" w:rsidRDefault="00384AB0" w:rsidP="00384AB0">
      <w:pPr>
        <w:pStyle w:val="SingleTxtG"/>
        <w:ind w:firstLine="567"/>
        <w:rPr>
          <w:b/>
          <w:lang w:val="fr-FR"/>
        </w:rPr>
      </w:pPr>
      <w:r w:rsidRPr="006956F0">
        <w:rPr>
          <w:b/>
          <w:lang w:val="fr-FR"/>
        </w:rPr>
        <w:t>b)</w:t>
      </w:r>
      <w:r w:rsidRPr="006956F0">
        <w:rPr>
          <w:b/>
          <w:lang w:val="fr-FR"/>
        </w:rPr>
        <w:tab/>
      </w:r>
      <w:r w:rsidRPr="006956F0">
        <w:rPr>
          <w:b/>
          <w:bCs/>
          <w:lang w:val="fr-FR"/>
        </w:rPr>
        <w:t>Examiner avec toute l</w:t>
      </w:r>
      <w:r w:rsidR="004252BC">
        <w:rPr>
          <w:b/>
          <w:bCs/>
          <w:lang w:val="fr-FR"/>
        </w:rPr>
        <w:t>’</w:t>
      </w:r>
      <w:r w:rsidRPr="006956F0">
        <w:rPr>
          <w:b/>
          <w:bCs/>
          <w:lang w:val="fr-FR"/>
        </w:rPr>
        <w:t>attention voulue la proposition de création d</w:t>
      </w:r>
      <w:r>
        <w:rPr>
          <w:b/>
          <w:bCs/>
          <w:lang w:val="fr-FR"/>
        </w:rPr>
        <w:t>u c</w:t>
      </w:r>
      <w:r w:rsidRPr="006956F0">
        <w:rPr>
          <w:b/>
          <w:bCs/>
          <w:lang w:val="fr-FR"/>
        </w:rPr>
        <w:t xml:space="preserve">onseil </w:t>
      </w:r>
      <w:proofErr w:type="spellStart"/>
      <w:r w:rsidRPr="006956F0">
        <w:rPr>
          <w:b/>
          <w:bCs/>
          <w:lang w:val="fr-FR"/>
        </w:rPr>
        <w:t>intergouvernemental</w:t>
      </w:r>
      <w:proofErr w:type="spellEnd"/>
      <w:r w:rsidRPr="006956F0">
        <w:rPr>
          <w:b/>
          <w:bCs/>
          <w:lang w:val="fr-FR"/>
        </w:rPr>
        <w:t xml:space="preserve"> des peuples autochtones d</w:t>
      </w:r>
      <w:r w:rsidR="004252BC">
        <w:rPr>
          <w:b/>
          <w:bCs/>
          <w:lang w:val="fr-FR"/>
        </w:rPr>
        <w:t>’</w:t>
      </w:r>
      <w:r w:rsidRPr="006956F0">
        <w:rPr>
          <w:b/>
          <w:bCs/>
          <w:lang w:val="fr-FR"/>
        </w:rPr>
        <w:t>El Salvador, présentée par les organisations de peuples autochtones</w:t>
      </w:r>
      <w:r>
        <w:rPr>
          <w:b/>
          <w:bCs/>
          <w:lang w:val="fr-FR"/>
        </w:rPr>
        <w:t> ;</w:t>
      </w:r>
      <w:r w:rsidRPr="006956F0">
        <w:rPr>
          <w:lang w:val="fr-FR"/>
        </w:rPr>
        <w:t xml:space="preserve"> </w:t>
      </w:r>
    </w:p>
    <w:p w14:paraId="224F32CA" w14:textId="77777777" w:rsidR="00384AB0" w:rsidRPr="006956F0" w:rsidRDefault="00384AB0" w:rsidP="00384AB0">
      <w:pPr>
        <w:pStyle w:val="SingleTxtG"/>
        <w:ind w:firstLine="567"/>
        <w:rPr>
          <w:b/>
          <w:lang w:val="fr-FR"/>
        </w:rPr>
      </w:pPr>
      <w:r w:rsidRPr="006956F0">
        <w:rPr>
          <w:b/>
          <w:lang w:val="fr-FR"/>
        </w:rPr>
        <w:t>c)</w:t>
      </w:r>
      <w:r w:rsidRPr="006956F0">
        <w:rPr>
          <w:b/>
          <w:lang w:val="fr-FR"/>
        </w:rPr>
        <w:tab/>
      </w:r>
      <w:r w:rsidRPr="006956F0">
        <w:rPr>
          <w:b/>
          <w:bCs/>
          <w:lang w:val="fr-FR"/>
        </w:rPr>
        <w:t xml:space="preserve">Mener des consultations sur </w:t>
      </w:r>
      <w:r>
        <w:rPr>
          <w:b/>
          <w:bCs/>
          <w:lang w:val="fr-FR"/>
        </w:rPr>
        <w:t>l</w:t>
      </w:r>
      <w:r w:rsidR="004252BC">
        <w:rPr>
          <w:b/>
          <w:bCs/>
          <w:lang w:val="fr-FR"/>
        </w:rPr>
        <w:t>’</w:t>
      </w:r>
      <w:r>
        <w:rPr>
          <w:b/>
          <w:bCs/>
          <w:lang w:val="fr-FR"/>
        </w:rPr>
        <w:t>élaboration d</w:t>
      </w:r>
      <w:r w:rsidR="004252BC">
        <w:rPr>
          <w:b/>
          <w:bCs/>
          <w:lang w:val="fr-FR"/>
        </w:rPr>
        <w:t>’</w:t>
      </w:r>
      <w:r w:rsidRPr="006956F0">
        <w:rPr>
          <w:b/>
          <w:bCs/>
          <w:lang w:val="fr-FR"/>
        </w:rPr>
        <w:t>un protocole ou tout autre cadre institutionnel national permettant de garantir le droit à la consultation et au consentement libre, préalable et éclairé</w:t>
      </w:r>
      <w:r>
        <w:rPr>
          <w:b/>
          <w:bCs/>
          <w:lang w:val="fr-FR"/>
        </w:rPr>
        <w:t> ;</w:t>
      </w:r>
    </w:p>
    <w:p w14:paraId="535C3255" w14:textId="77777777" w:rsidR="00384AB0" w:rsidRPr="006956F0" w:rsidRDefault="00384AB0" w:rsidP="00384AB0">
      <w:pPr>
        <w:pStyle w:val="SingleTxtG"/>
        <w:ind w:firstLine="567"/>
        <w:rPr>
          <w:b/>
          <w:lang w:val="fr-FR"/>
        </w:rPr>
      </w:pPr>
      <w:r w:rsidRPr="006956F0">
        <w:rPr>
          <w:b/>
          <w:lang w:val="fr-FR"/>
        </w:rPr>
        <w:t>d)</w:t>
      </w:r>
      <w:r w:rsidRPr="006956F0">
        <w:rPr>
          <w:b/>
          <w:lang w:val="fr-FR"/>
        </w:rPr>
        <w:tab/>
      </w:r>
      <w:r w:rsidRPr="006956F0">
        <w:rPr>
          <w:b/>
          <w:bCs/>
          <w:lang w:val="fr-FR"/>
        </w:rPr>
        <w:t>Veiller à ce que l</w:t>
      </w:r>
      <w:r w:rsidR="004252BC">
        <w:rPr>
          <w:b/>
          <w:bCs/>
          <w:lang w:val="fr-FR"/>
        </w:rPr>
        <w:t>’</w:t>
      </w:r>
      <w:r w:rsidRPr="006956F0">
        <w:rPr>
          <w:b/>
          <w:bCs/>
          <w:lang w:val="fr-FR"/>
        </w:rPr>
        <w:t>élaboration et la mise en œuvre des initiatives du Ministère de la culture relatives aux peuples autochtones fassent l</w:t>
      </w:r>
      <w:r w:rsidR="004252BC">
        <w:rPr>
          <w:b/>
          <w:bCs/>
          <w:lang w:val="fr-FR"/>
        </w:rPr>
        <w:t>’</w:t>
      </w:r>
      <w:r w:rsidRPr="006956F0">
        <w:rPr>
          <w:b/>
          <w:bCs/>
          <w:lang w:val="fr-FR"/>
        </w:rPr>
        <w:t>objet de consultations appropriées</w:t>
      </w:r>
      <w:r>
        <w:rPr>
          <w:b/>
          <w:bCs/>
          <w:lang w:val="fr-FR"/>
        </w:rPr>
        <w:t> ;</w:t>
      </w:r>
    </w:p>
    <w:p w14:paraId="1303B8E4" w14:textId="77777777" w:rsidR="00384AB0" w:rsidRPr="006956F0" w:rsidRDefault="00384AB0" w:rsidP="00384AB0">
      <w:pPr>
        <w:pStyle w:val="SingleTxtG"/>
        <w:ind w:firstLine="567"/>
        <w:rPr>
          <w:b/>
          <w:lang w:val="fr-FR"/>
        </w:rPr>
      </w:pPr>
      <w:r w:rsidRPr="006956F0">
        <w:rPr>
          <w:b/>
          <w:lang w:val="fr-FR"/>
        </w:rPr>
        <w:t>e)</w:t>
      </w:r>
      <w:r w:rsidRPr="006956F0">
        <w:rPr>
          <w:b/>
          <w:lang w:val="fr-FR"/>
        </w:rPr>
        <w:tab/>
      </w:r>
      <w:r w:rsidRPr="006956F0">
        <w:rPr>
          <w:b/>
          <w:bCs/>
          <w:lang w:val="fr-FR"/>
        </w:rPr>
        <w:t>Mener dès que possible une consultation sur le projet de loi sur les droits des peuples autochtones, ainsi que sur l</w:t>
      </w:r>
      <w:r w:rsidR="004252BC">
        <w:rPr>
          <w:b/>
          <w:bCs/>
          <w:lang w:val="fr-FR"/>
        </w:rPr>
        <w:t>’</w:t>
      </w:r>
      <w:r w:rsidRPr="006956F0">
        <w:rPr>
          <w:b/>
          <w:bCs/>
          <w:lang w:val="fr-FR"/>
        </w:rPr>
        <w:t>élaboration et la mise en œuvre des ordonnances municipales</w:t>
      </w:r>
      <w:r>
        <w:rPr>
          <w:b/>
          <w:bCs/>
          <w:lang w:val="fr-FR"/>
        </w:rPr>
        <w:t> ;</w:t>
      </w:r>
    </w:p>
    <w:p w14:paraId="10D8C212" w14:textId="77777777" w:rsidR="00384AB0" w:rsidRPr="006956F0" w:rsidRDefault="00384AB0" w:rsidP="00384AB0">
      <w:pPr>
        <w:pStyle w:val="SingleTxtG"/>
        <w:ind w:firstLine="567"/>
        <w:rPr>
          <w:b/>
          <w:lang w:val="fr-FR"/>
        </w:rPr>
      </w:pPr>
      <w:r w:rsidRPr="006956F0">
        <w:rPr>
          <w:b/>
          <w:lang w:val="fr-FR"/>
        </w:rPr>
        <w:t>f)</w:t>
      </w:r>
      <w:r w:rsidRPr="006956F0">
        <w:rPr>
          <w:b/>
          <w:lang w:val="fr-FR"/>
        </w:rPr>
        <w:tab/>
      </w:r>
      <w:r w:rsidRPr="006956F0">
        <w:rPr>
          <w:b/>
          <w:bCs/>
          <w:lang w:val="fr-FR"/>
        </w:rPr>
        <w:t>Harmoniser le droit à la consultation prévu par les ordonnances municipales avec la législation nationale et avec la Convention.</w:t>
      </w:r>
      <w:r w:rsidRPr="006956F0">
        <w:rPr>
          <w:lang w:val="fr-FR"/>
        </w:rPr>
        <w:t xml:space="preserve"> </w:t>
      </w:r>
    </w:p>
    <w:p w14:paraId="6699EBB4" w14:textId="77777777" w:rsidR="00384AB0" w:rsidRPr="006956F0" w:rsidRDefault="00384AB0" w:rsidP="00384AB0">
      <w:pPr>
        <w:pStyle w:val="H23G"/>
        <w:rPr>
          <w:lang w:val="fr-FR"/>
        </w:rPr>
      </w:pPr>
      <w:r w:rsidRPr="006956F0">
        <w:rPr>
          <w:lang w:val="fr-FR"/>
        </w:rPr>
        <w:tab/>
      </w:r>
      <w:r w:rsidRPr="006956F0">
        <w:rPr>
          <w:lang w:val="fr-FR"/>
        </w:rPr>
        <w:tab/>
        <w:t>Droits culturels des peuples autochtones</w:t>
      </w:r>
    </w:p>
    <w:p w14:paraId="39F436F3" w14:textId="77777777" w:rsidR="00384AB0" w:rsidRPr="006956F0" w:rsidRDefault="00384AB0" w:rsidP="00384AB0">
      <w:pPr>
        <w:pStyle w:val="SingleTxtG"/>
        <w:rPr>
          <w:lang w:val="fr-FR"/>
        </w:rPr>
      </w:pPr>
      <w:r w:rsidRPr="006956F0">
        <w:rPr>
          <w:lang w:val="fr-FR"/>
        </w:rPr>
        <w:t>24.</w:t>
      </w:r>
      <w:r w:rsidRPr="006956F0">
        <w:rPr>
          <w:lang w:val="fr-FR"/>
        </w:rPr>
        <w:tab/>
        <w:t xml:space="preserve">Le Comité prend note des mesures visant à revitaliser la langue </w:t>
      </w:r>
      <w:proofErr w:type="spellStart"/>
      <w:r w:rsidRPr="006956F0">
        <w:rPr>
          <w:lang w:val="fr-FR"/>
        </w:rPr>
        <w:t>nahuat</w:t>
      </w:r>
      <w:proofErr w:type="spellEnd"/>
      <w:r>
        <w:rPr>
          <w:lang w:val="fr-FR"/>
        </w:rPr>
        <w:t>-pipil</w:t>
      </w:r>
      <w:r w:rsidRPr="006956F0">
        <w:rPr>
          <w:lang w:val="fr-FR"/>
        </w:rPr>
        <w:t>, mais il est préoccupé par l</w:t>
      </w:r>
      <w:r w:rsidR="004252BC">
        <w:rPr>
          <w:lang w:val="fr-FR"/>
        </w:rPr>
        <w:t>’</w:t>
      </w:r>
      <w:r w:rsidRPr="006956F0">
        <w:rPr>
          <w:lang w:val="fr-FR"/>
        </w:rPr>
        <w:t xml:space="preserve">absence de mesures analogues </w:t>
      </w:r>
      <w:r>
        <w:rPr>
          <w:lang w:val="fr-FR"/>
        </w:rPr>
        <w:t>concernant</w:t>
      </w:r>
      <w:r w:rsidRPr="006956F0">
        <w:rPr>
          <w:lang w:val="fr-FR"/>
        </w:rPr>
        <w:t xml:space="preserve"> les langues </w:t>
      </w:r>
      <w:proofErr w:type="spellStart"/>
      <w:r>
        <w:rPr>
          <w:lang w:val="fr-FR"/>
        </w:rPr>
        <w:t>p</w:t>
      </w:r>
      <w:r w:rsidRPr="006956F0">
        <w:rPr>
          <w:lang w:val="fr-FR"/>
        </w:rPr>
        <w:t>isbi</w:t>
      </w:r>
      <w:proofErr w:type="spellEnd"/>
      <w:r w:rsidRPr="006956F0">
        <w:rPr>
          <w:lang w:val="fr-FR"/>
        </w:rPr>
        <w:t xml:space="preserve"> du peuple </w:t>
      </w:r>
      <w:proofErr w:type="spellStart"/>
      <w:r>
        <w:rPr>
          <w:lang w:val="fr-FR"/>
        </w:rPr>
        <w:t>k</w:t>
      </w:r>
      <w:r w:rsidRPr="006956F0">
        <w:rPr>
          <w:lang w:val="fr-FR"/>
        </w:rPr>
        <w:t>akawira</w:t>
      </w:r>
      <w:proofErr w:type="spellEnd"/>
      <w:r w:rsidRPr="006956F0">
        <w:rPr>
          <w:lang w:val="fr-FR"/>
        </w:rPr>
        <w:t xml:space="preserve"> et </w:t>
      </w:r>
      <w:proofErr w:type="spellStart"/>
      <w:r>
        <w:rPr>
          <w:lang w:val="fr-FR"/>
        </w:rPr>
        <w:t>p</w:t>
      </w:r>
      <w:r w:rsidRPr="006956F0">
        <w:rPr>
          <w:lang w:val="fr-FR"/>
        </w:rPr>
        <w:t>oton</w:t>
      </w:r>
      <w:proofErr w:type="spellEnd"/>
      <w:r w:rsidRPr="006956F0">
        <w:rPr>
          <w:lang w:val="fr-FR"/>
        </w:rPr>
        <w:t xml:space="preserve"> du peuple </w:t>
      </w:r>
      <w:proofErr w:type="spellStart"/>
      <w:r>
        <w:rPr>
          <w:lang w:val="fr-FR"/>
        </w:rPr>
        <w:t>l</w:t>
      </w:r>
      <w:r w:rsidRPr="006956F0">
        <w:rPr>
          <w:lang w:val="fr-FR"/>
        </w:rPr>
        <w:t>enka</w:t>
      </w:r>
      <w:proofErr w:type="spellEnd"/>
      <w:r w:rsidRPr="006956F0">
        <w:rPr>
          <w:lang w:val="fr-FR"/>
        </w:rPr>
        <w:t>. Il est également préoccupé par les mesures visant à promouvoir l</w:t>
      </w:r>
      <w:r w:rsidR="004252BC">
        <w:rPr>
          <w:lang w:val="fr-FR"/>
        </w:rPr>
        <w:t>’</w:t>
      </w:r>
      <w:r w:rsidRPr="006956F0">
        <w:rPr>
          <w:lang w:val="fr-FR"/>
        </w:rPr>
        <w:t xml:space="preserve">artisanat autochtone et </w:t>
      </w:r>
      <w:r>
        <w:rPr>
          <w:lang w:val="fr-FR"/>
        </w:rPr>
        <w:t>à utiliser les</w:t>
      </w:r>
      <w:r w:rsidRPr="006956F0">
        <w:rPr>
          <w:lang w:val="fr-FR"/>
        </w:rPr>
        <w:t xml:space="preserve"> connaissances traditionnelles sans consultation ni consentement des peuples autochtones et sans protection de leurs droits dans ce domaine</w:t>
      </w:r>
      <w:r>
        <w:rPr>
          <w:lang w:val="fr-FR"/>
        </w:rPr>
        <w:t xml:space="preserve"> (art.</w:t>
      </w:r>
      <w:r w:rsidR="00B975EE">
        <w:rPr>
          <w:lang w:val="fr-FR"/>
        </w:rPr>
        <w:t> </w:t>
      </w:r>
      <w:r>
        <w:rPr>
          <w:lang w:val="fr-FR"/>
        </w:rPr>
        <w:t>5)</w:t>
      </w:r>
      <w:r w:rsidRPr="006956F0">
        <w:rPr>
          <w:lang w:val="fr-FR"/>
        </w:rPr>
        <w:t>.</w:t>
      </w:r>
    </w:p>
    <w:p w14:paraId="68ECEAF5" w14:textId="77777777" w:rsidR="00384AB0" w:rsidRPr="00CE3113" w:rsidRDefault="00384AB0" w:rsidP="00384AB0">
      <w:pPr>
        <w:pStyle w:val="SingleTxtG"/>
        <w:keepNext/>
        <w:rPr>
          <w:b/>
          <w:lang w:val="fr-FR"/>
        </w:rPr>
      </w:pPr>
      <w:r w:rsidRPr="00CE3113">
        <w:rPr>
          <w:lang w:val="fr-FR"/>
        </w:rPr>
        <w:t>25.</w:t>
      </w:r>
      <w:r w:rsidRPr="00CE3113">
        <w:rPr>
          <w:lang w:val="fr-FR"/>
        </w:rPr>
        <w:tab/>
      </w:r>
      <w:r w:rsidRPr="00CE3113">
        <w:rPr>
          <w:b/>
          <w:lang w:val="fr-FR"/>
        </w:rPr>
        <w:t>Le Comité recommande à l</w:t>
      </w:r>
      <w:r w:rsidR="004252BC">
        <w:rPr>
          <w:b/>
          <w:lang w:val="fr-FR"/>
        </w:rPr>
        <w:t>’</w:t>
      </w:r>
      <w:r w:rsidRPr="00CE3113">
        <w:rPr>
          <w:b/>
          <w:lang w:val="fr-FR"/>
        </w:rPr>
        <w:t>État partie</w:t>
      </w:r>
      <w:r>
        <w:rPr>
          <w:b/>
          <w:lang w:val="fr-FR"/>
        </w:rPr>
        <w:t> :</w:t>
      </w:r>
    </w:p>
    <w:p w14:paraId="63FE9B4F" w14:textId="77777777" w:rsidR="00384AB0" w:rsidRPr="006956F0" w:rsidRDefault="00384AB0" w:rsidP="00384AB0">
      <w:pPr>
        <w:pStyle w:val="SingleTxtG"/>
        <w:ind w:firstLine="567"/>
        <w:rPr>
          <w:b/>
          <w:lang w:val="fr-FR"/>
        </w:rPr>
      </w:pPr>
      <w:r w:rsidRPr="006956F0">
        <w:rPr>
          <w:b/>
          <w:lang w:val="fr-FR"/>
        </w:rPr>
        <w:t>a)</w:t>
      </w:r>
      <w:r w:rsidRPr="006956F0">
        <w:rPr>
          <w:b/>
          <w:lang w:val="fr-FR"/>
        </w:rPr>
        <w:tab/>
      </w:r>
      <w:r>
        <w:rPr>
          <w:b/>
          <w:bCs/>
          <w:lang w:val="fr-FR"/>
        </w:rPr>
        <w:t>D</w:t>
      </w:r>
      <w:r w:rsidR="004252BC">
        <w:rPr>
          <w:b/>
          <w:bCs/>
          <w:lang w:val="fr-FR"/>
        </w:rPr>
        <w:t>’</w:t>
      </w:r>
      <w:r>
        <w:rPr>
          <w:b/>
          <w:bCs/>
          <w:lang w:val="fr-FR"/>
        </w:rPr>
        <w:t>é</w:t>
      </w:r>
      <w:r w:rsidRPr="006956F0">
        <w:rPr>
          <w:b/>
          <w:bCs/>
          <w:lang w:val="fr-FR"/>
        </w:rPr>
        <w:t>laborer une politique de protection et de promotion de toutes les langues autochtones, quel que soit leur degré d</w:t>
      </w:r>
      <w:r w:rsidR="004252BC">
        <w:rPr>
          <w:b/>
          <w:bCs/>
          <w:lang w:val="fr-FR"/>
        </w:rPr>
        <w:t>’</w:t>
      </w:r>
      <w:r w:rsidRPr="006956F0">
        <w:rPr>
          <w:b/>
          <w:bCs/>
          <w:lang w:val="fr-FR"/>
        </w:rPr>
        <w:t>utilisation, y compris la célébration d</w:t>
      </w:r>
      <w:r w:rsidR="004252BC">
        <w:rPr>
          <w:b/>
          <w:bCs/>
          <w:lang w:val="fr-FR"/>
        </w:rPr>
        <w:t>’</w:t>
      </w:r>
      <w:r w:rsidRPr="006956F0">
        <w:rPr>
          <w:b/>
          <w:bCs/>
          <w:lang w:val="fr-FR"/>
        </w:rPr>
        <w:t>une journée nationale de toutes les langues autochtones</w:t>
      </w:r>
      <w:r>
        <w:rPr>
          <w:b/>
          <w:bCs/>
          <w:lang w:val="fr-FR"/>
        </w:rPr>
        <w:t> ;</w:t>
      </w:r>
    </w:p>
    <w:p w14:paraId="39990B87" w14:textId="77777777" w:rsidR="00384AB0" w:rsidRPr="006956F0" w:rsidRDefault="00384AB0" w:rsidP="00384AB0">
      <w:pPr>
        <w:pStyle w:val="SingleTxtG"/>
        <w:ind w:firstLine="567"/>
        <w:rPr>
          <w:lang w:val="fr-FR"/>
        </w:rPr>
      </w:pPr>
      <w:r w:rsidRPr="00B545ED">
        <w:rPr>
          <w:b/>
          <w:lang w:val="fr-FR"/>
        </w:rPr>
        <w:t>b)</w:t>
      </w:r>
      <w:r w:rsidRPr="006956F0">
        <w:rPr>
          <w:lang w:val="fr-FR"/>
        </w:rPr>
        <w:tab/>
      </w:r>
      <w:r>
        <w:rPr>
          <w:b/>
          <w:bCs/>
          <w:lang w:val="fr-FR"/>
        </w:rPr>
        <w:t>D</w:t>
      </w:r>
      <w:r w:rsidR="004252BC">
        <w:rPr>
          <w:b/>
          <w:bCs/>
          <w:lang w:val="fr-FR"/>
        </w:rPr>
        <w:t>’</w:t>
      </w:r>
      <w:r>
        <w:rPr>
          <w:b/>
          <w:bCs/>
          <w:lang w:val="fr-FR"/>
        </w:rPr>
        <w:t>a</w:t>
      </w:r>
      <w:r w:rsidRPr="006956F0">
        <w:rPr>
          <w:b/>
          <w:bCs/>
          <w:lang w:val="fr-FR"/>
        </w:rPr>
        <w:t>dopter les garanties nécessaires pour que l</w:t>
      </w:r>
      <w:r w:rsidR="004252BC">
        <w:rPr>
          <w:b/>
          <w:bCs/>
          <w:lang w:val="fr-FR"/>
        </w:rPr>
        <w:t>’</w:t>
      </w:r>
      <w:r w:rsidRPr="006956F0">
        <w:rPr>
          <w:b/>
          <w:bCs/>
          <w:lang w:val="fr-FR"/>
        </w:rPr>
        <w:t xml:space="preserve">artisanat et les </w:t>
      </w:r>
      <w:r>
        <w:rPr>
          <w:b/>
          <w:bCs/>
          <w:lang w:val="fr-FR"/>
        </w:rPr>
        <w:t>connaissances</w:t>
      </w:r>
      <w:r w:rsidRPr="006956F0">
        <w:rPr>
          <w:b/>
          <w:bCs/>
          <w:lang w:val="fr-FR"/>
        </w:rPr>
        <w:t xml:space="preserve"> traditionnel</w:t>
      </w:r>
      <w:r>
        <w:rPr>
          <w:b/>
          <w:bCs/>
          <w:lang w:val="fr-FR"/>
        </w:rPr>
        <w:t>le</w:t>
      </w:r>
      <w:r w:rsidRPr="006956F0">
        <w:rPr>
          <w:b/>
          <w:bCs/>
          <w:lang w:val="fr-FR"/>
        </w:rPr>
        <w:t>s autochtones soient dûment protégés et que leur utilisation fasse l</w:t>
      </w:r>
      <w:r w:rsidR="004252BC">
        <w:rPr>
          <w:b/>
          <w:bCs/>
          <w:lang w:val="fr-FR"/>
        </w:rPr>
        <w:t>’</w:t>
      </w:r>
      <w:r w:rsidRPr="006956F0">
        <w:rPr>
          <w:b/>
          <w:bCs/>
          <w:lang w:val="fr-FR"/>
        </w:rPr>
        <w:t>objet de consultations avec les peuples autochtones et d</w:t>
      </w:r>
      <w:r w:rsidR="004252BC">
        <w:rPr>
          <w:b/>
          <w:bCs/>
          <w:lang w:val="fr-FR"/>
        </w:rPr>
        <w:t>’</w:t>
      </w:r>
      <w:r w:rsidRPr="006956F0">
        <w:rPr>
          <w:b/>
          <w:bCs/>
          <w:lang w:val="fr-FR"/>
        </w:rPr>
        <w:t>un partage équitable des avantages susceptibles d</w:t>
      </w:r>
      <w:r w:rsidR="004252BC">
        <w:rPr>
          <w:b/>
          <w:bCs/>
          <w:lang w:val="fr-FR"/>
        </w:rPr>
        <w:t>’</w:t>
      </w:r>
      <w:r w:rsidRPr="006956F0">
        <w:rPr>
          <w:b/>
          <w:bCs/>
          <w:lang w:val="fr-FR"/>
        </w:rPr>
        <w:t>en être tirés</w:t>
      </w:r>
      <w:r>
        <w:rPr>
          <w:b/>
          <w:bCs/>
          <w:lang w:val="fr-FR"/>
        </w:rPr>
        <w:t>, en tenant compte de l</w:t>
      </w:r>
      <w:r w:rsidR="004252BC">
        <w:rPr>
          <w:b/>
          <w:bCs/>
          <w:lang w:val="fr-FR"/>
        </w:rPr>
        <w:t>’</w:t>
      </w:r>
      <w:r>
        <w:rPr>
          <w:b/>
          <w:bCs/>
          <w:lang w:val="fr-FR"/>
        </w:rPr>
        <w:t xml:space="preserve">alinéa </w:t>
      </w:r>
      <w:r w:rsidRPr="00AE3BC8">
        <w:rPr>
          <w:b/>
          <w:bCs/>
          <w:lang w:val="fr-FR"/>
        </w:rPr>
        <w:t>j)</w:t>
      </w:r>
      <w:r>
        <w:rPr>
          <w:b/>
          <w:bCs/>
          <w:i/>
          <w:lang w:val="fr-FR"/>
        </w:rPr>
        <w:t xml:space="preserve"> </w:t>
      </w:r>
      <w:r>
        <w:rPr>
          <w:b/>
          <w:bCs/>
          <w:lang w:val="fr-FR"/>
        </w:rPr>
        <w:t>de l</w:t>
      </w:r>
      <w:r w:rsidR="004252BC">
        <w:rPr>
          <w:b/>
          <w:bCs/>
          <w:lang w:val="fr-FR"/>
        </w:rPr>
        <w:t>’</w:t>
      </w:r>
      <w:r>
        <w:rPr>
          <w:b/>
          <w:bCs/>
          <w:lang w:val="fr-FR"/>
        </w:rPr>
        <w:t>article 8 de la Convention sur la diversité biologique</w:t>
      </w:r>
      <w:r w:rsidRPr="006956F0">
        <w:rPr>
          <w:b/>
          <w:bCs/>
          <w:lang w:val="fr-FR"/>
        </w:rPr>
        <w:t>.</w:t>
      </w:r>
    </w:p>
    <w:p w14:paraId="3F5C0E1D" w14:textId="77777777" w:rsidR="00384AB0" w:rsidRPr="006956F0" w:rsidRDefault="00384AB0" w:rsidP="00384AB0">
      <w:pPr>
        <w:pStyle w:val="H23G"/>
        <w:rPr>
          <w:lang w:val="fr-FR"/>
        </w:rPr>
      </w:pPr>
      <w:r w:rsidRPr="006956F0">
        <w:rPr>
          <w:lang w:val="fr-FR"/>
        </w:rPr>
        <w:tab/>
      </w:r>
      <w:r w:rsidRPr="006956F0">
        <w:rPr>
          <w:lang w:val="fr-FR"/>
        </w:rPr>
        <w:tab/>
        <w:t>Situation des femmes autochtones et des femmes d</w:t>
      </w:r>
      <w:r w:rsidR="004252BC">
        <w:rPr>
          <w:lang w:val="fr-FR"/>
        </w:rPr>
        <w:t>’</w:t>
      </w:r>
      <w:r w:rsidRPr="006956F0">
        <w:rPr>
          <w:lang w:val="fr-FR"/>
        </w:rPr>
        <w:t xml:space="preserve">ascendance africaine </w:t>
      </w:r>
    </w:p>
    <w:p w14:paraId="499640BB" w14:textId="77777777" w:rsidR="00384AB0" w:rsidRPr="006956F0" w:rsidRDefault="00384AB0" w:rsidP="00384AB0">
      <w:pPr>
        <w:pStyle w:val="SingleTxtG"/>
        <w:rPr>
          <w:lang w:val="fr-FR"/>
        </w:rPr>
      </w:pPr>
      <w:r w:rsidRPr="006956F0">
        <w:rPr>
          <w:lang w:val="fr-FR"/>
        </w:rPr>
        <w:t>26.</w:t>
      </w:r>
      <w:r w:rsidRPr="006956F0">
        <w:rPr>
          <w:lang w:val="fr-FR"/>
        </w:rPr>
        <w:tab/>
        <w:t>Le Comité prend note des lois relatives à la protection des femmes, telles que la loi sur l</w:t>
      </w:r>
      <w:r w:rsidR="004252BC">
        <w:rPr>
          <w:lang w:val="fr-FR"/>
        </w:rPr>
        <w:t>’</w:t>
      </w:r>
      <w:r w:rsidRPr="006956F0">
        <w:rPr>
          <w:lang w:val="fr-FR"/>
        </w:rPr>
        <w:t>égalité, l</w:t>
      </w:r>
      <w:r w:rsidR="004252BC">
        <w:rPr>
          <w:lang w:val="fr-FR"/>
        </w:rPr>
        <w:t>’</w:t>
      </w:r>
      <w:r w:rsidRPr="006956F0">
        <w:rPr>
          <w:lang w:val="fr-FR"/>
        </w:rPr>
        <w:t>équité et l</w:t>
      </w:r>
      <w:r w:rsidR="004252BC">
        <w:rPr>
          <w:lang w:val="fr-FR"/>
        </w:rPr>
        <w:t>’</w:t>
      </w:r>
      <w:r w:rsidRPr="006956F0">
        <w:rPr>
          <w:lang w:val="fr-FR"/>
        </w:rPr>
        <w:t>élimination de la discrimination à l</w:t>
      </w:r>
      <w:r w:rsidR="004252BC">
        <w:rPr>
          <w:lang w:val="fr-FR"/>
        </w:rPr>
        <w:t>’</w:t>
      </w:r>
      <w:r w:rsidRPr="006956F0">
        <w:rPr>
          <w:lang w:val="fr-FR"/>
        </w:rPr>
        <w:t xml:space="preserve">égard des femmes et la loi générale spéciale pour une vie sans violence pour les femmes, ainsi que </w:t>
      </w:r>
      <w:r>
        <w:rPr>
          <w:lang w:val="fr-FR"/>
        </w:rPr>
        <w:t xml:space="preserve">de </w:t>
      </w:r>
      <w:r w:rsidRPr="006956F0">
        <w:rPr>
          <w:lang w:val="fr-FR"/>
        </w:rPr>
        <w:t>la politique d</w:t>
      </w:r>
      <w:r w:rsidR="004252BC">
        <w:rPr>
          <w:lang w:val="fr-FR"/>
        </w:rPr>
        <w:t>’</w:t>
      </w:r>
      <w:r w:rsidRPr="006956F0">
        <w:rPr>
          <w:lang w:val="fr-FR"/>
        </w:rPr>
        <w:t>égalité et de non-discrimination de l</w:t>
      </w:r>
      <w:r w:rsidR="004252BC">
        <w:rPr>
          <w:lang w:val="fr-FR"/>
        </w:rPr>
        <w:t>’</w:t>
      </w:r>
      <w:r w:rsidRPr="006956F0">
        <w:rPr>
          <w:lang w:val="fr-FR"/>
        </w:rPr>
        <w:t>Institut pour la transformation agraire. Le Comité note que la politique relative aux femmes rurales, autochtones et paysannes est en cours d</w:t>
      </w:r>
      <w:r w:rsidR="004252BC">
        <w:rPr>
          <w:lang w:val="fr-FR"/>
        </w:rPr>
        <w:t>’</w:t>
      </w:r>
      <w:r w:rsidRPr="006956F0">
        <w:rPr>
          <w:lang w:val="fr-FR"/>
        </w:rPr>
        <w:t>élaboration. Toutefois, il note avec préoccupation l</w:t>
      </w:r>
      <w:r w:rsidR="004252BC">
        <w:rPr>
          <w:lang w:val="fr-FR"/>
        </w:rPr>
        <w:t>’</w:t>
      </w:r>
      <w:r w:rsidRPr="006956F0">
        <w:rPr>
          <w:lang w:val="fr-FR"/>
        </w:rPr>
        <w:t xml:space="preserve">absence de </w:t>
      </w:r>
      <w:r>
        <w:rPr>
          <w:lang w:val="fr-FR"/>
        </w:rPr>
        <w:t>dispositions normatives</w:t>
      </w:r>
      <w:r w:rsidRPr="006956F0">
        <w:rPr>
          <w:lang w:val="fr-FR"/>
        </w:rPr>
        <w:t xml:space="preserve"> et de mesures spéciales en faveur des femmes autochtones et des femmes d</w:t>
      </w:r>
      <w:r w:rsidR="004252BC">
        <w:rPr>
          <w:lang w:val="fr-FR"/>
        </w:rPr>
        <w:t>’</w:t>
      </w:r>
      <w:r w:rsidRPr="006956F0">
        <w:rPr>
          <w:lang w:val="fr-FR"/>
        </w:rPr>
        <w:t>ascendance africaine. Dans le domaine de la santé sexuelle et procréative, le Comité est également préoccupé par la criminalisation de l</w:t>
      </w:r>
      <w:r w:rsidR="004252BC">
        <w:rPr>
          <w:lang w:val="fr-FR"/>
        </w:rPr>
        <w:t>’</w:t>
      </w:r>
      <w:r w:rsidRPr="006956F0">
        <w:rPr>
          <w:lang w:val="fr-FR"/>
        </w:rPr>
        <w:t>avortement</w:t>
      </w:r>
      <w:r>
        <w:rPr>
          <w:lang w:val="fr-FR"/>
        </w:rPr>
        <w:t>,</w:t>
      </w:r>
      <w:r w:rsidRPr="006956F0">
        <w:rPr>
          <w:lang w:val="fr-FR"/>
        </w:rPr>
        <w:t xml:space="preserve"> en toutes circonstances, </w:t>
      </w:r>
      <w:r>
        <w:rPr>
          <w:lang w:val="fr-FR"/>
        </w:rPr>
        <w:t>ce qui a</w:t>
      </w:r>
      <w:r w:rsidRPr="006956F0">
        <w:rPr>
          <w:lang w:val="fr-FR"/>
        </w:rPr>
        <w:t xml:space="preserve"> des conséquences plus </w:t>
      </w:r>
      <w:r>
        <w:rPr>
          <w:lang w:val="fr-FR"/>
        </w:rPr>
        <w:t>graves</w:t>
      </w:r>
      <w:r w:rsidRPr="006956F0">
        <w:rPr>
          <w:lang w:val="fr-FR"/>
        </w:rPr>
        <w:t xml:space="preserve"> pour les femmes autochtones et les femmes </w:t>
      </w:r>
      <w:r>
        <w:rPr>
          <w:lang w:val="fr-FR"/>
        </w:rPr>
        <w:t>d</w:t>
      </w:r>
      <w:r w:rsidR="004252BC">
        <w:rPr>
          <w:lang w:val="fr-FR"/>
        </w:rPr>
        <w:t>’</w:t>
      </w:r>
      <w:r>
        <w:rPr>
          <w:lang w:val="fr-FR"/>
        </w:rPr>
        <w:t>ascendance africaine (art. 1</w:t>
      </w:r>
      <w:r w:rsidRPr="00034B34">
        <w:rPr>
          <w:vertAlign w:val="superscript"/>
          <w:lang w:val="fr-FR"/>
        </w:rPr>
        <w:t>er</w:t>
      </w:r>
      <w:r w:rsidRPr="006956F0">
        <w:rPr>
          <w:lang w:val="fr-FR"/>
        </w:rPr>
        <w:t xml:space="preserve">, 2 et 5). </w:t>
      </w:r>
    </w:p>
    <w:p w14:paraId="243E29BD" w14:textId="77777777" w:rsidR="00384AB0" w:rsidRPr="00203C55" w:rsidRDefault="00384AB0" w:rsidP="00384AB0">
      <w:pPr>
        <w:pStyle w:val="SingleTxtG"/>
        <w:keepNext/>
        <w:rPr>
          <w:b/>
          <w:spacing w:val="-2"/>
          <w:lang w:val="fr-FR"/>
        </w:rPr>
      </w:pPr>
      <w:r w:rsidRPr="00203C55">
        <w:rPr>
          <w:spacing w:val="-2"/>
          <w:lang w:val="fr-FR"/>
        </w:rPr>
        <w:t>27.</w:t>
      </w:r>
      <w:r w:rsidRPr="00203C55">
        <w:rPr>
          <w:spacing w:val="-2"/>
          <w:lang w:val="fr-FR"/>
        </w:rPr>
        <w:tab/>
      </w:r>
      <w:r w:rsidRPr="00203C55">
        <w:rPr>
          <w:b/>
          <w:spacing w:val="-2"/>
          <w:lang w:val="fr-FR"/>
        </w:rPr>
        <w:t xml:space="preserve">À la lumière de sa recommandation générale </w:t>
      </w:r>
      <w:r w:rsidRPr="00203C55">
        <w:rPr>
          <w:rFonts w:eastAsia="MS Mincho"/>
          <w:b/>
          <w:spacing w:val="-2"/>
          <w:lang w:val="fr-FR"/>
        </w:rPr>
        <w:t>n</w:t>
      </w:r>
      <w:r w:rsidRPr="00203C55">
        <w:rPr>
          <w:rFonts w:eastAsia="MS Mincho"/>
          <w:b/>
          <w:spacing w:val="-2"/>
          <w:vertAlign w:val="superscript"/>
          <w:lang w:val="fr-FR"/>
        </w:rPr>
        <w:t>o</w:t>
      </w:r>
      <w:r w:rsidRPr="00203C55">
        <w:rPr>
          <w:b/>
          <w:spacing w:val="-2"/>
          <w:lang w:val="fr-FR"/>
        </w:rPr>
        <w:t> 25 (2000) concernant la dimension sexiste de la discrimination raciale, le Comité prie instamment l</w:t>
      </w:r>
      <w:r w:rsidR="004252BC" w:rsidRPr="00203C55">
        <w:rPr>
          <w:b/>
          <w:spacing w:val="-2"/>
          <w:lang w:val="fr-FR"/>
        </w:rPr>
        <w:t>’</w:t>
      </w:r>
      <w:r w:rsidRPr="00203C55">
        <w:rPr>
          <w:b/>
          <w:spacing w:val="-2"/>
          <w:lang w:val="fr-FR"/>
        </w:rPr>
        <w:t>État partie :</w:t>
      </w:r>
    </w:p>
    <w:p w14:paraId="7FD40F66" w14:textId="77777777" w:rsidR="00384AB0" w:rsidRPr="00F00F83" w:rsidRDefault="00384AB0" w:rsidP="00384AB0">
      <w:pPr>
        <w:pStyle w:val="SingleTxtG"/>
        <w:ind w:firstLine="567"/>
        <w:rPr>
          <w:b/>
          <w:lang w:val="fr-FR"/>
        </w:rPr>
      </w:pPr>
      <w:r w:rsidRPr="00F00F83">
        <w:rPr>
          <w:b/>
          <w:lang w:val="fr-FR"/>
        </w:rPr>
        <w:t>a)</w:t>
      </w:r>
      <w:r w:rsidRPr="00F00F83">
        <w:rPr>
          <w:b/>
          <w:lang w:val="fr-FR"/>
        </w:rPr>
        <w:tab/>
        <w:t>De redoubler d</w:t>
      </w:r>
      <w:r w:rsidR="004252BC">
        <w:rPr>
          <w:b/>
          <w:lang w:val="fr-FR"/>
        </w:rPr>
        <w:t>’</w:t>
      </w:r>
      <w:r w:rsidRPr="00F00F83">
        <w:rPr>
          <w:b/>
          <w:lang w:val="fr-FR"/>
        </w:rPr>
        <w:t>efforts pour lutter contre les formes multiples de discrimination auxquelles se heurtent les femmes autochtones et les femmes d</w:t>
      </w:r>
      <w:r w:rsidR="004252BC">
        <w:rPr>
          <w:b/>
          <w:lang w:val="fr-FR"/>
        </w:rPr>
        <w:t>’</w:t>
      </w:r>
      <w:r w:rsidRPr="00F00F83">
        <w:rPr>
          <w:b/>
          <w:lang w:val="fr-FR"/>
        </w:rPr>
        <w:t>ascendance africaine, notamment en intégrant une perspective de genre dans toutes les politiques et stratégies de lutte contre la discrimination raciale</w:t>
      </w:r>
      <w:r>
        <w:rPr>
          <w:b/>
          <w:lang w:val="fr-FR"/>
        </w:rPr>
        <w:t> ;</w:t>
      </w:r>
    </w:p>
    <w:p w14:paraId="055FB0CC" w14:textId="77777777" w:rsidR="00384AB0" w:rsidRPr="00F00F83" w:rsidRDefault="00384AB0" w:rsidP="00384AB0">
      <w:pPr>
        <w:pStyle w:val="SingleTxtG"/>
        <w:ind w:firstLine="567"/>
        <w:rPr>
          <w:b/>
          <w:lang w:val="fr-FR"/>
        </w:rPr>
      </w:pPr>
      <w:r w:rsidRPr="00F00F83">
        <w:rPr>
          <w:b/>
          <w:lang w:val="fr-FR"/>
        </w:rPr>
        <w:t>b)</w:t>
      </w:r>
      <w:r w:rsidRPr="00F00F83">
        <w:rPr>
          <w:b/>
          <w:lang w:val="fr-FR"/>
        </w:rPr>
        <w:tab/>
        <w:t>De prendre des mesures pour que les femmes autochtones et les femmes d</w:t>
      </w:r>
      <w:r w:rsidR="004252BC">
        <w:rPr>
          <w:b/>
          <w:lang w:val="fr-FR"/>
        </w:rPr>
        <w:t>’</w:t>
      </w:r>
      <w:r w:rsidRPr="00F00F83">
        <w:rPr>
          <w:b/>
          <w:lang w:val="fr-FR"/>
        </w:rPr>
        <w:t>ascendance africaine aient accès à l</w:t>
      </w:r>
      <w:r w:rsidR="004252BC">
        <w:rPr>
          <w:b/>
          <w:lang w:val="fr-FR"/>
        </w:rPr>
        <w:t>’</w:t>
      </w:r>
      <w:r w:rsidRPr="00F00F83">
        <w:rPr>
          <w:b/>
          <w:lang w:val="fr-FR"/>
        </w:rPr>
        <w:t>éducation, à l</w:t>
      </w:r>
      <w:r w:rsidR="004252BC">
        <w:rPr>
          <w:b/>
          <w:lang w:val="fr-FR"/>
        </w:rPr>
        <w:t>’</w:t>
      </w:r>
      <w:r w:rsidRPr="00F00F83">
        <w:rPr>
          <w:b/>
          <w:lang w:val="fr-FR"/>
        </w:rPr>
        <w:t>emploi et à la santé, en tenant compte des différences culturelles</w:t>
      </w:r>
      <w:r>
        <w:rPr>
          <w:b/>
          <w:lang w:val="fr-FR"/>
        </w:rPr>
        <w:t> ;</w:t>
      </w:r>
    </w:p>
    <w:p w14:paraId="430E3596" w14:textId="77777777" w:rsidR="00384AB0" w:rsidRPr="006956F0" w:rsidRDefault="00384AB0" w:rsidP="00384AB0">
      <w:pPr>
        <w:pStyle w:val="SingleTxtG"/>
        <w:ind w:firstLine="567"/>
        <w:rPr>
          <w:b/>
          <w:lang w:val="fr-FR"/>
        </w:rPr>
      </w:pPr>
      <w:r w:rsidRPr="006956F0">
        <w:rPr>
          <w:b/>
          <w:lang w:val="fr-FR"/>
        </w:rPr>
        <w:t>c)</w:t>
      </w:r>
      <w:r w:rsidRPr="006956F0">
        <w:rPr>
          <w:b/>
          <w:lang w:val="fr-FR"/>
        </w:rPr>
        <w:tab/>
      </w:r>
      <w:r w:rsidRPr="006956F0">
        <w:rPr>
          <w:b/>
          <w:bCs/>
          <w:lang w:val="fr-FR"/>
        </w:rPr>
        <w:t>De garantir l</w:t>
      </w:r>
      <w:r w:rsidR="004252BC">
        <w:rPr>
          <w:b/>
          <w:bCs/>
          <w:lang w:val="fr-FR"/>
        </w:rPr>
        <w:t>’</w:t>
      </w:r>
      <w:r w:rsidRPr="006956F0">
        <w:rPr>
          <w:b/>
          <w:bCs/>
          <w:lang w:val="fr-FR"/>
        </w:rPr>
        <w:t>accès des femmes autochtones et</w:t>
      </w:r>
      <w:r w:rsidRPr="00BC70D1">
        <w:rPr>
          <w:b/>
          <w:bCs/>
          <w:lang w:val="fr-FR"/>
        </w:rPr>
        <w:t xml:space="preserve"> des femmes </w:t>
      </w:r>
      <w:r w:rsidRPr="006956F0">
        <w:rPr>
          <w:b/>
          <w:bCs/>
          <w:lang w:val="fr-FR"/>
        </w:rPr>
        <w:t>d</w:t>
      </w:r>
      <w:r w:rsidR="004252BC">
        <w:rPr>
          <w:b/>
          <w:bCs/>
          <w:lang w:val="fr-FR"/>
        </w:rPr>
        <w:t>’</w:t>
      </w:r>
      <w:r w:rsidRPr="006956F0">
        <w:rPr>
          <w:b/>
          <w:bCs/>
          <w:lang w:val="fr-FR"/>
        </w:rPr>
        <w:t xml:space="preserve">ascendance africaine à la santé sexuelle et procréative et de revoir la </w:t>
      </w:r>
      <w:r>
        <w:rPr>
          <w:b/>
          <w:bCs/>
          <w:lang w:val="fr-FR"/>
        </w:rPr>
        <w:t>législation</w:t>
      </w:r>
      <w:r w:rsidRPr="006956F0">
        <w:rPr>
          <w:b/>
          <w:bCs/>
          <w:lang w:val="fr-FR"/>
        </w:rPr>
        <w:t xml:space="preserve"> relative à l</w:t>
      </w:r>
      <w:r w:rsidR="004252BC">
        <w:rPr>
          <w:b/>
          <w:bCs/>
          <w:lang w:val="fr-FR"/>
        </w:rPr>
        <w:t>’</w:t>
      </w:r>
      <w:r w:rsidRPr="006956F0">
        <w:rPr>
          <w:b/>
          <w:bCs/>
          <w:lang w:val="fr-FR"/>
        </w:rPr>
        <w:t>avortement afin qu</w:t>
      </w:r>
      <w:r w:rsidR="004252BC">
        <w:rPr>
          <w:b/>
          <w:bCs/>
          <w:lang w:val="fr-FR"/>
        </w:rPr>
        <w:t>’</w:t>
      </w:r>
      <w:r w:rsidRPr="006956F0">
        <w:rPr>
          <w:b/>
          <w:bCs/>
          <w:lang w:val="fr-FR"/>
        </w:rPr>
        <w:t>elle soit conforme à</w:t>
      </w:r>
      <w:r>
        <w:rPr>
          <w:b/>
          <w:bCs/>
          <w:lang w:val="fr-FR"/>
        </w:rPr>
        <w:t xml:space="preserve"> l</w:t>
      </w:r>
      <w:r w:rsidR="004252BC">
        <w:rPr>
          <w:b/>
          <w:bCs/>
          <w:lang w:val="fr-FR"/>
        </w:rPr>
        <w:t>’</w:t>
      </w:r>
      <w:r>
        <w:rPr>
          <w:b/>
          <w:bCs/>
          <w:lang w:val="fr-FR"/>
        </w:rPr>
        <w:t>exercice</w:t>
      </w:r>
      <w:r w:rsidRPr="006956F0">
        <w:rPr>
          <w:b/>
          <w:bCs/>
          <w:lang w:val="fr-FR"/>
        </w:rPr>
        <w:t xml:space="preserve"> d</w:t>
      </w:r>
      <w:r w:rsidR="004252BC">
        <w:rPr>
          <w:b/>
          <w:bCs/>
          <w:lang w:val="fr-FR"/>
        </w:rPr>
        <w:t>’</w:t>
      </w:r>
      <w:r w:rsidRPr="006956F0">
        <w:rPr>
          <w:b/>
          <w:bCs/>
          <w:lang w:val="fr-FR"/>
        </w:rPr>
        <w:t>autres droits fondamentaux, tels que le droit à la vie et le droit à la santé physique et mentale des femmes</w:t>
      </w:r>
      <w:r>
        <w:rPr>
          <w:b/>
          <w:bCs/>
          <w:lang w:val="fr-FR"/>
        </w:rPr>
        <w:t> ;</w:t>
      </w:r>
    </w:p>
    <w:p w14:paraId="132A8D2B" w14:textId="77777777" w:rsidR="00384AB0" w:rsidRPr="006956F0" w:rsidRDefault="00384AB0" w:rsidP="00384AB0">
      <w:pPr>
        <w:pStyle w:val="SingleTxtG"/>
        <w:ind w:firstLine="567"/>
        <w:rPr>
          <w:b/>
          <w:lang w:val="fr-FR"/>
        </w:rPr>
      </w:pPr>
      <w:r w:rsidRPr="006956F0">
        <w:rPr>
          <w:b/>
          <w:lang w:val="fr-FR"/>
        </w:rPr>
        <w:t>d)</w:t>
      </w:r>
      <w:r w:rsidRPr="006956F0">
        <w:rPr>
          <w:b/>
          <w:lang w:val="fr-FR"/>
        </w:rPr>
        <w:tab/>
      </w:r>
      <w:r w:rsidRPr="006956F0">
        <w:rPr>
          <w:b/>
          <w:bCs/>
          <w:lang w:val="fr-FR"/>
        </w:rPr>
        <w:t>D</w:t>
      </w:r>
      <w:r w:rsidR="004252BC">
        <w:rPr>
          <w:b/>
          <w:bCs/>
          <w:lang w:val="fr-FR"/>
        </w:rPr>
        <w:t>’</w:t>
      </w:r>
      <w:r w:rsidRPr="006956F0">
        <w:rPr>
          <w:b/>
          <w:bCs/>
          <w:lang w:val="fr-FR"/>
        </w:rPr>
        <w:t>adopter des mesures pour prévenir la violence fondée sur le genre contre les femmes autochtones et les femmes d</w:t>
      </w:r>
      <w:r w:rsidR="004252BC">
        <w:rPr>
          <w:b/>
          <w:bCs/>
          <w:lang w:val="fr-FR"/>
        </w:rPr>
        <w:t>’</w:t>
      </w:r>
      <w:r w:rsidRPr="006956F0">
        <w:rPr>
          <w:b/>
          <w:bCs/>
          <w:lang w:val="fr-FR"/>
        </w:rPr>
        <w:t>ascendance africaine</w:t>
      </w:r>
      <w:r>
        <w:rPr>
          <w:b/>
          <w:bCs/>
          <w:lang w:val="fr-FR"/>
        </w:rPr>
        <w:t xml:space="preserve"> et protéger les victimes,</w:t>
      </w:r>
      <w:r w:rsidRPr="006956F0">
        <w:rPr>
          <w:b/>
          <w:bCs/>
          <w:lang w:val="fr-FR"/>
        </w:rPr>
        <w:t xml:space="preserve"> et de mener des enquêtes approfondies sur tous les cas de violence fondée sur le genre.</w:t>
      </w:r>
    </w:p>
    <w:p w14:paraId="62765DA5" w14:textId="77777777" w:rsidR="00384AB0" w:rsidRPr="006956F0" w:rsidRDefault="00384AB0" w:rsidP="00384AB0">
      <w:pPr>
        <w:pStyle w:val="H23G"/>
        <w:rPr>
          <w:lang w:val="fr-FR"/>
        </w:rPr>
      </w:pPr>
      <w:r w:rsidRPr="006956F0">
        <w:rPr>
          <w:lang w:val="fr-FR"/>
        </w:rPr>
        <w:tab/>
      </w:r>
      <w:r w:rsidRPr="006956F0">
        <w:rPr>
          <w:lang w:val="fr-FR"/>
        </w:rPr>
        <w:tab/>
        <w:t xml:space="preserve">Situation des </w:t>
      </w:r>
      <w:r>
        <w:rPr>
          <w:lang w:val="fr-FR"/>
        </w:rPr>
        <w:t xml:space="preserve">personnes déplacées dans le pays, des </w:t>
      </w:r>
      <w:r w:rsidRPr="006956F0">
        <w:rPr>
          <w:lang w:val="fr-FR"/>
        </w:rPr>
        <w:t>migrants</w:t>
      </w:r>
      <w:r>
        <w:rPr>
          <w:lang w:val="fr-FR"/>
        </w:rPr>
        <w:t xml:space="preserve"> et autres non-nationaux</w:t>
      </w:r>
    </w:p>
    <w:p w14:paraId="71F37787" w14:textId="77777777" w:rsidR="00384AB0" w:rsidRPr="006956F0" w:rsidRDefault="00384AB0" w:rsidP="00384AB0">
      <w:pPr>
        <w:pStyle w:val="SingleTxtG"/>
        <w:rPr>
          <w:lang w:val="fr-FR"/>
        </w:rPr>
      </w:pPr>
      <w:r w:rsidRPr="006956F0">
        <w:rPr>
          <w:lang w:val="fr-FR"/>
        </w:rPr>
        <w:t>28.</w:t>
      </w:r>
      <w:r w:rsidRPr="006956F0">
        <w:rPr>
          <w:lang w:val="fr-FR"/>
        </w:rPr>
        <w:tab/>
        <w:t>Le Comité prend note de l</w:t>
      </w:r>
      <w:r w:rsidR="004252BC">
        <w:rPr>
          <w:lang w:val="fr-FR"/>
        </w:rPr>
        <w:t>’</w:t>
      </w:r>
      <w:r w:rsidRPr="006956F0">
        <w:rPr>
          <w:lang w:val="fr-FR"/>
        </w:rPr>
        <w:t xml:space="preserve">adoption de la loi spéciale sur les migrations et les étrangers en 2019, qui interdit notamment les restrictions fondées, entre autres, sur la race, et de mesures de protection des apatrides. Toutefois, </w:t>
      </w:r>
      <w:r>
        <w:rPr>
          <w:lang w:val="fr-FR"/>
        </w:rPr>
        <w:t>il</w:t>
      </w:r>
      <w:r w:rsidRPr="006956F0">
        <w:rPr>
          <w:lang w:val="fr-FR"/>
        </w:rPr>
        <w:t xml:space="preserve"> est préoccupé par la vulnérabilité </w:t>
      </w:r>
      <w:r>
        <w:rPr>
          <w:lang w:val="fr-FR"/>
        </w:rPr>
        <w:t xml:space="preserve">des personnes déplacées dans le pays, </w:t>
      </w:r>
      <w:r w:rsidRPr="006956F0">
        <w:rPr>
          <w:lang w:val="fr-FR"/>
        </w:rPr>
        <w:t xml:space="preserve">des migrants </w:t>
      </w:r>
      <w:r>
        <w:rPr>
          <w:lang w:val="fr-FR"/>
        </w:rPr>
        <w:t xml:space="preserve">et autres non-nationaux </w:t>
      </w:r>
      <w:r w:rsidRPr="006956F0">
        <w:rPr>
          <w:lang w:val="fr-FR"/>
        </w:rPr>
        <w:t>face à la discrimination raciale et par le manque d</w:t>
      </w:r>
      <w:r w:rsidR="004252BC">
        <w:rPr>
          <w:lang w:val="fr-FR"/>
        </w:rPr>
        <w:t>’</w:t>
      </w:r>
      <w:r w:rsidRPr="006956F0">
        <w:rPr>
          <w:lang w:val="fr-FR"/>
        </w:rPr>
        <w:t>informations à ce sujet (art.</w:t>
      </w:r>
      <w:r>
        <w:rPr>
          <w:lang w:val="fr-FR"/>
        </w:rPr>
        <w:t> </w:t>
      </w:r>
      <w:r w:rsidRPr="006956F0">
        <w:rPr>
          <w:lang w:val="fr-FR"/>
        </w:rPr>
        <w:t>2 et 5).</w:t>
      </w:r>
    </w:p>
    <w:p w14:paraId="243D6829" w14:textId="77777777" w:rsidR="00384AB0" w:rsidRPr="00A82D9B" w:rsidRDefault="00384AB0" w:rsidP="00384AB0">
      <w:pPr>
        <w:pStyle w:val="SingleTxtG"/>
        <w:keepNext/>
        <w:rPr>
          <w:b/>
          <w:lang w:val="fr-FR"/>
        </w:rPr>
      </w:pPr>
      <w:r w:rsidRPr="00A82D9B">
        <w:rPr>
          <w:lang w:val="fr-FR"/>
        </w:rPr>
        <w:t>29.</w:t>
      </w:r>
      <w:r w:rsidRPr="00A82D9B">
        <w:rPr>
          <w:lang w:val="fr-FR"/>
        </w:rPr>
        <w:tab/>
      </w:r>
      <w:r w:rsidRPr="00A82D9B">
        <w:rPr>
          <w:b/>
          <w:lang w:val="fr-FR"/>
        </w:rPr>
        <w:t xml:space="preserve">Le Comité </w:t>
      </w:r>
      <w:r>
        <w:rPr>
          <w:b/>
          <w:lang w:val="fr-FR"/>
        </w:rPr>
        <w:t>prie instamment</w:t>
      </w:r>
      <w:r w:rsidRPr="00A82D9B">
        <w:rPr>
          <w:b/>
          <w:lang w:val="fr-FR"/>
        </w:rPr>
        <w:t xml:space="preserve"> l</w:t>
      </w:r>
      <w:r w:rsidR="004252BC">
        <w:rPr>
          <w:b/>
          <w:lang w:val="fr-FR"/>
        </w:rPr>
        <w:t>’</w:t>
      </w:r>
      <w:r w:rsidRPr="00A82D9B">
        <w:rPr>
          <w:b/>
          <w:lang w:val="fr-FR"/>
        </w:rPr>
        <w:t>État partie</w:t>
      </w:r>
      <w:r>
        <w:rPr>
          <w:b/>
          <w:lang w:val="fr-FR"/>
        </w:rPr>
        <w:t> :</w:t>
      </w:r>
    </w:p>
    <w:p w14:paraId="62D1B8F2" w14:textId="77777777" w:rsidR="00384AB0" w:rsidRPr="006956F0" w:rsidRDefault="00384AB0" w:rsidP="00384AB0">
      <w:pPr>
        <w:pStyle w:val="SingleTxtG"/>
        <w:ind w:firstLine="567"/>
        <w:rPr>
          <w:b/>
          <w:lang w:val="fr-FR"/>
        </w:rPr>
      </w:pPr>
      <w:r w:rsidRPr="006956F0">
        <w:rPr>
          <w:b/>
          <w:lang w:val="fr-FR"/>
        </w:rPr>
        <w:t>a)</w:t>
      </w:r>
      <w:r w:rsidRPr="006956F0">
        <w:rPr>
          <w:b/>
          <w:lang w:val="fr-FR"/>
        </w:rPr>
        <w:tab/>
      </w:r>
      <w:r>
        <w:rPr>
          <w:b/>
          <w:bCs/>
          <w:lang w:val="fr-FR"/>
        </w:rPr>
        <w:t>D</w:t>
      </w:r>
      <w:r w:rsidR="004252BC">
        <w:rPr>
          <w:b/>
          <w:bCs/>
          <w:lang w:val="fr-FR"/>
        </w:rPr>
        <w:t>’</w:t>
      </w:r>
      <w:r>
        <w:rPr>
          <w:b/>
          <w:bCs/>
          <w:lang w:val="fr-FR"/>
        </w:rPr>
        <w:t>a</w:t>
      </w:r>
      <w:r w:rsidRPr="006956F0">
        <w:rPr>
          <w:b/>
          <w:bCs/>
          <w:lang w:val="fr-FR"/>
        </w:rPr>
        <w:t>ssurer, en droit et en pratique, la protection des migrants, des réfugiés, des demandeurs d</w:t>
      </w:r>
      <w:r w:rsidR="004252BC">
        <w:rPr>
          <w:b/>
          <w:bCs/>
          <w:lang w:val="fr-FR"/>
        </w:rPr>
        <w:t>’</w:t>
      </w:r>
      <w:r w:rsidRPr="006956F0">
        <w:rPr>
          <w:b/>
          <w:bCs/>
          <w:lang w:val="fr-FR"/>
        </w:rPr>
        <w:t>asile, des apatrides</w:t>
      </w:r>
      <w:r>
        <w:rPr>
          <w:b/>
          <w:bCs/>
          <w:lang w:val="fr-FR"/>
        </w:rPr>
        <w:t xml:space="preserve"> et autres non-nationaux,</w:t>
      </w:r>
      <w:r w:rsidRPr="006956F0">
        <w:rPr>
          <w:b/>
          <w:bCs/>
          <w:lang w:val="fr-FR"/>
        </w:rPr>
        <w:t xml:space="preserve"> </w:t>
      </w:r>
      <w:r>
        <w:rPr>
          <w:b/>
          <w:bCs/>
          <w:lang w:val="fr-FR"/>
        </w:rPr>
        <w:t xml:space="preserve">ainsi que </w:t>
      </w:r>
      <w:r w:rsidRPr="006956F0">
        <w:rPr>
          <w:b/>
          <w:bCs/>
          <w:lang w:val="fr-FR"/>
        </w:rPr>
        <w:t xml:space="preserve">des personnes déplacées </w:t>
      </w:r>
      <w:r>
        <w:rPr>
          <w:b/>
          <w:bCs/>
          <w:lang w:val="fr-FR"/>
        </w:rPr>
        <w:t xml:space="preserve">dans le pays </w:t>
      </w:r>
      <w:r w:rsidRPr="006956F0">
        <w:rPr>
          <w:b/>
          <w:bCs/>
          <w:lang w:val="fr-FR"/>
        </w:rPr>
        <w:t>conformément à la Convention</w:t>
      </w:r>
      <w:r>
        <w:rPr>
          <w:b/>
          <w:bCs/>
          <w:lang w:val="fr-FR"/>
        </w:rPr>
        <w:t> ;</w:t>
      </w:r>
    </w:p>
    <w:p w14:paraId="22B103C4" w14:textId="77777777" w:rsidR="00384AB0" w:rsidRPr="006956F0" w:rsidRDefault="00384AB0" w:rsidP="00384AB0">
      <w:pPr>
        <w:pStyle w:val="SingleTxtG"/>
        <w:ind w:firstLine="567"/>
        <w:rPr>
          <w:b/>
          <w:lang w:val="fr-FR"/>
        </w:rPr>
      </w:pPr>
      <w:r w:rsidRPr="006956F0">
        <w:rPr>
          <w:b/>
          <w:lang w:val="fr-FR"/>
        </w:rPr>
        <w:t>b)</w:t>
      </w:r>
      <w:r w:rsidRPr="006956F0">
        <w:rPr>
          <w:b/>
          <w:lang w:val="fr-FR"/>
        </w:rPr>
        <w:tab/>
      </w:r>
      <w:r>
        <w:rPr>
          <w:b/>
          <w:bCs/>
          <w:lang w:val="fr-FR"/>
        </w:rPr>
        <w:t>De r</w:t>
      </w:r>
      <w:r w:rsidRPr="006956F0">
        <w:rPr>
          <w:b/>
          <w:bCs/>
          <w:lang w:val="fr-FR"/>
        </w:rPr>
        <w:t xml:space="preserve">ecueillir des données ventilées sur la situation </w:t>
      </w:r>
      <w:proofErr w:type="spellStart"/>
      <w:r w:rsidRPr="006956F0">
        <w:rPr>
          <w:b/>
          <w:bCs/>
          <w:lang w:val="fr-FR"/>
        </w:rPr>
        <w:t>socioéconomique</w:t>
      </w:r>
      <w:proofErr w:type="spellEnd"/>
      <w:r w:rsidRPr="006956F0">
        <w:rPr>
          <w:b/>
          <w:bCs/>
          <w:lang w:val="fr-FR"/>
        </w:rPr>
        <w:t xml:space="preserve"> de ce</w:t>
      </w:r>
      <w:r>
        <w:rPr>
          <w:b/>
          <w:bCs/>
          <w:lang w:val="fr-FR"/>
        </w:rPr>
        <w:t>s</w:t>
      </w:r>
      <w:r w:rsidRPr="006956F0">
        <w:rPr>
          <w:b/>
          <w:bCs/>
          <w:lang w:val="fr-FR"/>
        </w:rPr>
        <w:t xml:space="preserve"> population</w:t>
      </w:r>
      <w:r>
        <w:rPr>
          <w:b/>
          <w:bCs/>
          <w:lang w:val="fr-FR"/>
        </w:rPr>
        <w:t>s</w:t>
      </w:r>
      <w:r w:rsidRPr="006956F0">
        <w:rPr>
          <w:b/>
          <w:bCs/>
          <w:lang w:val="fr-FR"/>
        </w:rPr>
        <w:t xml:space="preserve"> et </w:t>
      </w:r>
      <w:r>
        <w:rPr>
          <w:b/>
          <w:bCs/>
          <w:lang w:val="fr-FR"/>
        </w:rPr>
        <w:t>d</w:t>
      </w:r>
      <w:r w:rsidR="004252BC">
        <w:rPr>
          <w:b/>
          <w:bCs/>
          <w:lang w:val="fr-FR"/>
        </w:rPr>
        <w:t>’</w:t>
      </w:r>
      <w:r w:rsidRPr="006956F0">
        <w:rPr>
          <w:b/>
          <w:bCs/>
          <w:lang w:val="fr-FR"/>
        </w:rPr>
        <w:t>adopter des mesures de protection spéciales pour prévenir les manifestations de discrimination raciale.</w:t>
      </w:r>
      <w:r w:rsidRPr="006956F0">
        <w:rPr>
          <w:lang w:val="fr-FR"/>
        </w:rPr>
        <w:t xml:space="preserve"> </w:t>
      </w:r>
    </w:p>
    <w:p w14:paraId="7BEA4699" w14:textId="77777777" w:rsidR="00384AB0" w:rsidRPr="006956F0" w:rsidRDefault="00384AB0" w:rsidP="00384AB0">
      <w:pPr>
        <w:pStyle w:val="H23G"/>
        <w:rPr>
          <w:lang w:val="fr-FR"/>
        </w:rPr>
      </w:pPr>
      <w:r w:rsidRPr="006956F0">
        <w:rPr>
          <w:lang w:val="fr-FR"/>
        </w:rPr>
        <w:tab/>
      </w:r>
      <w:r w:rsidRPr="006956F0">
        <w:rPr>
          <w:lang w:val="fr-FR"/>
        </w:rPr>
        <w:tab/>
        <w:t xml:space="preserve">Plaintes auprès du système judiciaire </w:t>
      </w:r>
    </w:p>
    <w:p w14:paraId="65A357F6" w14:textId="77777777" w:rsidR="00384AB0" w:rsidRPr="006956F0" w:rsidRDefault="00384AB0" w:rsidP="00384AB0">
      <w:pPr>
        <w:pStyle w:val="SingleTxtG"/>
        <w:rPr>
          <w:lang w:val="fr-FR"/>
        </w:rPr>
      </w:pPr>
      <w:r w:rsidRPr="006956F0">
        <w:rPr>
          <w:lang w:val="fr-FR"/>
        </w:rPr>
        <w:t>30.</w:t>
      </w:r>
      <w:r w:rsidRPr="006956F0">
        <w:rPr>
          <w:lang w:val="fr-FR"/>
        </w:rPr>
        <w:tab/>
        <w:t>Le Comité note que la Cour suprême de justice n</w:t>
      </w:r>
      <w:r w:rsidR="004252BC">
        <w:rPr>
          <w:lang w:val="fr-FR"/>
        </w:rPr>
        <w:t>’</w:t>
      </w:r>
      <w:r w:rsidRPr="006956F0">
        <w:rPr>
          <w:lang w:val="fr-FR"/>
        </w:rPr>
        <w:t xml:space="preserve">a pas enregistré de cas de discrimination raciale. </w:t>
      </w:r>
      <w:r>
        <w:rPr>
          <w:lang w:val="fr-FR"/>
        </w:rPr>
        <w:t xml:space="preserve">À </w:t>
      </w:r>
      <w:r w:rsidRPr="006956F0">
        <w:rPr>
          <w:lang w:val="fr-FR"/>
        </w:rPr>
        <w:t>cet égard, le Comité se déclare à nouveau préoccupé par les informations communiquées par l</w:t>
      </w:r>
      <w:r w:rsidR="004252BC">
        <w:rPr>
          <w:lang w:val="fr-FR"/>
        </w:rPr>
        <w:t>’</w:t>
      </w:r>
      <w:r w:rsidRPr="006956F0">
        <w:rPr>
          <w:lang w:val="fr-FR"/>
        </w:rPr>
        <w:t>État partie selon lesquelles aucune plainte pour discrimination raciale n</w:t>
      </w:r>
      <w:r w:rsidR="004252BC">
        <w:rPr>
          <w:lang w:val="fr-FR"/>
        </w:rPr>
        <w:t>’</w:t>
      </w:r>
      <w:r w:rsidRPr="006956F0">
        <w:rPr>
          <w:lang w:val="fr-FR"/>
        </w:rPr>
        <w:t>a été déposée devant les cours et tribunaux nationaux (art.</w:t>
      </w:r>
      <w:r>
        <w:rPr>
          <w:lang w:val="fr-FR"/>
        </w:rPr>
        <w:t> </w:t>
      </w:r>
      <w:r w:rsidRPr="006956F0">
        <w:rPr>
          <w:lang w:val="fr-FR"/>
        </w:rPr>
        <w:t xml:space="preserve">2 et 5). </w:t>
      </w:r>
    </w:p>
    <w:p w14:paraId="46726649" w14:textId="77777777" w:rsidR="00384AB0" w:rsidRPr="00606CC1" w:rsidRDefault="00384AB0" w:rsidP="00384AB0">
      <w:pPr>
        <w:pStyle w:val="SingleTxtG"/>
        <w:rPr>
          <w:b/>
          <w:lang w:val="fr-FR"/>
        </w:rPr>
      </w:pPr>
      <w:r w:rsidRPr="00606CC1">
        <w:rPr>
          <w:lang w:val="fr-FR"/>
        </w:rPr>
        <w:t>31.</w:t>
      </w:r>
      <w:r w:rsidRPr="00606CC1">
        <w:rPr>
          <w:lang w:val="fr-FR"/>
        </w:rPr>
        <w:tab/>
      </w:r>
      <w:r w:rsidRPr="00606CC1">
        <w:rPr>
          <w:b/>
          <w:lang w:val="fr-FR"/>
        </w:rPr>
        <w:t>Le Comité recommande à nouveau à l</w:t>
      </w:r>
      <w:r w:rsidR="004252BC">
        <w:rPr>
          <w:b/>
          <w:lang w:val="fr-FR"/>
        </w:rPr>
        <w:t>’</w:t>
      </w:r>
      <w:r w:rsidRPr="00606CC1">
        <w:rPr>
          <w:b/>
          <w:lang w:val="fr-FR"/>
        </w:rPr>
        <w:t>État partie de mener des campagnes d</w:t>
      </w:r>
      <w:r w:rsidR="004252BC">
        <w:rPr>
          <w:b/>
          <w:lang w:val="fr-FR"/>
        </w:rPr>
        <w:t>’</w:t>
      </w:r>
      <w:r w:rsidRPr="00606CC1">
        <w:rPr>
          <w:b/>
          <w:lang w:val="fr-FR"/>
        </w:rPr>
        <w:t>information, en particulier auprès des secteurs les plus vulnérables de la population, sur les droits de l</w:t>
      </w:r>
      <w:r w:rsidR="004252BC">
        <w:rPr>
          <w:b/>
          <w:lang w:val="fr-FR"/>
        </w:rPr>
        <w:t>’</w:t>
      </w:r>
      <w:r w:rsidRPr="00606CC1">
        <w:rPr>
          <w:b/>
          <w:lang w:val="fr-FR"/>
        </w:rPr>
        <w:t xml:space="preserve">homme et </w:t>
      </w:r>
      <w:r>
        <w:rPr>
          <w:b/>
          <w:lang w:val="fr-FR"/>
        </w:rPr>
        <w:t>en particulier</w:t>
      </w:r>
      <w:r w:rsidRPr="00606CC1">
        <w:rPr>
          <w:b/>
          <w:lang w:val="fr-FR"/>
        </w:rPr>
        <w:t xml:space="preserve"> sur le droit à la non-discrimination, ainsi que sur les voies de recours disponibles. Il recommande également à nouveau à l</w:t>
      </w:r>
      <w:r w:rsidR="004252BC">
        <w:rPr>
          <w:b/>
          <w:lang w:val="fr-FR"/>
        </w:rPr>
        <w:t>’</w:t>
      </w:r>
      <w:r w:rsidRPr="00606CC1">
        <w:rPr>
          <w:b/>
          <w:lang w:val="fr-FR"/>
        </w:rPr>
        <w:t xml:space="preserve">État partie de tenir compte de sa recommandation générale </w:t>
      </w:r>
      <w:r w:rsidRPr="00F94868">
        <w:rPr>
          <w:rFonts w:eastAsia="MS Mincho"/>
          <w:b/>
          <w:lang w:val="fr-FR"/>
        </w:rPr>
        <w:t>n</w:t>
      </w:r>
      <w:r w:rsidRPr="00F94868">
        <w:rPr>
          <w:rFonts w:eastAsia="MS Mincho"/>
          <w:b/>
          <w:vertAlign w:val="superscript"/>
          <w:lang w:val="fr-FR"/>
        </w:rPr>
        <w:t>o</w:t>
      </w:r>
      <w:r>
        <w:rPr>
          <w:b/>
          <w:lang w:val="fr-FR"/>
        </w:rPr>
        <w:t> </w:t>
      </w:r>
      <w:r w:rsidRPr="00606CC1">
        <w:rPr>
          <w:b/>
          <w:lang w:val="fr-FR"/>
        </w:rPr>
        <w:t>31 (2005) sur la prévention de la discrimination raciale dans l</w:t>
      </w:r>
      <w:r w:rsidR="004252BC">
        <w:rPr>
          <w:b/>
          <w:lang w:val="fr-FR"/>
        </w:rPr>
        <w:t>’</w:t>
      </w:r>
      <w:r w:rsidRPr="00606CC1">
        <w:rPr>
          <w:b/>
          <w:lang w:val="fr-FR"/>
        </w:rPr>
        <w:t>administration et le fonctionnement de la justice pénale</w:t>
      </w:r>
      <w:r>
        <w:rPr>
          <w:b/>
          <w:lang w:val="fr-FR"/>
        </w:rPr>
        <w:t xml:space="preserve"> (CERD/C/SLV/CO/16-17, par. 13)</w:t>
      </w:r>
      <w:r w:rsidRPr="00606CC1">
        <w:rPr>
          <w:b/>
          <w:lang w:val="fr-FR"/>
        </w:rPr>
        <w:t>.</w:t>
      </w:r>
    </w:p>
    <w:p w14:paraId="2DCAEA45" w14:textId="77777777" w:rsidR="00384AB0" w:rsidRPr="006956F0" w:rsidRDefault="00384AB0" w:rsidP="00384AB0">
      <w:pPr>
        <w:pStyle w:val="H23G"/>
        <w:rPr>
          <w:lang w:val="fr-FR"/>
        </w:rPr>
      </w:pPr>
      <w:r w:rsidRPr="00606CC1">
        <w:rPr>
          <w:lang w:val="fr-FR"/>
        </w:rPr>
        <w:tab/>
      </w:r>
      <w:r w:rsidRPr="00606CC1">
        <w:rPr>
          <w:lang w:val="fr-FR"/>
        </w:rPr>
        <w:tab/>
        <w:t>Application des décisions relatives à la protection</w:t>
      </w:r>
      <w:r w:rsidRPr="006956F0">
        <w:rPr>
          <w:lang w:val="fr-FR"/>
        </w:rPr>
        <w:t xml:space="preserve"> des droits de l</w:t>
      </w:r>
      <w:r w:rsidR="004252BC">
        <w:rPr>
          <w:lang w:val="fr-FR"/>
        </w:rPr>
        <w:t>’</w:t>
      </w:r>
      <w:r w:rsidRPr="006956F0">
        <w:rPr>
          <w:lang w:val="fr-FR"/>
        </w:rPr>
        <w:t>homme</w:t>
      </w:r>
    </w:p>
    <w:p w14:paraId="5C8A142F" w14:textId="77777777" w:rsidR="00384AB0" w:rsidRPr="006956F0" w:rsidRDefault="00384AB0" w:rsidP="00384AB0">
      <w:pPr>
        <w:pStyle w:val="SingleTxtG"/>
        <w:rPr>
          <w:lang w:val="fr-FR"/>
        </w:rPr>
      </w:pPr>
      <w:r w:rsidRPr="006956F0">
        <w:rPr>
          <w:lang w:val="fr-FR"/>
        </w:rPr>
        <w:t>32.</w:t>
      </w:r>
      <w:r w:rsidRPr="006956F0">
        <w:rPr>
          <w:lang w:val="fr-FR"/>
        </w:rPr>
        <w:tab/>
        <w:t xml:space="preserve">Le Comité prend note de la décision prise par la Cour suprême </w:t>
      </w:r>
      <w:r>
        <w:rPr>
          <w:lang w:val="fr-FR"/>
        </w:rPr>
        <w:t xml:space="preserve">de justice </w:t>
      </w:r>
      <w:r w:rsidRPr="006956F0">
        <w:rPr>
          <w:lang w:val="fr-FR"/>
        </w:rPr>
        <w:t>en 2016, qui a reconnu l</w:t>
      </w:r>
      <w:r w:rsidR="004252BC">
        <w:rPr>
          <w:lang w:val="fr-FR"/>
        </w:rPr>
        <w:t>’</w:t>
      </w:r>
      <w:r w:rsidRPr="006956F0">
        <w:rPr>
          <w:lang w:val="fr-FR"/>
        </w:rPr>
        <w:t>inconstitutionnalité de la loi d</w:t>
      </w:r>
      <w:r w:rsidR="004252BC">
        <w:rPr>
          <w:lang w:val="fr-FR"/>
        </w:rPr>
        <w:t>’</w:t>
      </w:r>
      <w:r w:rsidRPr="006956F0">
        <w:rPr>
          <w:lang w:val="fr-FR"/>
        </w:rPr>
        <w:t xml:space="preserve">amnistie et a ordonné </w:t>
      </w:r>
      <w:r>
        <w:rPr>
          <w:lang w:val="fr-FR"/>
        </w:rPr>
        <w:t>l</w:t>
      </w:r>
      <w:r w:rsidR="004252BC">
        <w:rPr>
          <w:lang w:val="fr-FR"/>
        </w:rPr>
        <w:t>’</w:t>
      </w:r>
      <w:r>
        <w:rPr>
          <w:lang w:val="fr-FR"/>
        </w:rPr>
        <w:t>ouverture d</w:t>
      </w:r>
      <w:r w:rsidR="004252BC">
        <w:rPr>
          <w:lang w:val="fr-FR"/>
        </w:rPr>
        <w:t>’</w:t>
      </w:r>
      <w:r>
        <w:rPr>
          <w:lang w:val="fr-FR"/>
        </w:rPr>
        <w:t xml:space="preserve">enquêtes </w:t>
      </w:r>
      <w:r w:rsidRPr="006956F0">
        <w:rPr>
          <w:lang w:val="fr-FR"/>
        </w:rPr>
        <w:t>sur les graves violations des droits de l</w:t>
      </w:r>
      <w:r w:rsidR="004252BC">
        <w:rPr>
          <w:lang w:val="fr-FR"/>
        </w:rPr>
        <w:t>’</w:t>
      </w:r>
      <w:r w:rsidRPr="006956F0">
        <w:rPr>
          <w:lang w:val="fr-FR"/>
        </w:rPr>
        <w:t xml:space="preserve">homme commises </w:t>
      </w:r>
      <w:r>
        <w:rPr>
          <w:lang w:val="fr-FR"/>
        </w:rPr>
        <w:t>durant</w:t>
      </w:r>
      <w:r w:rsidRPr="006956F0">
        <w:rPr>
          <w:lang w:val="fr-FR"/>
        </w:rPr>
        <w:t xml:space="preserve"> le conflit qui a frappé le pays par le passé. Le Comité prend note de la création, au sein du Bureau du Procureur général de la République, d</w:t>
      </w:r>
      <w:r w:rsidR="004252BC">
        <w:rPr>
          <w:lang w:val="fr-FR"/>
        </w:rPr>
        <w:t>’</w:t>
      </w:r>
      <w:r w:rsidRPr="006956F0">
        <w:rPr>
          <w:lang w:val="fr-FR"/>
        </w:rPr>
        <w:t>une unité spéciale chargée d</w:t>
      </w:r>
      <w:r w:rsidR="004252BC">
        <w:rPr>
          <w:lang w:val="fr-FR"/>
        </w:rPr>
        <w:t>’</w:t>
      </w:r>
      <w:r w:rsidRPr="006956F0">
        <w:rPr>
          <w:lang w:val="fr-FR"/>
        </w:rPr>
        <w:t>enquêter sur les violations commises pendant le conflit armé interne. Le Comité est préoccupé par l</w:t>
      </w:r>
      <w:r w:rsidR="004252BC">
        <w:rPr>
          <w:lang w:val="fr-FR"/>
        </w:rPr>
        <w:t>’</w:t>
      </w:r>
      <w:r w:rsidRPr="006956F0">
        <w:rPr>
          <w:lang w:val="fr-FR"/>
        </w:rPr>
        <w:t>absence d</w:t>
      </w:r>
      <w:r w:rsidR="004252BC">
        <w:rPr>
          <w:lang w:val="fr-FR"/>
        </w:rPr>
        <w:t>’</w:t>
      </w:r>
      <w:r w:rsidRPr="006956F0">
        <w:rPr>
          <w:lang w:val="fr-FR"/>
        </w:rPr>
        <w:t>informations détaillées sur la réparation effectivement octroyée aux victimes, en partic</w:t>
      </w:r>
      <w:r>
        <w:rPr>
          <w:lang w:val="fr-FR"/>
        </w:rPr>
        <w:t xml:space="preserve">ulier les victimes autochtones </w:t>
      </w:r>
      <w:r w:rsidRPr="006956F0">
        <w:rPr>
          <w:lang w:val="fr-FR"/>
        </w:rPr>
        <w:t xml:space="preserve">et </w:t>
      </w:r>
      <w:r>
        <w:rPr>
          <w:lang w:val="fr-FR"/>
        </w:rPr>
        <w:t>les victimes d</w:t>
      </w:r>
      <w:r w:rsidRPr="006956F0">
        <w:rPr>
          <w:lang w:val="fr-FR"/>
        </w:rPr>
        <w:t xml:space="preserve">es massacres de Las </w:t>
      </w:r>
      <w:proofErr w:type="spellStart"/>
      <w:r w:rsidRPr="006956F0">
        <w:rPr>
          <w:lang w:val="fr-FR"/>
        </w:rPr>
        <w:t>Hojas</w:t>
      </w:r>
      <w:proofErr w:type="spellEnd"/>
      <w:r w:rsidRPr="006956F0">
        <w:rPr>
          <w:lang w:val="fr-FR"/>
        </w:rPr>
        <w:t xml:space="preserve"> et d</w:t>
      </w:r>
      <w:r w:rsidR="004252BC">
        <w:rPr>
          <w:lang w:val="fr-FR"/>
        </w:rPr>
        <w:t>’</w:t>
      </w:r>
      <w:r>
        <w:rPr>
          <w:lang w:val="fr-FR"/>
        </w:rPr>
        <w:t>El</w:t>
      </w:r>
      <w:r w:rsidR="003763C5">
        <w:rPr>
          <w:lang w:val="fr-FR"/>
        </w:rPr>
        <w:t> </w:t>
      </w:r>
      <w:proofErr w:type="spellStart"/>
      <w:r w:rsidRPr="006956F0">
        <w:rPr>
          <w:lang w:val="fr-FR"/>
        </w:rPr>
        <w:t>Mozote</w:t>
      </w:r>
      <w:proofErr w:type="spellEnd"/>
      <w:r w:rsidRPr="006956F0">
        <w:rPr>
          <w:lang w:val="fr-FR"/>
        </w:rPr>
        <w:t>. (art.</w:t>
      </w:r>
      <w:r>
        <w:rPr>
          <w:lang w:val="fr-FR"/>
        </w:rPr>
        <w:t> </w:t>
      </w:r>
      <w:r w:rsidRPr="006956F0">
        <w:rPr>
          <w:lang w:val="fr-FR"/>
        </w:rPr>
        <w:t>2 et 5).</w:t>
      </w:r>
    </w:p>
    <w:p w14:paraId="383534FA" w14:textId="77777777" w:rsidR="00384AB0" w:rsidRPr="006956F0" w:rsidRDefault="00384AB0" w:rsidP="00384AB0">
      <w:pPr>
        <w:pStyle w:val="SingleTxtG"/>
        <w:rPr>
          <w:b/>
          <w:lang w:val="fr-FR"/>
        </w:rPr>
      </w:pPr>
      <w:r w:rsidRPr="006956F0">
        <w:rPr>
          <w:lang w:val="fr-FR"/>
        </w:rPr>
        <w:t>33.</w:t>
      </w:r>
      <w:r w:rsidRPr="006956F0">
        <w:rPr>
          <w:lang w:val="fr-FR"/>
        </w:rPr>
        <w:tab/>
      </w:r>
      <w:r w:rsidRPr="006956F0">
        <w:rPr>
          <w:b/>
          <w:bCs/>
          <w:lang w:val="fr-FR"/>
        </w:rPr>
        <w:t>Le Comité recommande à l</w:t>
      </w:r>
      <w:r w:rsidR="004252BC">
        <w:rPr>
          <w:b/>
          <w:bCs/>
          <w:lang w:val="fr-FR"/>
        </w:rPr>
        <w:t>’</w:t>
      </w:r>
      <w:r w:rsidRPr="006956F0">
        <w:rPr>
          <w:b/>
          <w:bCs/>
          <w:lang w:val="fr-FR"/>
        </w:rPr>
        <w:t>État partie de prendre les mesures nécessaires pour appliquer la décision de la Cour suprême</w:t>
      </w:r>
      <w:r>
        <w:rPr>
          <w:b/>
          <w:bCs/>
          <w:lang w:val="fr-FR"/>
        </w:rPr>
        <w:t xml:space="preserve"> de justice</w:t>
      </w:r>
      <w:r w:rsidRPr="006956F0">
        <w:rPr>
          <w:b/>
          <w:bCs/>
          <w:lang w:val="fr-FR"/>
        </w:rPr>
        <w:t>, en particulier en ce qui concerne l</w:t>
      </w:r>
      <w:r w:rsidR="004252BC">
        <w:rPr>
          <w:b/>
          <w:bCs/>
          <w:lang w:val="fr-FR"/>
        </w:rPr>
        <w:t>’</w:t>
      </w:r>
      <w:r w:rsidRPr="006956F0">
        <w:rPr>
          <w:b/>
          <w:bCs/>
          <w:lang w:val="fr-FR"/>
        </w:rPr>
        <w:t>adoption de mesures législatives relatives à l</w:t>
      </w:r>
      <w:r w:rsidR="004252BC">
        <w:rPr>
          <w:b/>
          <w:bCs/>
          <w:lang w:val="fr-FR"/>
        </w:rPr>
        <w:t>’</w:t>
      </w:r>
      <w:r w:rsidRPr="006956F0">
        <w:rPr>
          <w:b/>
          <w:bCs/>
          <w:lang w:val="fr-FR"/>
        </w:rPr>
        <w:t>octroi d</w:t>
      </w:r>
      <w:r w:rsidR="004252BC">
        <w:rPr>
          <w:b/>
          <w:bCs/>
          <w:lang w:val="fr-FR"/>
        </w:rPr>
        <w:t>’</w:t>
      </w:r>
      <w:r w:rsidRPr="006956F0">
        <w:rPr>
          <w:b/>
          <w:bCs/>
          <w:lang w:val="fr-FR"/>
        </w:rPr>
        <w:t xml:space="preserve">une réparation aux victimes et à la </w:t>
      </w:r>
      <w:r>
        <w:rPr>
          <w:b/>
          <w:bCs/>
          <w:lang w:val="fr-FR"/>
        </w:rPr>
        <w:t>conduite effective</w:t>
      </w:r>
      <w:r w:rsidRPr="006956F0">
        <w:rPr>
          <w:b/>
          <w:bCs/>
          <w:lang w:val="fr-FR"/>
        </w:rPr>
        <w:t xml:space="preserve"> </w:t>
      </w:r>
      <w:r>
        <w:rPr>
          <w:b/>
          <w:bCs/>
          <w:lang w:val="fr-FR"/>
        </w:rPr>
        <w:t>d</w:t>
      </w:r>
      <w:r w:rsidR="004252BC">
        <w:rPr>
          <w:b/>
          <w:bCs/>
          <w:lang w:val="fr-FR"/>
        </w:rPr>
        <w:t>’</w:t>
      </w:r>
      <w:r w:rsidRPr="006956F0">
        <w:rPr>
          <w:b/>
          <w:bCs/>
          <w:lang w:val="fr-FR"/>
        </w:rPr>
        <w:t>enquêtes</w:t>
      </w:r>
      <w:r>
        <w:rPr>
          <w:b/>
          <w:bCs/>
          <w:lang w:val="fr-FR"/>
        </w:rPr>
        <w:t xml:space="preserve">, y compris dans le cas des massacres de Las </w:t>
      </w:r>
      <w:proofErr w:type="spellStart"/>
      <w:r>
        <w:rPr>
          <w:b/>
          <w:bCs/>
          <w:lang w:val="fr-FR"/>
        </w:rPr>
        <w:t>Hojas</w:t>
      </w:r>
      <w:proofErr w:type="spellEnd"/>
      <w:r>
        <w:rPr>
          <w:b/>
          <w:bCs/>
          <w:lang w:val="fr-FR"/>
        </w:rPr>
        <w:t xml:space="preserve"> et d</w:t>
      </w:r>
      <w:r w:rsidR="004252BC">
        <w:rPr>
          <w:b/>
          <w:bCs/>
          <w:lang w:val="fr-FR"/>
        </w:rPr>
        <w:t>’</w:t>
      </w:r>
      <w:r>
        <w:rPr>
          <w:b/>
          <w:bCs/>
          <w:lang w:val="fr-FR"/>
        </w:rPr>
        <w:t xml:space="preserve">El </w:t>
      </w:r>
      <w:proofErr w:type="spellStart"/>
      <w:r>
        <w:rPr>
          <w:b/>
          <w:bCs/>
          <w:lang w:val="fr-FR"/>
        </w:rPr>
        <w:t>Mozote</w:t>
      </w:r>
      <w:proofErr w:type="spellEnd"/>
      <w:r w:rsidRPr="006956F0">
        <w:rPr>
          <w:b/>
          <w:bCs/>
          <w:lang w:val="fr-FR"/>
        </w:rPr>
        <w:t>.</w:t>
      </w:r>
      <w:r w:rsidRPr="006956F0">
        <w:rPr>
          <w:lang w:val="fr-FR"/>
        </w:rPr>
        <w:t xml:space="preserve"> </w:t>
      </w:r>
      <w:r w:rsidRPr="006956F0">
        <w:rPr>
          <w:b/>
          <w:bCs/>
          <w:lang w:val="fr-FR"/>
        </w:rPr>
        <w:t>Le Comité recommande à l</w:t>
      </w:r>
      <w:r w:rsidR="004252BC">
        <w:rPr>
          <w:b/>
          <w:bCs/>
          <w:lang w:val="fr-FR"/>
        </w:rPr>
        <w:t>’</w:t>
      </w:r>
      <w:r w:rsidRPr="006956F0">
        <w:rPr>
          <w:b/>
          <w:bCs/>
          <w:lang w:val="fr-FR"/>
        </w:rPr>
        <w:t>État partie de prendre les mesures nécessaires pour adopter la loi relative à la pleine réparation en faveur des victimes.</w:t>
      </w:r>
    </w:p>
    <w:p w14:paraId="6C3E35DB" w14:textId="77777777" w:rsidR="00384AB0" w:rsidRPr="006956F0" w:rsidRDefault="00384AB0" w:rsidP="00384AB0">
      <w:pPr>
        <w:pStyle w:val="H23G"/>
        <w:rPr>
          <w:lang w:val="fr-FR"/>
        </w:rPr>
      </w:pPr>
      <w:r w:rsidRPr="006956F0">
        <w:rPr>
          <w:lang w:val="fr-FR"/>
        </w:rPr>
        <w:tab/>
      </w:r>
      <w:r w:rsidRPr="006956F0">
        <w:rPr>
          <w:lang w:val="fr-FR"/>
        </w:rPr>
        <w:tab/>
        <w:t>Éducation interculturelle et santé</w:t>
      </w:r>
    </w:p>
    <w:p w14:paraId="29A50700" w14:textId="77777777" w:rsidR="00384AB0" w:rsidRPr="006956F0" w:rsidRDefault="00384AB0" w:rsidP="00384AB0">
      <w:pPr>
        <w:pStyle w:val="SingleTxtG"/>
        <w:rPr>
          <w:lang w:val="fr-FR"/>
        </w:rPr>
      </w:pPr>
      <w:r w:rsidRPr="006956F0">
        <w:rPr>
          <w:lang w:val="fr-FR"/>
        </w:rPr>
        <w:t>34.</w:t>
      </w:r>
      <w:r w:rsidRPr="006956F0">
        <w:rPr>
          <w:lang w:val="fr-FR"/>
        </w:rPr>
        <w:tab/>
        <w:t>Le Comité prend note de la politique nationale de santé pour les peuples autochtones et des mesures de sensibilisation et de promotion de l</w:t>
      </w:r>
      <w:r w:rsidR="004252BC">
        <w:rPr>
          <w:lang w:val="fr-FR"/>
        </w:rPr>
        <w:t>’</w:t>
      </w:r>
      <w:r w:rsidRPr="006956F0">
        <w:rPr>
          <w:lang w:val="fr-FR"/>
        </w:rPr>
        <w:t>éducation interculturelle. Il prend également note de la création d</w:t>
      </w:r>
      <w:r w:rsidR="004252BC">
        <w:rPr>
          <w:lang w:val="fr-FR"/>
        </w:rPr>
        <w:t>’</w:t>
      </w:r>
      <w:r w:rsidRPr="006956F0">
        <w:rPr>
          <w:lang w:val="fr-FR"/>
        </w:rPr>
        <w:t>une école de formation sur les droits des peuples autochtones et des personnes d</w:t>
      </w:r>
      <w:r w:rsidR="004252BC">
        <w:rPr>
          <w:lang w:val="fr-FR"/>
        </w:rPr>
        <w:t>’</w:t>
      </w:r>
      <w:r w:rsidRPr="006956F0">
        <w:rPr>
          <w:lang w:val="fr-FR"/>
        </w:rPr>
        <w:t>ascendance africaine à l</w:t>
      </w:r>
      <w:r w:rsidR="004252BC">
        <w:rPr>
          <w:lang w:val="fr-FR"/>
        </w:rPr>
        <w:t>’</w:t>
      </w:r>
      <w:r w:rsidRPr="006956F0">
        <w:rPr>
          <w:lang w:val="fr-FR"/>
        </w:rPr>
        <w:t>intention des institutions publiques. Toutefois, le Comité est préoccupé par le manque d</w:t>
      </w:r>
      <w:r w:rsidR="004252BC">
        <w:rPr>
          <w:lang w:val="fr-FR"/>
        </w:rPr>
        <w:t>’</w:t>
      </w:r>
      <w:r w:rsidRPr="006956F0">
        <w:rPr>
          <w:lang w:val="fr-FR"/>
        </w:rPr>
        <w:t>informations sur les résultats de ces mesures et par l</w:t>
      </w:r>
      <w:r w:rsidR="004252BC">
        <w:rPr>
          <w:lang w:val="fr-FR"/>
        </w:rPr>
        <w:t>’</w:t>
      </w:r>
      <w:r w:rsidRPr="006956F0">
        <w:rPr>
          <w:lang w:val="fr-FR"/>
        </w:rPr>
        <w:t>absence de politique interculturelle en matière de santé et d</w:t>
      </w:r>
      <w:r w:rsidR="004252BC">
        <w:rPr>
          <w:lang w:val="fr-FR"/>
        </w:rPr>
        <w:t>’</w:t>
      </w:r>
      <w:r w:rsidRPr="006956F0">
        <w:rPr>
          <w:lang w:val="fr-FR"/>
        </w:rPr>
        <w:t>éducation pour les personnes d</w:t>
      </w:r>
      <w:r w:rsidR="004252BC">
        <w:rPr>
          <w:lang w:val="fr-FR"/>
        </w:rPr>
        <w:t>’</w:t>
      </w:r>
      <w:r w:rsidRPr="006956F0">
        <w:rPr>
          <w:lang w:val="fr-FR"/>
        </w:rPr>
        <w:t>ascendance africaine (art.</w:t>
      </w:r>
      <w:r>
        <w:rPr>
          <w:lang w:val="fr-FR"/>
        </w:rPr>
        <w:t> </w:t>
      </w:r>
      <w:r w:rsidRPr="006956F0">
        <w:rPr>
          <w:lang w:val="fr-FR"/>
        </w:rPr>
        <w:t>2 et 7).</w:t>
      </w:r>
    </w:p>
    <w:p w14:paraId="3B0A48F7" w14:textId="77777777" w:rsidR="00384AB0" w:rsidRPr="006956F0" w:rsidRDefault="00384AB0" w:rsidP="00384AB0">
      <w:pPr>
        <w:pStyle w:val="SingleTxtG"/>
        <w:rPr>
          <w:b/>
          <w:lang w:val="fr-FR"/>
        </w:rPr>
      </w:pPr>
      <w:r w:rsidRPr="006956F0">
        <w:rPr>
          <w:lang w:val="fr-FR"/>
        </w:rPr>
        <w:t>35.</w:t>
      </w:r>
      <w:r w:rsidRPr="006956F0">
        <w:rPr>
          <w:lang w:val="fr-FR"/>
        </w:rPr>
        <w:tab/>
      </w:r>
      <w:r w:rsidRPr="006956F0">
        <w:rPr>
          <w:b/>
          <w:bCs/>
          <w:lang w:val="fr-FR"/>
        </w:rPr>
        <w:t>Le Comité encourage l</w:t>
      </w:r>
      <w:r w:rsidR="004252BC">
        <w:rPr>
          <w:b/>
          <w:bCs/>
          <w:lang w:val="fr-FR"/>
        </w:rPr>
        <w:t>’</w:t>
      </w:r>
      <w:r w:rsidRPr="006956F0">
        <w:rPr>
          <w:b/>
          <w:bCs/>
          <w:lang w:val="fr-FR"/>
        </w:rPr>
        <w:t>État partie à poursuivre ses efforts pour renforcer les systèmes de santé et d</w:t>
      </w:r>
      <w:r w:rsidR="004252BC">
        <w:rPr>
          <w:b/>
          <w:bCs/>
          <w:lang w:val="fr-FR"/>
        </w:rPr>
        <w:t>’</w:t>
      </w:r>
      <w:r w:rsidRPr="006956F0">
        <w:rPr>
          <w:b/>
          <w:bCs/>
          <w:lang w:val="fr-FR"/>
        </w:rPr>
        <w:t>éducation interculturels, en particulier par la mise en œuvre, en coordination avec les peuples autochtones, de la politique nationale de santé pour les peuples autochtones et des mesures prévues dans ces domaines dans le Plan d</w:t>
      </w:r>
      <w:r w:rsidR="004252BC">
        <w:rPr>
          <w:b/>
          <w:bCs/>
          <w:lang w:val="fr-FR"/>
        </w:rPr>
        <w:t>’</w:t>
      </w:r>
      <w:r w:rsidRPr="006956F0">
        <w:rPr>
          <w:b/>
          <w:bCs/>
          <w:lang w:val="fr-FR"/>
        </w:rPr>
        <w:t>action national pour les peuples autochtones.</w:t>
      </w:r>
      <w:r w:rsidRPr="006956F0">
        <w:rPr>
          <w:lang w:val="fr-FR"/>
        </w:rPr>
        <w:t xml:space="preserve"> </w:t>
      </w:r>
      <w:r>
        <w:rPr>
          <w:b/>
          <w:bCs/>
          <w:lang w:val="fr-FR"/>
        </w:rPr>
        <w:t>Il</w:t>
      </w:r>
      <w:r w:rsidRPr="006956F0">
        <w:rPr>
          <w:b/>
          <w:bCs/>
          <w:lang w:val="fr-FR"/>
        </w:rPr>
        <w:t xml:space="preserve"> recommande à l</w:t>
      </w:r>
      <w:r w:rsidR="004252BC">
        <w:rPr>
          <w:b/>
          <w:bCs/>
          <w:lang w:val="fr-FR"/>
        </w:rPr>
        <w:t>’</w:t>
      </w:r>
      <w:r w:rsidRPr="006956F0">
        <w:rPr>
          <w:b/>
          <w:bCs/>
          <w:lang w:val="fr-FR"/>
        </w:rPr>
        <w:t>État partie de prendre des mesures dans les domaines de la santé et de l</w:t>
      </w:r>
      <w:r w:rsidR="004252BC">
        <w:rPr>
          <w:b/>
          <w:bCs/>
          <w:lang w:val="fr-FR"/>
        </w:rPr>
        <w:t>’</w:t>
      </w:r>
      <w:r w:rsidRPr="006956F0">
        <w:rPr>
          <w:b/>
          <w:bCs/>
          <w:lang w:val="fr-FR"/>
        </w:rPr>
        <w:t>éducation qui tiennent compte de la réalité de la population d</w:t>
      </w:r>
      <w:r w:rsidR="004252BC">
        <w:rPr>
          <w:b/>
          <w:bCs/>
          <w:lang w:val="fr-FR"/>
        </w:rPr>
        <w:t>’</w:t>
      </w:r>
      <w:r w:rsidRPr="006956F0">
        <w:rPr>
          <w:b/>
          <w:bCs/>
          <w:lang w:val="fr-FR"/>
        </w:rPr>
        <w:t>ascendance africaine.</w:t>
      </w:r>
    </w:p>
    <w:p w14:paraId="149E0DE4" w14:textId="77777777" w:rsidR="00384AB0" w:rsidRPr="006956F0" w:rsidRDefault="00384AB0" w:rsidP="00384AB0">
      <w:pPr>
        <w:pStyle w:val="H1G"/>
        <w:rPr>
          <w:lang w:val="fr-FR"/>
        </w:rPr>
      </w:pPr>
      <w:r>
        <w:rPr>
          <w:lang w:val="fr-FR"/>
        </w:rPr>
        <w:tab/>
        <w:t>D</w:t>
      </w:r>
      <w:r w:rsidRPr="006956F0">
        <w:rPr>
          <w:lang w:val="fr-FR"/>
        </w:rPr>
        <w:t>.</w:t>
      </w:r>
      <w:r w:rsidRPr="006956F0">
        <w:rPr>
          <w:lang w:val="fr-FR"/>
        </w:rPr>
        <w:tab/>
        <w:t>Autres recommandations</w:t>
      </w:r>
    </w:p>
    <w:p w14:paraId="0E87955C" w14:textId="77777777" w:rsidR="00384AB0" w:rsidRPr="006956F0" w:rsidRDefault="00384AB0" w:rsidP="00384AB0">
      <w:pPr>
        <w:pStyle w:val="H23G"/>
        <w:rPr>
          <w:lang w:val="fr-FR"/>
        </w:rPr>
      </w:pPr>
      <w:r w:rsidRPr="006956F0">
        <w:rPr>
          <w:lang w:val="fr-FR"/>
        </w:rPr>
        <w:tab/>
      </w:r>
      <w:r w:rsidRPr="006956F0">
        <w:rPr>
          <w:lang w:val="fr-FR"/>
        </w:rPr>
        <w:tab/>
        <w:t>Ratification d</w:t>
      </w:r>
      <w:r w:rsidR="004252BC">
        <w:rPr>
          <w:lang w:val="fr-FR"/>
        </w:rPr>
        <w:t>’</w:t>
      </w:r>
      <w:r w:rsidRPr="006956F0">
        <w:rPr>
          <w:lang w:val="fr-FR"/>
        </w:rPr>
        <w:t xml:space="preserve">autres instruments </w:t>
      </w:r>
    </w:p>
    <w:p w14:paraId="0279A060" w14:textId="77777777" w:rsidR="00384AB0" w:rsidRPr="00300B80" w:rsidRDefault="00384AB0" w:rsidP="00384AB0">
      <w:pPr>
        <w:pStyle w:val="SingleTxtG"/>
        <w:rPr>
          <w:b/>
          <w:lang w:val="fr-FR"/>
        </w:rPr>
      </w:pPr>
      <w:r w:rsidRPr="00300B80">
        <w:rPr>
          <w:lang w:val="fr-FR"/>
        </w:rPr>
        <w:t>36.</w:t>
      </w:r>
      <w:r w:rsidRPr="00300B80">
        <w:rPr>
          <w:lang w:val="fr-FR"/>
        </w:rPr>
        <w:tab/>
      </w:r>
      <w:r w:rsidRPr="00300B80">
        <w:rPr>
          <w:b/>
          <w:lang w:val="fr-FR"/>
        </w:rPr>
        <w:t>Compte tenu du caractère indivisible de tous les droits de l</w:t>
      </w:r>
      <w:r w:rsidR="004252BC">
        <w:rPr>
          <w:b/>
          <w:lang w:val="fr-FR"/>
        </w:rPr>
        <w:t>’</w:t>
      </w:r>
      <w:r w:rsidRPr="00300B80">
        <w:rPr>
          <w:b/>
          <w:lang w:val="fr-FR"/>
        </w:rPr>
        <w:t>homme, le Comité encourage l</w:t>
      </w:r>
      <w:r w:rsidR="004252BC">
        <w:rPr>
          <w:b/>
          <w:lang w:val="fr-FR"/>
        </w:rPr>
        <w:t>’</w:t>
      </w:r>
      <w:r w:rsidRPr="00300B80">
        <w:rPr>
          <w:b/>
          <w:lang w:val="fr-FR"/>
        </w:rPr>
        <w:t>État partie à envisager de ratifier les instruments internationaux relatifs aux droits de l</w:t>
      </w:r>
      <w:r w:rsidR="004252BC">
        <w:rPr>
          <w:b/>
          <w:lang w:val="fr-FR"/>
        </w:rPr>
        <w:t>’</w:t>
      </w:r>
      <w:r w:rsidRPr="00300B80">
        <w:rPr>
          <w:b/>
          <w:lang w:val="fr-FR"/>
        </w:rPr>
        <w:t>homme auxquels il n</w:t>
      </w:r>
      <w:r w:rsidR="004252BC">
        <w:rPr>
          <w:b/>
          <w:lang w:val="fr-FR"/>
        </w:rPr>
        <w:t>’</w:t>
      </w:r>
      <w:r w:rsidRPr="00300B80">
        <w:rPr>
          <w:b/>
          <w:lang w:val="fr-FR"/>
        </w:rPr>
        <w:t>est pas encore partie, en particulier ceux dont les dispositions intéressent directement les communautés qui peuvent faire l</w:t>
      </w:r>
      <w:r w:rsidR="004252BC">
        <w:rPr>
          <w:b/>
          <w:lang w:val="fr-FR"/>
        </w:rPr>
        <w:t>’</w:t>
      </w:r>
      <w:r w:rsidRPr="00300B80">
        <w:rPr>
          <w:b/>
          <w:lang w:val="fr-FR"/>
        </w:rPr>
        <w:t xml:space="preserve">objet de discrimination raciale, comme la Convention internationale pour la protection de toutes les personnes contre les disparitions forcées et le Protocole facultatif se rapportant à la Convention contre la torture et autres peines ou traitements cruels, inhumains ou dégradants. </w:t>
      </w:r>
      <w:r>
        <w:rPr>
          <w:b/>
          <w:lang w:val="fr-FR"/>
        </w:rPr>
        <w:t>Le Comité encourage l</w:t>
      </w:r>
      <w:r w:rsidR="004252BC">
        <w:rPr>
          <w:b/>
          <w:lang w:val="fr-FR"/>
        </w:rPr>
        <w:t>’</w:t>
      </w:r>
      <w:r>
        <w:rPr>
          <w:b/>
          <w:lang w:val="fr-FR"/>
        </w:rPr>
        <w:t>État partie à adhérer à la Convention sur la réduction des cas d</w:t>
      </w:r>
      <w:r w:rsidR="004252BC">
        <w:rPr>
          <w:b/>
          <w:lang w:val="fr-FR"/>
        </w:rPr>
        <w:t>’</w:t>
      </w:r>
      <w:r>
        <w:rPr>
          <w:b/>
          <w:lang w:val="fr-FR"/>
        </w:rPr>
        <w:t xml:space="preserve">apatridie de 1961. </w:t>
      </w:r>
      <w:r w:rsidRPr="00300B80">
        <w:rPr>
          <w:b/>
          <w:lang w:val="fr-FR"/>
        </w:rPr>
        <w:t>Enfin, le Comité recommande à l</w:t>
      </w:r>
      <w:r w:rsidR="004252BC">
        <w:rPr>
          <w:b/>
          <w:lang w:val="fr-FR"/>
        </w:rPr>
        <w:t>’</w:t>
      </w:r>
      <w:r w:rsidRPr="00300B80">
        <w:rPr>
          <w:b/>
          <w:lang w:val="fr-FR"/>
        </w:rPr>
        <w:t>État partie d</w:t>
      </w:r>
      <w:r w:rsidR="004252BC">
        <w:rPr>
          <w:b/>
          <w:lang w:val="fr-FR"/>
        </w:rPr>
        <w:t>’</w:t>
      </w:r>
      <w:r w:rsidRPr="00300B80">
        <w:rPr>
          <w:b/>
          <w:lang w:val="fr-FR"/>
        </w:rPr>
        <w:t>envisager de ratifier la Convention interaméricaine contre le racisme, la discrimination raciale et les formes connexes d</w:t>
      </w:r>
      <w:r w:rsidR="004252BC">
        <w:rPr>
          <w:b/>
          <w:lang w:val="fr-FR"/>
        </w:rPr>
        <w:t>’</w:t>
      </w:r>
      <w:r w:rsidRPr="00300B80">
        <w:rPr>
          <w:b/>
          <w:lang w:val="fr-FR"/>
        </w:rPr>
        <w:t>intolérance.</w:t>
      </w:r>
    </w:p>
    <w:p w14:paraId="0F0A2DF6" w14:textId="77777777" w:rsidR="00384AB0" w:rsidRPr="00300B80" w:rsidRDefault="00384AB0" w:rsidP="00384AB0">
      <w:pPr>
        <w:pStyle w:val="H23G"/>
        <w:rPr>
          <w:lang w:val="fr-FR"/>
        </w:rPr>
      </w:pPr>
      <w:r w:rsidRPr="00300B80">
        <w:rPr>
          <w:lang w:val="fr-FR"/>
        </w:rPr>
        <w:tab/>
      </w:r>
      <w:r w:rsidRPr="00300B80">
        <w:rPr>
          <w:lang w:val="fr-FR"/>
        </w:rPr>
        <w:tab/>
        <w:t>Amendement à l</w:t>
      </w:r>
      <w:r w:rsidR="004252BC">
        <w:rPr>
          <w:lang w:val="fr-FR"/>
        </w:rPr>
        <w:t>’</w:t>
      </w:r>
      <w:r w:rsidRPr="00300B80">
        <w:rPr>
          <w:lang w:val="fr-FR"/>
        </w:rPr>
        <w:t>article 8 de la Convention</w:t>
      </w:r>
    </w:p>
    <w:p w14:paraId="1491FADB" w14:textId="77777777" w:rsidR="00384AB0" w:rsidRPr="00300B80" w:rsidRDefault="00384AB0" w:rsidP="00384AB0">
      <w:pPr>
        <w:pStyle w:val="SingleTxtG"/>
        <w:rPr>
          <w:b/>
          <w:lang w:val="fr-FR"/>
        </w:rPr>
      </w:pPr>
      <w:r w:rsidRPr="00300B80">
        <w:rPr>
          <w:lang w:val="fr-FR"/>
        </w:rPr>
        <w:t>37.</w:t>
      </w:r>
      <w:r w:rsidRPr="00300B80">
        <w:rPr>
          <w:lang w:val="fr-FR"/>
        </w:rPr>
        <w:tab/>
      </w:r>
      <w:r w:rsidRPr="00C7500F">
        <w:rPr>
          <w:b/>
          <w:spacing w:val="-2"/>
          <w:lang w:val="fr-FR"/>
        </w:rPr>
        <w:t>Le Comité recommande à l</w:t>
      </w:r>
      <w:r w:rsidR="004252BC">
        <w:rPr>
          <w:b/>
          <w:spacing w:val="-2"/>
          <w:lang w:val="fr-FR"/>
        </w:rPr>
        <w:t>’</w:t>
      </w:r>
      <w:r w:rsidRPr="00C7500F">
        <w:rPr>
          <w:b/>
          <w:spacing w:val="-2"/>
          <w:lang w:val="fr-FR"/>
        </w:rPr>
        <w:t>État partie de ratifier l</w:t>
      </w:r>
      <w:r w:rsidR="004252BC">
        <w:rPr>
          <w:b/>
          <w:spacing w:val="-2"/>
          <w:lang w:val="fr-FR"/>
        </w:rPr>
        <w:t>’</w:t>
      </w:r>
      <w:r w:rsidRPr="00C7500F">
        <w:rPr>
          <w:b/>
          <w:spacing w:val="-2"/>
          <w:lang w:val="fr-FR"/>
        </w:rPr>
        <w:t>amendement au paragraphe</w:t>
      </w:r>
      <w:r>
        <w:rPr>
          <w:lang w:val="fr-FR"/>
        </w:rPr>
        <w:t> </w:t>
      </w:r>
      <w:r w:rsidRPr="00C7500F">
        <w:rPr>
          <w:b/>
          <w:spacing w:val="-2"/>
          <w:lang w:val="fr-FR"/>
        </w:rPr>
        <w:t>6 de l</w:t>
      </w:r>
      <w:r w:rsidR="004252BC">
        <w:rPr>
          <w:b/>
          <w:spacing w:val="-2"/>
          <w:lang w:val="fr-FR"/>
        </w:rPr>
        <w:t>’</w:t>
      </w:r>
      <w:r w:rsidRPr="00C7500F">
        <w:rPr>
          <w:b/>
          <w:spacing w:val="-2"/>
          <w:lang w:val="fr-FR"/>
        </w:rPr>
        <w:t>article</w:t>
      </w:r>
      <w:r>
        <w:rPr>
          <w:lang w:val="fr-FR"/>
        </w:rPr>
        <w:t> </w:t>
      </w:r>
      <w:r w:rsidRPr="00C7500F">
        <w:rPr>
          <w:b/>
          <w:spacing w:val="-2"/>
          <w:lang w:val="fr-FR"/>
        </w:rPr>
        <w:t>8 de la Convention, adopté le 15</w:t>
      </w:r>
      <w:r>
        <w:rPr>
          <w:lang w:val="fr-FR"/>
        </w:rPr>
        <w:t> </w:t>
      </w:r>
      <w:r w:rsidRPr="00C7500F">
        <w:rPr>
          <w:b/>
          <w:spacing w:val="-2"/>
          <w:lang w:val="fr-FR"/>
        </w:rPr>
        <w:t>janvier 1992 à la quatorzième Réunion des États parties à la Convention et approuvé par l</w:t>
      </w:r>
      <w:r w:rsidR="004252BC">
        <w:rPr>
          <w:b/>
          <w:spacing w:val="-2"/>
          <w:lang w:val="fr-FR"/>
        </w:rPr>
        <w:t>’</w:t>
      </w:r>
      <w:r w:rsidRPr="00C7500F">
        <w:rPr>
          <w:b/>
          <w:spacing w:val="-2"/>
          <w:lang w:val="fr-FR"/>
        </w:rPr>
        <w:t>Assemblée générale dans sa résolution</w:t>
      </w:r>
      <w:r w:rsidR="00EF728E">
        <w:rPr>
          <w:b/>
          <w:spacing w:val="-2"/>
          <w:lang w:val="fr-FR"/>
        </w:rPr>
        <w:t> </w:t>
      </w:r>
      <w:r w:rsidRPr="00C7500F">
        <w:rPr>
          <w:b/>
          <w:spacing w:val="-2"/>
          <w:lang w:val="fr-FR"/>
        </w:rPr>
        <w:t>47/111</w:t>
      </w:r>
      <w:r w:rsidRPr="00300B80">
        <w:rPr>
          <w:b/>
          <w:lang w:val="fr-FR"/>
        </w:rPr>
        <w:t>.</w:t>
      </w:r>
    </w:p>
    <w:p w14:paraId="3F516EC9" w14:textId="77777777" w:rsidR="00384AB0" w:rsidRPr="00300B80" w:rsidRDefault="00384AB0" w:rsidP="00384AB0">
      <w:pPr>
        <w:pStyle w:val="H23G"/>
        <w:rPr>
          <w:lang w:val="fr-FR"/>
        </w:rPr>
      </w:pPr>
      <w:r w:rsidRPr="00300B80">
        <w:rPr>
          <w:lang w:val="fr-FR"/>
        </w:rPr>
        <w:tab/>
      </w:r>
      <w:r w:rsidRPr="00300B80">
        <w:rPr>
          <w:lang w:val="fr-FR"/>
        </w:rPr>
        <w:tab/>
        <w:t>Suite donnée à la Déclaration et au Programme d</w:t>
      </w:r>
      <w:r w:rsidR="004252BC">
        <w:rPr>
          <w:lang w:val="fr-FR"/>
        </w:rPr>
        <w:t>’</w:t>
      </w:r>
      <w:r w:rsidRPr="00300B80">
        <w:rPr>
          <w:lang w:val="fr-FR"/>
        </w:rPr>
        <w:t>action de Durban</w:t>
      </w:r>
    </w:p>
    <w:p w14:paraId="3213FCF2" w14:textId="77777777" w:rsidR="00384AB0" w:rsidRPr="00300B80" w:rsidRDefault="00384AB0" w:rsidP="00384AB0">
      <w:pPr>
        <w:pStyle w:val="SingleTxtG"/>
        <w:rPr>
          <w:b/>
          <w:lang w:val="fr-FR"/>
        </w:rPr>
      </w:pPr>
      <w:r w:rsidRPr="00300B80">
        <w:rPr>
          <w:lang w:val="fr-FR"/>
        </w:rPr>
        <w:t>38.</w:t>
      </w:r>
      <w:r w:rsidRPr="00300B80">
        <w:rPr>
          <w:lang w:val="fr-FR"/>
        </w:rPr>
        <w:tab/>
      </w:r>
      <w:r w:rsidRPr="00300B80">
        <w:rPr>
          <w:b/>
          <w:lang w:val="fr-FR"/>
        </w:rPr>
        <w:t xml:space="preserve">À la lumière de sa recommandation générale </w:t>
      </w:r>
      <w:r w:rsidRPr="00C7500F">
        <w:rPr>
          <w:rFonts w:eastAsia="MS Mincho"/>
          <w:b/>
          <w:lang w:val="fr-FR"/>
        </w:rPr>
        <w:t>n</w:t>
      </w:r>
      <w:r w:rsidRPr="00C7500F">
        <w:rPr>
          <w:rFonts w:eastAsia="MS Mincho"/>
          <w:b/>
          <w:vertAlign w:val="superscript"/>
          <w:lang w:val="fr-FR"/>
        </w:rPr>
        <w:t>o</w:t>
      </w:r>
      <w:r>
        <w:rPr>
          <w:b/>
          <w:lang w:val="fr-FR"/>
        </w:rPr>
        <w:t> </w:t>
      </w:r>
      <w:r w:rsidRPr="00300B80">
        <w:rPr>
          <w:b/>
          <w:lang w:val="fr-FR"/>
        </w:rPr>
        <w:t>33 (2009) sur le suivi de la Conférence d</w:t>
      </w:r>
      <w:r w:rsidR="004252BC">
        <w:rPr>
          <w:b/>
          <w:lang w:val="fr-FR"/>
        </w:rPr>
        <w:t>’</w:t>
      </w:r>
      <w:r w:rsidRPr="00300B80">
        <w:rPr>
          <w:b/>
          <w:lang w:val="fr-FR"/>
        </w:rPr>
        <w:t>examen de Durban, le Comité recommande à l</w:t>
      </w:r>
      <w:r w:rsidR="004252BC">
        <w:rPr>
          <w:b/>
          <w:lang w:val="fr-FR"/>
        </w:rPr>
        <w:t>’</w:t>
      </w:r>
      <w:r w:rsidRPr="00300B80">
        <w:rPr>
          <w:b/>
          <w:lang w:val="fr-FR"/>
        </w:rPr>
        <w:t>État partie de donner effet à la Déclaration et au Programme d</w:t>
      </w:r>
      <w:r w:rsidR="004252BC">
        <w:rPr>
          <w:b/>
          <w:lang w:val="fr-FR"/>
        </w:rPr>
        <w:t>’</w:t>
      </w:r>
      <w:r w:rsidRPr="00300B80">
        <w:rPr>
          <w:b/>
          <w:lang w:val="fr-FR"/>
        </w:rPr>
        <w:t>action de Durban, adoptés en septembre 2001 par la Conférence mondiale contre le racisme, la discrimination raciale, la xénophobie et l</w:t>
      </w:r>
      <w:r w:rsidR="004252BC">
        <w:rPr>
          <w:b/>
          <w:lang w:val="fr-FR"/>
        </w:rPr>
        <w:t>’</w:t>
      </w:r>
      <w:r w:rsidRPr="00300B80">
        <w:rPr>
          <w:b/>
          <w:lang w:val="fr-FR"/>
        </w:rPr>
        <w:t>intolérance qui y est associée, en tenant compte du document final de la Conférence d</w:t>
      </w:r>
      <w:r w:rsidR="004252BC">
        <w:rPr>
          <w:b/>
          <w:lang w:val="fr-FR"/>
        </w:rPr>
        <w:t>’</w:t>
      </w:r>
      <w:r w:rsidRPr="00300B80">
        <w:rPr>
          <w:b/>
          <w:lang w:val="fr-FR"/>
        </w:rPr>
        <w:t>examen de Durban, tenue à Genève en avril 2009, quand il applique la Convention. Le Comité demande à l</w:t>
      </w:r>
      <w:r w:rsidR="004252BC">
        <w:rPr>
          <w:b/>
          <w:lang w:val="fr-FR"/>
        </w:rPr>
        <w:t>’</w:t>
      </w:r>
      <w:r w:rsidRPr="00300B80">
        <w:rPr>
          <w:b/>
          <w:lang w:val="fr-FR"/>
        </w:rPr>
        <w:t>État partie d</w:t>
      </w:r>
      <w:r w:rsidR="004252BC">
        <w:rPr>
          <w:b/>
          <w:lang w:val="fr-FR"/>
        </w:rPr>
        <w:t>’</w:t>
      </w:r>
      <w:r w:rsidRPr="00300B80">
        <w:rPr>
          <w:b/>
          <w:lang w:val="fr-FR"/>
        </w:rPr>
        <w:t>inclure dans son prochain rapport périodique des renseignements précis sur les plans d</w:t>
      </w:r>
      <w:r w:rsidR="004252BC">
        <w:rPr>
          <w:b/>
          <w:lang w:val="fr-FR"/>
        </w:rPr>
        <w:t>’</w:t>
      </w:r>
      <w:r w:rsidRPr="00300B80">
        <w:rPr>
          <w:b/>
          <w:lang w:val="fr-FR"/>
        </w:rPr>
        <w:t>action qu</w:t>
      </w:r>
      <w:r w:rsidR="004252BC">
        <w:rPr>
          <w:b/>
          <w:lang w:val="fr-FR"/>
        </w:rPr>
        <w:t>’</w:t>
      </w:r>
      <w:r w:rsidRPr="00300B80">
        <w:rPr>
          <w:b/>
          <w:lang w:val="fr-FR"/>
        </w:rPr>
        <w:t>il aura adoptés et les autres mesures qu</w:t>
      </w:r>
      <w:r w:rsidR="004252BC">
        <w:rPr>
          <w:b/>
          <w:lang w:val="fr-FR"/>
        </w:rPr>
        <w:t>’</w:t>
      </w:r>
      <w:r w:rsidRPr="00300B80">
        <w:rPr>
          <w:b/>
          <w:lang w:val="fr-FR"/>
        </w:rPr>
        <w:t>il aura prises pour mettre en œuvre la Déclaration et le Programme d</w:t>
      </w:r>
      <w:r w:rsidR="004252BC">
        <w:rPr>
          <w:b/>
          <w:lang w:val="fr-FR"/>
        </w:rPr>
        <w:t>’</w:t>
      </w:r>
      <w:r w:rsidRPr="00300B80">
        <w:rPr>
          <w:b/>
          <w:lang w:val="fr-FR"/>
        </w:rPr>
        <w:t>action de Durban au niveau national.</w:t>
      </w:r>
    </w:p>
    <w:p w14:paraId="43DBA748" w14:textId="77777777" w:rsidR="00384AB0" w:rsidRPr="00300B80" w:rsidRDefault="00384AB0" w:rsidP="00384AB0">
      <w:pPr>
        <w:pStyle w:val="H23G"/>
        <w:rPr>
          <w:lang w:val="fr-FR"/>
        </w:rPr>
      </w:pPr>
      <w:r w:rsidRPr="00300B80">
        <w:rPr>
          <w:lang w:val="fr-FR"/>
        </w:rPr>
        <w:tab/>
      </w:r>
      <w:r w:rsidRPr="00300B80">
        <w:rPr>
          <w:lang w:val="fr-FR"/>
        </w:rPr>
        <w:tab/>
        <w:t>Décennie internationale des personnes d</w:t>
      </w:r>
      <w:r w:rsidR="004252BC">
        <w:rPr>
          <w:lang w:val="fr-FR"/>
        </w:rPr>
        <w:t>’</w:t>
      </w:r>
      <w:r w:rsidRPr="00300B80">
        <w:rPr>
          <w:lang w:val="fr-FR"/>
        </w:rPr>
        <w:t xml:space="preserve">ascendance africaine </w:t>
      </w:r>
    </w:p>
    <w:p w14:paraId="5CAD470D" w14:textId="77777777" w:rsidR="00384AB0" w:rsidRPr="00300B80" w:rsidRDefault="00384AB0" w:rsidP="00384AB0">
      <w:pPr>
        <w:pStyle w:val="SingleTxtG"/>
        <w:rPr>
          <w:b/>
          <w:lang w:val="fr-FR"/>
        </w:rPr>
      </w:pPr>
      <w:r w:rsidRPr="00300B80">
        <w:rPr>
          <w:lang w:val="fr-FR"/>
        </w:rPr>
        <w:t>39.</w:t>
      </w:r>
      <w:r w:rsidRPr="00300B80">
        <w:rPr>
          <w:lang w:val="fr-FR"/>
        </w:rPr>
        <w:tab/>
      </w:r>
      <w:r w:rsidRPr="00300B80">
        <w:rPr>
          <w:b/>
          <w:lang w:val="fr-FR"/>
        </w:rPr>
        <w:t>À la lumière de la résolution 68/237 de l</w:t>
      </w:r>
      <w:r w:rsidR="004252BC">
        <w:rPr>
          <w:b/>
          <w:lang w:val="fr-FR"/>
        </w:rPr>
        <w:t>’</w:t>
      </w:r>
      <w:r w:rsidRPr="00300B80">
        <w:rPr>
          <w:b/>
          <w:lang w:val="fr-FR"/>
        </w:rPr>
        <w:t>Assemblée générale proclamant la Décennie internationale des personnes d</w:t>
      </w:r>
      <w:r w:rsidR="004252BC">
        <w:rPr>
          <w:b/>
          <w:lang w:val="fr-FR"/>
        </w:rPr>
        <w:t>’</w:t>
      </w:r>
      <w:r w:rsidRPr="00300B80">
        <w:rPr>
          <w:b/>
          <w:lang w:val="fr-FR"/>
        </w:rPr>
        <w:t>ascendance africaine pour 2015-2024 et de la résolution 69/16 sur le programme d</w:t>
      </w:r>
      <w:r w:rsidR="004252BC">
        <w:rPr>
          <w:b/>
          <w:lang w:val="fr-FR"/>
        </w:rPr>
        <w:t>’</w:t>
      </w:r>
      <w:r w:rsidRPr="00300B80">
        <w:rPr>
          <w:b/>
          <w:lang w:val="fr-FR"/>
        </w:rPr>
        <w:t>activités de la Décennie, le Comité recommande à l</w:t>
      </w:r>
      <w:r w:rsidR="004252BC">
        <w:rPr>
          <w:b/>
          <w:lang w:val="fr-FR"/>
        </w:rPr>
        <w:t>’</w:t>
      </w:r>
      <w:r w:rsidRPr="00300B80">
        <w:rPr>
          <w:b/>
          <w:lang w:val="fr-FR"/>
        </w:rPr>
        <w:t>État partie d</w:t>
      </w:r>
      <w:r w:rsidR="004252BC">
        <w:rPr>
          <w:b/>
          <w:lang w:val="fr-FR"/>
        </w:rPr>
        <w:t>’</w:t>
      </w:r>
      <w:r w:rsidRPr="00300B80">
        <w:rPr>
          <w:b/>
          <w:lang w:val="fr-FR"/>
        </w:rPr>
        <w:t>élaborer et de mettre en œuvre un programme adapté de mesures et de politiques en collaboration avec des organisations et des personnes d</w:t>
      </w:r>
      <w:r w:rsidR="004252BC">
        <w:rPr>
          <w:b/>
          <w:lang w:val="fr-FR"/>
        </w:rPr>
        <w:t>’</w:t>
      </w:r>
      <w:r w:rsidRPr="00300B80">
        <w:rPr>
          <w:b/>
          <w:lang w:val="fr-FR"/>
        </w:rPr>
        <w:t>ascendance africaine. Le Comité demande à l</w:t>
      </w:r>
      <w:r w:rsidR="004252BC">
        <w:rPr>
          <w:b/>
          <w:lang w:val="fr-FR"/>
        </w:rPr>
        <w:t>’</w:t>
      </w:r>
      <w:r w:rsidRPr="00300B80">
        <w:rPr>
          <w:b/>
          <w:lang w:val="fr-FR"/>
        </w:rPr>
        <w:t>État partie d</w:t>
      </w:r>
      <w:r w:rsidR="004252BC">
        <w:rPr>
          <w:b/>
          <w:lang w:val="fr-FR"/>
        </w:rPr>
        <w:t>’</w:t>
      </w:r>
      <w:r w:rsidRPr="00300B80">
        <w:rPr>
          <w:b/>
          <w:lang w:val="fr-FR"/>
        </w:rPr>
        <w:t>inclure dans son prochain rapport des renseignements précis sur les mesures concrètes qu</w:t>
      </w:r>
      <w:r w:rsidR="004252BC">
        <w:rPr>
          <w:b/>
          <w:lang w:val="fr-FR"/>
        </w:rPr>
        <w:t>’</w:t>
      </w:r>
      <w:r w:rsidRPr="00300B80">
        <w:rPr>
          <w:b/>
          <w:lang w:val="fr-FR"/>
        </w:rPr>
        <w:t xml:space="preserve">il aura adoptées dans ce cadre, compte tenu de sa recommandation générale </w:t>
      </w:r>
      <w:r w:rsidRPr="00C7500F">
        <w:rPr>
          <w:rFonts w:eastAsia="MS Mincho"/>
          <w:b/>
          <w:lang w:val="fr-FR"/>
        </w:rPr>
        <w:t>n</w:t>
      </w:r>
      <w:r w:rsidRPr="00C7500F">
        <w:rPr>
          <w:rFonts w:eastAsia="MS Mincho"/>
          <w:b/>
          <w:vertAlign w:val="superscript"/>
          <w:lang w:val="fr-FR"/>
        </w:rPr>
        <w:t>o</w:t>
      </w:r>
      <w:r>
        <w:rPr>
          <w:b/>
          <w:lang w:val="fr-FR"/>
        </w:rPr>
        <w:t> </w:t>
      </w:r>
      <w:r w:rsidRPr="00300B80">
        <w:rPr>
          <w:b/>
          <w:lang w:val="fr-FR"/>
        </w:rPr>
        <w:t>34 (2011) sur la discrimination raciale à l</w:t>
      </w:r>
      <w:r w:rsidR="004252BC">
        <w:rPr>
          <w:b/>
          <w:lang w:val="fr-FR"/>
        </w:rPr>
        <w:t>’</w:t>
      </w:r>
      <w:r w:rsidRPr="00300B80">
        <w:rPr>
          <w:b/>
          <w:lang w:val="fr-FR"/>
        </w:rPr>
        <w:t>égard des personnes d</w:t>
      </w:r>
      <w:r w:rsidR="004252BC">
        <w:rPr>
          <w:b/>
          <w:lang w:val="fr-FR"/>
        </w:rPr>
        <w:t>’</w:t>
      </w:r>
      <w:r w:rsidRPr="00300B80">
        <w:rPr>
          <w:b/>
          <w:lang w:val="fr-FR"/>
        </w:rPr>
        <w:t xml:space="preserve">ascendance africaine. </w:t>
      </w:r>
    </w:p>
    <w:p w14:paraId="7E8BAC03" w14:textId="77777777" w:rsidR="00384AB0" w:rsidRPr="00300B80" w:rsidRDefault="00384AB0" w:rsidP="00384AB0">
      <w:pPr>
        <w:pStyle w:val="H23G"/>
        <w:rPr>
          <w:lang w:val="fr-FR"/>
        </w:rPr>
      </w:pPr>
      <w:r w:rsidRPr="00300B80">
        <w:rPr>
          <w:lang w:val="fr-FR"/>
        </w:rPr>
        <w:tab/>
      </w:r>
      <w:r w:rsidRPr="00300B80">
        <w:rPr>
          <w:lang w:val="fr-FR"/>
        </w:rPr>
        <w:tab/>
        <w:t>Consultations avec la société civile</w:t>
      </w:r>
    </w:p>
    <w:p w14:paraId="4F52FDAE" w14:textId="77777777" w:rsidR="00384AB0" w:rsidRPr="00300B80" w:rsidRDefault="00384AB0" w:rsidP="00384AB0">
      <w:pPr>
        <w:pStyle w:val="SingleTxtG"/>
        <w:rPr>
          <w:b/>
          <w:lang w:val="fr-FR"/>
        </w:rPr>
      </w:pPr>
      <w:r w:rsidRPr="00300B80">
        <w:rPr>
          <w:lang w:val="fr-FR"/>
        </w:rPr>
        <w:t>40.</w:t>
      </w:r>
      <w:r w:rsidRPr="00300B80">
        <w:rPr>
          <w:lang w:val="fr-FR"/>
        </w:rPr>
        <w:tab/>
      </w:r>
      <w:r w:rsidRPr="00300B80">
        <w:rPr>
          <w:b/>
          <w:bCs/>
          <w:lang w:val="fr-FR"/>
        </w:rPr>
        <w:t>Le Comité recommande à l</w:t>
      </w:r>
      <w:r w:rsidR="004252BC">
        <w:rPr>
          <w:b/>
          <w:bCs/>
          <w:lang w:val="fr-FR"/>
        </w:rPr>
        <w:t>’</w:t>
      </w:r>
      <w:r w:rsidRPr="00300B80">
        <w:rPr>
          <w:b/>
          <w:bCs/>
          <w:lang w:val="fr-FR"/>
        </w:rPr>
        <w:t>État partie de poursuivre et d</w:t>
      </w:r>
      <w:r w:rsidR="004252BC">
        <w:rPr>
          <w:b/>
          <w:bCs/>
          <w:lang w:val="fr-FR"/>
        </w:rPr>
        <w:t>’</w:t>
      </w:r>
      <w:r w:rsidRPr="00300B80">
        <w:rPr>
          <w:b/>
          <w:bCs/>
          <w:lang w:val="fr-FR"/>
        </w:rPr>
        <w:t>élargir le dialogue avec les organisations de la société civile qui travaillent dans le domaine de la protection des droits de l</w:t>
      </w:r>
      <w:r w:rsidR="004252BC">
        <w:rPr>
          <w:b/>
          <w:bCs/>
          <w:lang w:val="fr-FR"/>
        </w:rPr>
        <w:t>’</w:t>
      </w:r>
      <w:r w:rsidRPr="00300B80">
        <w:rPr>
          <w:b/>
          <w:bCs/>
          <w:lang w:val="fr-FR"/>
        </w:rPr>
        <w:t>homme, en particulier celles qui luttent contre la discrimination raciale, dans le cadre de l</w:t>
      </w:r>
      <w:r w:rsidR="004252BC">
        <w:rPr>
          <w:b/>
          <w:bCs/>
          <w:lang w:val="fr-FR"/>
        </w:rPr>
        <w:t>’</w:t>
      </w:r>
      <w:r w:rsidRPr="00300B80">
        <w:rPr>
          <w:b/>
          <w:bCs/>
          <w:lang w:val="fr-FR"/>
        </w:rPr>
        <w:t>élaboration du prochain rapport périodique et du suivi des présentes observations finales.</w:t>
      </w:r>
    </w:p>
    <w:p w14:paraId="3DDAC92A" w14:textId="77777777" w:rsidR="00384AB0" w:rsidRPr="00300B80" w:rsidRDefault="00384AB0" w:rsidP="00384AB0">
      <w:pPr>
        <w:pStyle w:val="H23G"/>
        <w:rPr>
          <w:lang w:val="fr-FR"/>
        </w:rPr>
      </w:pPr>
      <w:r w:rsidRPr="00300B80">
        <w:rPr>
          <w:lang w:val="fr-FR"/>
        </w:rPr>
        <w:tab/>
      </w:r>
      <w:r w:rsidRPr="00300B80">
        <w:rPr>
          <w:lang w:val="fr-FR"/>
        </w:rPr>
        <w:tab/>
        <w:t>Diffusion d</w:t>
      </w:r>
      <w:r w:rsidR="004252BC">
        <w:rPr>
          <w:lang w:val="fr-FR"/>
        </w:rPr>
        <w:t>’</w:t>
      </w:r>
      <w:r w:rsidRPr="00300B80">
        <w:rPr>
          <w:lang w:val="fr-FR"/>
        </w:rPr>
        <w:t>information</w:t>
      </w:r>
      <w:r>
        <w:rPr>
          <w:lang w:val="fr-FR"/>
        </w:rPr>
        <w:t>s</w:t>
      </w:r>
    </w:p>
    <w:p w14:paraId="0D6418A4" w14:textId="77777777" w:rsidR="00384AB0" w:rsidRPr="00300B80" w:rsidRDefault="00384AB0" w:rsidP="00384AB0">
      <w:pPr>
        <w:pStyle w:val="SingleTxtG"/>
        <w:rPr>
          <w:b/>
          <w:lang w:val="fr-FR"/>
        </w:rPr>
      </w:pPr>
      <w:r w:rsidRPr="00300B80">
        <w:rPr>
          <w:lang w:val="fr-FR"/>
        </w:rPr>
        <w:t>41.</w:t>
      </w:r>
      <w:r w:rsidRPr="00300B80">
        <w:rPr>
          <w:lang w:val="fr-FR"/>
        </w:rPr>
        <w:tab/>
      </w:r>
      <w:r w:rsidRPr="00300B80">
        <w:rPr>
          <w:b/>
          <w:lang w:val="fr-FR"/>
        </w:rPr>
        <w:t>Le Comité recommande à l</w:t>
      </w:r>
      <w:r w:rsidR="004252BC">
        <w:rPr>
          <w:b/>
          <w:lang w:val="fr-FR"/>
        </w:rPr>
        <w:t>’</w:t>
      </w:r>
      <w:r w:rsidRPr="00300B80">
        <w:rPr>
          <w:b/>
          <w:lang w:val="fr-FR"/>
        </w:rPr>
        <w:t>État partie de mettre ses rapports à la disposition du public dès leur soumission et de diffuser également les observations finales du Comité qui s</w:t>
      </w:r>
      <w:r w:rsidR="004252BC">
        <w:rPr>
          <w:b/>
          <w:lang w:val="fr-FR"/>
        </w:rPr>
        <w:t>’</w:t>
      </w:r>
      <w:r w:rsidRPr="00300B80">
        <w:rPr>
          <w:b/>
          <w:lang w:val="fr-FR"/>
        </w:rPr>
        <w:t>y rapportent auprès de tous les organes de l</w:t>
      </w:r>
      <w:r w:rsidR="004252BC">
        <w:rPr>
          <w:b/>
          <w:lang w:val="fr-FR"/>
        </w:rPr>
        <w:t>’</w:t>
      </w:r>
      <w:r w:rsidRPr="00300B80">
        <w:rPr>
          <w:b/>
          <w:lang w:val="fr-FR"/>
        </w:rPr>
        <w:t>État chargés de la mise en œuvre de la Convention, y compris les municipalités, ainsi que de les publier sur le site Web du Ministère des relations extérieures dans les langues officielles et les autres langues couramment utilisées, selon qu</w:t>
      </w:r>
      <w:r w:rsidR="004252BC">
        <w:rPr>
          <w:b/>
          <w:lang w:val="fr-FR"/>
        </w:rPr>
        <w:t>’</w:t>
      </w:r>
      <w:r w:rsidRPr="00300B80">
        <w:rPr>
          <w:b/>
          <w:lang w:val="fr-FR"/>
        </w:rPr>
        <w:t>il conviendra.</w:t>
      </w:r>
    </w:p>
    <w:p w14:paraId="541210E3" w14:textId="77777777" w:rsidR="00384AB0" w:rsidRPr="00300B80" w:rsidRDefault="00384AB0" w:rsidP="00384AB0">
      <w:pPr>
        <w:pStyle w:val="H23G"/>
        <w:rPr>
          <w:lang w:val="fr-FR"/>
        </w:rPr>
      </w:pPr>
      <w:r w:rsidRPr="00300B80">
        <w:rPr>
          <w:lang w:val="fr-FR"/>
        </w:rPr>
        <w:tab/>
      </w:r>
      <w:r w:rsidRPr="00300B80">
        <w:rPr>
          <w:lang w:val="fr-FR"/>
        </w:rPr>
        <w:tab/>
        <w:t>Suite donnée aux présentes observations finales</w:t>
      </w:r>
    </w:p>
    <w:p w14:paraId="541EAEFA" w14:textId="77777777" w:rsidR="00384AB0" w:rsidRPr="00300B80" w:rsidRDefault="00384AB0" w:rsidP="00384AB0">
      <w:pPr>
        <w:pStyle w:val="SingleTxtG"/>
        <w:rPr>
          <w:b/>
          <w:lang w:val="fr-FR"/>
        </w:rPr>
      </w:pPr>
      <w:r w:rsidRPr="00300B80">
        <w:rPr>
          <w:lang w:val="fr-FR"/>
        </w:rPr>
        <w:t>42.</w:t>
      </w:r>
      <w:r w:rsidRPr="00300B80">
        <w:rPr>
          <w:lang w:val="fr-FR"/>
        </w:rPr>
        <w:tab/>
      </w:r>
      <w:r w:rsidRPr="00300B80">
        <w:rPr>
          <w:b/>
          <w:lang w:val="fr-FR"/>
        </w:rPr>
        <w:t>Conformément au paragraphe</w:t>
      </w:r>
      <w:r>
        <w:rPr>
          <w:lang w:val="fr-FR"/>
        </w:rPr>
        <w:t> </w:t>
      </w:r>
      <w:r w:rsidRPr="00300B80">
        <w:rPr>
          <w:b/>
          <w:lang w:val="fr-FR"/>
        </w:rPr>
        <w:t>1 de l</w:t>
      </w:r>
      <w:r w:rsidR="004252BC">
        <w:rPr>
          <w:b/>
          <w:lang w:val="fr-FR"/>
        </w:rPr>
        <w:t>’</w:t>
      </w:r>
      <w:r w:rsidRPr="00300B80">
        <w:rPr>
          <w:b/>
          <w:lang w:val="fr-FR"/>
        </w:rPr>
        <w:t>article</w:t>
      </w:r>
      <w:r>
        <w:rPr>
          <w:lang w:val="fr-FR"/>
        </w:rPr>
        <w:t> </w:t>
      </w:r>
      <w:r w:rsidRPr="00300B80">
        <w:rPr>
          <w:b/>
          <w:lang w:val="fr-FR"/>
        </w:rPr>
        <w:t>9 de la Convention et à l</w:t>
      </w:r>
      <w:r w:rsidR="004252BC">
        <w:rPr>
          <w:b/>
          <w:lang w:val="fr-FR"/>
        </w:rPr>
        <w:t>’</w:t>
      </w:r>
      <w:r w:rsidRPr="00300B80">
        <w:rPr>
          <w:b/>
          <w:lang w:val="fr-FR"/>
        </w:rPr>
        <w:t>article</w:t>
      </w:r>
      <w:r>
        <w:rPr>
          <w:lang w:val="fr-FR"/>
        </w:rPr>
        <w:t> </w:t>
      </w:r>
      <w:r w:rsidRPr="00300B80">
        <w:rPr>
          <w:b/>
          <w:lang w:val="fr-FR"/>
        </w:rPr>
        <w:t>65 de son règlement intérieur, le Comité demande à l</w:t>
      </w:r>
      <w:r w:rsidR="004252BC">
        <w:rPr>
          <w:b/>
          <w:lang w:val="fr-FR"/>
        </w:rPr>
        <w:t>’</w:t>
      </w:r>
      <w:r w:rsidRPr="00300B80">
        <w:rPr>
          <w:b/>
          <w:lang w:val="fr-FR"/>
        </w:rPr>
        <w:t>État partie de fournir, dans un délai d</w:t>
      </w:r>
      <w:r w:rsidR="004252BC">
        <w:rPr>
          <w:b/>
          <w:lang w:val="fr-FR"/>
        </w:rPr>
        <w:t>’</w:t>
      </w:r>
      <w:r w:rsidRPr="00300B80">
        <w:rPr>
          <w:b/>
          <w:lang w:val="fr-FR"/>
        </w:rPr>
        <w:t>un an à compter de l</w:t>
      </w:r>
      <w:r w:rsidR="004252BC">
        <w:rPr>
          <w:b/>
          <w:lang w:val="fr-FR"/>
        </w:rPr>
        <w:t>’</w:t>
      </w:r>
      <w:r w:rsidRPr="00300B80">
        <w:rPr>
          <w:b/>
          <w:lang w:val="fr-FR"/>
        </w:rPr>
        <w:t>adoption des présentes observations finales, des renseignements sur la suite qu</w:t>
      </w:r>
      <w:r w:rsidR="004252BC">
        <w:rPr>
          <w:b/>
          <w:lang w:val="fr-FR"/>
        </w:rPr>
        <w:t>’</w:t>
      </w:r>
      <w:r w:rsidRPr="00300B80">
        <w:rPr>
          <w:b/>
          <w:lang w:val="fr-FR"/>
        </w:rPr>
        <w:t xml:space="preserve">il aura donnée aux recommandations figurant dans les paragraphes </w:t>
      </w:r>
      <w:r>
        <w:rPr>
          <w:b/>
          <w:lang w:val="fr-FR"/>
        </w:rPr>
        <w:t>17 et 19</w:t>
      </w:r>
      <w:r w:rsidRPr="00300B80">
        <w:rPr>
          <w:b/>
          <w:lang w:val="fr-FR"/>
        </w:rPr>
        <w:t>.</w:t>
      </w:r>
    </w:p>
    <w:p w14:paraId="382B96D8" w14:textId="77777777" w:rsidR="00384AB0" w:rsidRPr="00300B80" w:rsidRDefault="00384AB0" w:rsidP="00384AB0">
      <w:pPr>
        <w:pStyle w:val="H23G"/>
        <w:rPr>
          <w:lang w:val="fr-FR"/>
        </w:rPr>
      </w:pPr>
      <w:r w:rsidRPr="00300B80">
        <w:rPr>
          <w:lang w:val="fr-FR"/>
        </w:rPr>
        <w:tab/>
      </w:r>
      <w:r w:rsidRPr="00300B80">
        <w:rPr>
          <w:lang w:val="fr-FR"/>
        </w:rPr>
        <w:tab/>
        <w:t>Paragraphes d</w:t>
      </w:r>
      <w:r w:rsidR="004252BC">
        <w:rPr>
          <w:lang w:val="fr-FR"/>
        </w:rPr>
        <w:t>’</w:t>
      </w:r>
      <w:r w:rsidRPr="00300B80">
        <w:rPr>
          <w:lang w:val="fr-FR"/>
        </w:rPr>
        <w:t>importance particulière</w:t>
      </w:r>
    </w:p>
    <w:p w14:paraId="7B46B721" w14:textId="77777777" w:rsidR="00384AB0" w:rsidRPr="00300B80" w:rsidRDefault="00384AB0" w:rsidP="00384AB0">
      <w:pPr>
        <w:pStyle w:val="SingleTxtG"/>
        <w:rPr>
          <w:b/>
          <w:lang w:val="fr-FR"/>
        </w:rPr>
      </w:pPr>
      <w:r w:rsidRPr="00300B80">
        <w:rPr>
          <w:lang w:val="fr-FR"/>
        </w:rPr>
        <w:t>43.</w:t>
      </w:r>
      <w:r w:rsidRPr="00300B80">
        <w:rPr>
          <w:lang w:val="fr-FR"/>
        </w:rPr>
        <w:tab/>
      </w:r>
      <w:r w:rsidRPr="00300B80">
        <w:rPr>
          <w:b/>
          <w:lang w:val="fr-FR"/>
        </w:rPr>
        <w:t>Le Comité souhaite appeler l</w:t>
      </w:r>
      <w:r w:rsidR="004252BC">
        <w:rPr>
          <w:b/>
          <w:lang w:val="fr-FR"/>
        </w:rPr>
        <w:t>’</w:t>
      </w:r>
      <w:r w:rsidRPr="00300B80">
        <w:rPr>
          <w:b/>
          <w:lang w:val="fr-FR"/>
        </w:rPr>
        <w:t>attention de l</w:t>
      </w:r>
      <w:r w:rsidR="004252BC">
        <w:rPr>
          <w:b/>
          <w:lang w:val="fr-FR"/>
        </w:rPr>
        <w:t>’</w:t>
      </w:r>
      <w:r w:rsidRPr="00300B80">
        <w:rPr>
          <w:b/>
          <w:lang w:val="fr-FR"/>
        </w:rPr>
        <w:t>État partie sur l</w:t>
      </w:r>
      <w:r w:rsidR="004252BC">
        <w:rPr>
          <w:b/>
          <w:lang w:val="fr-FR"/>
        </w:rPr>
        <w:t>’</w:t>
      </w:r>
      <w:r w:rsidRPr="00300B80">
        <w:rPr>
          <w:b/>
          <w:lang w:val="fr-FR"/>
        </w:rPr>
        <w:t xml:space="preserve">importance particulière des recommandations figurant dans les paragraphes </w:t>
      </w:r>
      <w:r>
        <w:rPr>
          <w:b/>
          <w:lang w:val="fr-FR"/>
        </w:rPr>
        <w:t>21, 27, 29 et 33</w:t>
      </w:r>
      <w:r w:rsidRPr="00300B80">
        <w:rPr>
          <w:b/>
          <w:lang w:val="fr-FR"/>
        </w:rPr>
        <w:t>, et lui demande de faire figurer dans son prochain rapport périodique des renseignements détaillés sur les mesures concrètes qu</w:t>
      </w:r>
      <w:r w:rsidR="004252BC">
        <w:rPr>
          <w:b/>
          <w:lang w:val="fr-FR"/>
        </w:rPr>
        <w:t>’</w:t>
      </w:r>
      <w:r w:rsidRPr="00300B80">
        <w:rPr>
          <w:b/>
          <w:lang w:val="fr-FR"/>
        </w:rPr>
        <w:t>il aura prises pour y donner suite.</w:t>
      </w:r>
    </w:p>
    <w:p w14:paraId="62EC64F2" w14:textId="77777777" w:rsidR="00384AB0" w:rsidRPr="006956F0" w:rsidRDefault="00384AB0" w:rsidP="00384AB0">
      <w:pPr>
        <w:pStyle w:val="H23G"/>
        <w:rPr>
          <w:lang w:val="fr-FR"/>
        </w:rPr>
      </w:pPr>
      <w:r w:rsidRPr="00300B80">
        <w:rPr>
          <w:lang w:val="fr-FR"/>
        </w:rPr>
        <w:tab/>
      </w:r>
      <w:r w:rsidRPr="006956F0">
        <w:rPr>
          <w:lang w:val="fr-FR"/>
        </w:rPr>
        <w:tab/>
        <w:t>Élaboration du prochain rapport périodique</w:t>
      </w:r>
    </w:p>
    <w:p w14:paraId="21E990C7" w14:textId="77777777" w:rsidR="00984B29" w:rsidRPr="00EB58E8" w:rsidRDefault="00384AB0" w:rsidP="00EF728E">
      <w:pPr>
        <w:pStyle w:val="SingleTxtG"/>
        <w:rPr>
          <w:b/>
          <w:spacing w:val="-2"/>
          <w:lang w:val="fr-FR"/>
        </w:rPr>
      </w:pPr>
      <w:r w:rsidRPr="00EB58E8">
        <w:rPr>
          <w:spacing w:val="-2"/>
          <w:lang w:val="fr-FR"/>
        </w:rPr>
        <w:t>44.</w:t>
      </w:r>
      <w:r w:rsidRPr="00EB58E8">
        <w:rPr>
          <w:spacing w:val="-2"/>
          <w:lang w:val="fr-FR"/>
        </w:rPr>
        <w:tab/>
      </w:r>
      <w:r w:rsidRPr="00EB58E8">
        <w:rPr>
          <w:b/>
          <w:spacing w:val="-2"/>
          <w:lang w:val="fr-FR"/>
        </w:rPr>
        <w:t>Le Comité recommande à l</w:t>
      </w:r>
      <w:r w:rsidR="004252BC" w:rsidRPr="00EB58E8">
        <w:rPr>
          <w:b/>
          <w:spacing w:val="-2"/>
          <w:lang w:val="fr-FR"/>
        </w:rPr>
        <w:t>’</w:t>
      </w:r>
      <w:r w:rsidRPr="00EB58E8">
        <w:rPr>
          <w:b/>
          <w:spacing w:val="-2"/>
          <w:lang w:val="fr-FR"/>
        </w:rPr>
        <w:t>État partie de soumettre son rapport valant vingtième à vingt-deuxième rapports périodiques d</w:t>
      </w:r>
      <w:r w:rsidR="004252BC" w:rsidRPr="00EB58E8">
        <w:rPr>
          <w:b/>
          <w:spacing w:val="-2"/>
          <w:lang w:val="fr-FR"/>
        </w:rPr>
        <w:t>’</w:t>
      </w:r>
      <w:r w:rsidRPr="00EB58E8">
        <w:rPr>
          <w:b/>
          <w:spacing w:val="-2"/>
          <w:lang w:val="fr-FR"/>
        </w:rPr>
        <w:t>ici au 30 décembre 2022, en tenant compte des directives pour l</w:t>
      </w:r>
      <w:r w:rsidR="004252BC" w:rsidRPr="00EB58E8">
        <w:rPr>
          <w:b/>
          <w:spacing w:val="-2"/>
          <w:lang w:val="fr-FR"/>
        </w:rPr>
        <w:t>’</w:t>
      </w:r>
      <w:r w:rsidRPr="00EB58E8">
        <w:rPr>
          <w:b/>
          <w:spacing w:val="-2"/>
          <w:lang w:val="fr-FR"/>
        </w:rPr>
        <w:t xml:space="preserve">établissement du document se rapportant spécifiquement à la Convention adoptées par le Comité à sa soixante et onzième session (CERD/C/2007/1) et en traitant de tous les </w:t>
      </w:r>
      <w:bookmarkStart w:id="0" w:name="_GoBack"/>
      <w:bookmarkEnd w:id="0"/>
      <w:r w:rsidRPr="00EB58E8">
        <w:rPr>
          <w:b/>
          <w:spacing w:val="-2"/>
          <w:lang w:val="fr-FR"/>
        </w:rPr>
        <w:t>points soulevés dans les présentes observations finales. À la lumière de la résolution 68/268 de l</w:t>
      </w:r>
      <w:r w:rsidR="004252BC" w:rsidRPr="00EB58E8">
        <w:rPr>
          <w:b/>
          <w:spacing w:val="-2"/>
          <w:lang w:val="fr-FR"/>
        </w:rPr>
        <w:t>’</w:t>
      </w:r>
      <w:r w:rsidRPr="00EB58E8">
        <w:rPr>
          <w:b/>
          <w:spacing w:val="-2"/>
          <w:lang w:val="fr-FR"/>
        </w:rPr>
        <w:t>Assemblée générale, le Comité demande instamment à l</w:t>
      </w:r>
      <w:r w:rsidR="004252BC" w:rsidRPr="00EB58E8">
        <w:rPr>
          <w:b/>
          <w:spacing w:val="-2"/>
          <w:lang w:val="fr-FR"/>
        </w:rPr>
        <w:t>’</w:t>
      </w:r>
      <w:r w:rsidRPr="00EB58E8">
        <w:rPr>
          <w:b/>
          <w:spacing w:val="-2"/>
          <w:lang w:val="fr-FR"/>
        </w:rPr>
        <w:t>État partie de respecter la limite de 21 200 mots fixée pour les rapports périodiques et la limite de 42 400 mots fixée pour le document de base commun.</w:t>
      </w:r>
    </w:p>
    <w:p w14:paraId="1863D53F" w14:textId="77777777" w:rsidR="004252BC" w:rsidRPr="004252BC" w:rsidRDefault="004252BC" w:rsidP="004252BC">
      <w:pPr>
        <w:pStyle w:val="SingleTxtG"/>
        <w:spacing w:before="240" w:after="0"/>
        <w:jc w:val="center"/>
        <w:rPr>
          <w:u w:val="single"/>
        </w:rPr>
      </w:pPr>
      <w:r>
        <w:rPr>
          <w:u w:val="single"/>
        </w:rPr>
        <w:tab/>
      </w:r>
      <w:r>
        <w:rPr>
          <w:u w:val="single"/>
        </w:rPr>
        <w:tab/>
      </w:r>
      <w:r>
        <w:rPr>
          <w:u w:val="single"/>
        </w:rPr>
        <w:tab/>
      </w:r>
    </w:p>
    <w:sectPr w:rsidR="004252BC" w:rsidRPr="004252BC" w:rsidSect="00C946B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3242F" w14:textId="77777777" w:rsidR="00EF728E" w:rsidRDefault="00EF728E" w:rsidP="00F95C08">
      <w:pPr>
        <w:spacing w:line="240" w:lineRule="auto"/>
      </w:pPr>
    </w:p>
  </w:endnote>
  <w:endnote w:type="continuationSeparator" w:id="0">
    <w:p w14:paraId="077DDEA3" w14:textId="77777777" w:rsidR="00EF728E" w:rsidRPr="00AC3823" w:rsidRDefault="00EF728E" w:rsidP="00AC3823">
      <w:pPr>
        <w:pStyle w:val="Pieddepage"/>
      </w:pPr>
    </w:p>
  </w:endnote>
  <w:endnote w:type="continuationNotice" w:id="1">
    <w:p w14:paraId="6A42CFCD" w14:textId="77777777" w:rsidR="00EF728E" w:rsidRDefault="00EF728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6090D" w14:textId="77777777" w:rsidR="00EF728E" w:rsidRPr="00C946B2" w:rsidRDefault="00EF728E" w:rsidP="00C946B2">
    <w:pPr>
      <w:pStyle w:val="Pieddepage"/>
      <w:tabs>
        <w:tab w:val="right" w:pos="9638"/>
      </w:tabs>
    </w:pPr>
    <w:r w:rsidRPr="00C946B2">
      <w:rPr>
        <w:b/>
        <w:sz w:val="18"/>
      </w:rPr>
      <w:fldChar w:fldCharType="begin"/>
    </w:r>
    <w:r w:rsidRPr="00C946B2">
      <w:rPr>
        <w:b/>
        <w:sz w:val="18"/>
      </w:rPr>
      <w:instrText xml:space="preserve"> PAGE  \* MERGEFORMAT </w:instrText>
    </w:r>
    <w:r w:rsidRPr="00C946B2">
      <w:rPr>
        <w:b/>
        <w:sz w:val="18"/>
      </w:rPr>
      <w:fldChar w:fldCharType="separate"/>
    </w:r>
    <w:r w:rsidRPr="00C946B2">
      <w:rPr>
        <w:b/>
        <w:noProof/>
        <w:sz w:val="18"/>
      </w:rPr>
      <w:t>2</w:t>
    </w:r>
    <w:r w:rsidRPr="00C946B2">
      <w:rPr>
        <w:b/>
        <w:sz w:val="18"/>
      </w:rPr>
      <w:fldChar w:fldCharType="end"/>
    </w:r>
    <w:r>
      <w:rPr>
        <w:b/>
        <w:sz w:val="18"/>
      </w:rPr>
      <w:tab/>
    </w:r>
    <w:r>
      <w:t>GE.19-15731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1A4C3" w14:textId="77777777" w:rsidR="00EF728E" w:rsidRPr="00C946B2" w:rsidRDefault="00EF728E" w:rsidP="00C946B2">
    <w:pPr>
      <w:pStyle w:val="Pieddepage"/>
      <w:tabs>
        <w:tab w:val="right" w:pos="9638"/>
      </w:tabs>
      <w:rPr>
        <w:b/>
        <w:sz w:val="18"/>
      </w:rPr>
    </w:pPr>
    <w:r>
      <w:t>GE.19-15731</w:t>
    </w:r>
    <w:r>
      <w:tab/>
    </w:r>
    <w:r w:rsidRPr="00C946B2">
      <w:rPr>
        <w:b/>
        <w:sz w:val="18"/>
      </w:rPr>
      <w:fldChar w:fldCharType="begin"/>
    </w:r>
    <w:r w:rsidRPr="00C946B2">
      <w:rPr>
        <w:b/>
        <w:sz w:val="18"/>
      </w:rPr>
      <w:instrText xml:space="preserve"> PAGE  \* MERGEFORMAT </w:instrText>
    </w:r>
    <w:r w:rsidRPr="00C946B2">
      <w:rPr>
        <w:b/>
        <w:sz w:val="18"/>
      </w:rPr>
      <w:fldChar w:fldCharType="separate"/>
    </w:r>
    <w:r w:rsidRPr="00C946B2">
      <w:rPr>
        <w:b/>
        <w:noProof/>
        <w:sz w:val="18"/>
      </w:rPr>
      <w:t>3</w:t>
    </w:r>
    <w:r w:rsidRPr="00C946B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2A5E6" w14:textId="77777777" w:rsidR="00EF728E" w:rsidRPr="00C946B2" w:rsidRDefault="00EF728E" w:rsidP="00C946B2">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23681E9D" wp14:editId="3CB81017">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19-15731  (F)    261119    291119</w:t>
    </w:r>
    <w:r>
      <w:rPr>
        <w:sz w:val="20"/>
      </w:rPr>
      <w:br/>
    </w:r>
    <w:r w:rsidRPr="00C946B2">
      <w:rPr>
        <w:rFonts w:ascii="C39T30Lfz" w:hAnsi="C39T30Lfz"/>
        <w:sz w:val="56"/>
      </w:rPr>
      <w:t></w:t>
    </w:r>
    <w:r w:rsidRPr="00C946B2">
      <w:rPr>
        <w:rFonts w:ascii="C39T30Lfz" w:hAnsi="C39T30Lfz"/>
        <w:sz w:val="56"/>
      </w:rPr>
      <w:t></w:t>
    </w:r>
    <w:r w:rsidRPr="00C946B2">
      <w:rPr>
        <w:rFonts w:ascii="C39T30Lfz" w:hAnsi="C39T30Lfz"/>
        <w:sz w:val="56"/>
      </w:rPr>
      <w:t></w:t>
    </w:r>
    <w:r w:rsidRPr="00C946B2">
      <w:rPr>
        <w:rFonts w:ascii="C39T30Lfz" w:hAnsi="C39T30Lfz"/>
        <w:sz w:val="56"/>
      </w:rPr>
      <w:t></w:t>
    </w:r>
    <w:r w:rsidRPr="00C946B2">
      <w:rPr>
        <w:rFonts w:ascii="C39T30Lfz" w:hAnsi="C39T30Lfz"/>
        <w:sz w:val="56"/>
      </w:rPr>
      <w:t></w:t>
    </w:r>
    <w:r w:rsidRPr="00C946B2">
      <w:rPr>
        <w:rFonts w:ascii="C39T30Lfz" w:hAnsi="C39T30Lfz"/>
        <w:sz w:val="56"/>
      </w:rPr>
      <w:t></w:t>
    </w:r>
    <w:r w:rsidRPr="00C946B2">
      <w:rPr>
        <w:rFonts w:ascii="C39T30Lfz" w:hAnsi="C39T30Lfz"/>
        <w:sz w:val="56"/>
      </w:rPr>
      <w:t></w:t>
    </w:r>
    <w:r w:rsidRPr="00C946B2">
      <w:rPr>
        <w:rFonts w:ascii="C39T30Lfz" w:hAnsi="C39T30Lfz"/>
        <w:sz w:val="56"/>
      </w:rPr>
      <w:t></w:t>
    </w:r>
    <w:r w:rsidRPr="00C946B2">
      <w:rPr>
        <w:rFonts w:ascii="C39T30Lfz" w:hAnsi="C39T30Lfz"/>
        <w:sz w:val="56"/>
      </w:rPr>
      <w:t></w:t>
    </w:r>
    <w:r>
      <w:rPr>
        <w:noProof/>
        <w:sz w:val="20"/>
      </w:rPr>
      <w:drawing>
        <wp:anchor distT="0" distB="0" distL="114300" distR="114300" simplePos="0" relativeHeight="251658240" behindDoc="0" locked="0" layoutInCell="1" allowOverlap="1" wp14:anchorId="40865888" wp14:editId="7C4E2016">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ERD/C/SLV/CO/18-1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SLV/CO/18-1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A92C6" w14:textId="77777777" w:rsidR="00EF728E" w:rsidRPr="00AC3823" w:rsidRDefault="00EF728E" w:rsidP="00AC3823">
      <w:pPr>
        <w:pStyle w:val="Pieddepage"/>
        <w:tabs>
          <w:tab w:val="right" w:pos="2155"/>
        </w:tabs>
        <w:spacing w:after="80" w:line="240" w:lineRule="atLeast"/>
        <w:ind w:left="680"/>
        <w:rPr>
          <w:u w:val="single"/>
        </w:rPr>
      </w:pPr>
      <w:r>
        <w:rPr>
          <w:u w:val="single"/>
        </w:rPr>
        <w:tab/>
      </w:r>
    </w:p>
  </w:footnote>
  <w:footnote w:type="continuationSeparator" w:id="0">
    <w:p w14:paraId="3D97FE7D" w14:textId="77777777" w:rsidR="00EF728E" w:rsidRPr="00AC3823" w:rsidRDefault="00EF728E" w:rsidP="00AC3823">
      <w:pPr>
        <w:pStyle w:val="Pieddepage"/>
        <w:tabs>
          <w:tab w:val="right" w:pos="2155"/>
        </w:tabs>
        <w:spacing w:after="80" w:line="240" w:lineRule="atLeast"/>
        <w:ind w:left="680"/>
        <w:rPr>
          <w:u w:val="single"/>
        </w:rPr>
      </w:pPr>
      <w:r>
        <w:rPr>
          <w:u w:val="single"/>
        </w:rPr>
        <w:tab/>
      </w:r>
    </w:p>
  </w:footnote>
  <w:footnote w:type="continuationNotice" w:id="1">
    <w:p w14:paraId="37036088" w14:textId="77777777" w:rsidR="00EF728E" w:rsidRPr="00AC3823" w:rsidRDefault="00EF728E">
      <w:pPr>
        <w:spacing w:line="240" w:lineRule="auto"/>
        <w:rPr>
          <w:sz w:val="2"/>
          <w:szCs w:val="2"/>
        </w:rPr>
      </w:pPr>
    </w:p>
  </w:footnote>
  <w:footnote w:id="2">
    <w:p w14:paraId="67467392" w14:textId="77777777" w:rsidR="00EF728E" w:rsidRPr="00A45DC5" w:rsidRDefault="00EF728E" w:rsidP="00EF728E">
      <w:pPr>
        <w:pStyle w:val="Notedebasdepage"/>
      </w:pPr>
      <w:r>
        <w:tab/>
      </w:r>
      <w:r w:rsidRPr="00EF728E">
        <w:rPr>
          <w:sz w:val="20"/>
        </w:rPr>
        <w:t>*</w:t>
      </w:r>
      <w:r>
        <w:tab/>
        <w:t>Adoptées par le Comité à sa quatre-vingt-dix-neuvième session (5-29 août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0ACA7" w14:textId="23C5A5E9" w:rsidR="00EF728E" w:rsidRPr="00C946B2" w:rsidRDefault="00EF728E">
    <w:pPr>
      <w:pStyle w:val="En-tte"/>
    </w:pPr>
    <w:fldSimple w:instr=" TITLE  \* MERGEFORMAT ">
      <w:r w:rsidR="00156000">
        <w:t>CERD/C/SLV/CO/18-19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B026B" w14:textId="2B8ECA61" w:rsidR="00EF728E" w:rsidRPr="00C946B2" w:rsidRDefault="00EF728E" w:rsidP="00C946B2">
    <w:pPr>
      <w:pStyle w:val="En-tte"/>
      <w:jc w:val="right"/>
    </w:pPr>
    <w:fldSimple w:instr=" TITLE  \* MERGEFORMAT ">
      <w:r w:rsidR="00156000">
        <w:t>CERD/C/SLV/CO/18-19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71C50"/>
    <w:rsid w:val="00017F94"/>
    <w:rsid w:val="00023842"/>
    <w:rsid w:val="000334F9"/>
    <w:rsid w:val="0007796D"/>
    <w:rsid w:val="000B7790"/>
    <w:rsid w:val="00111F2F"/>
    <w:rsid w:val="0014365E"/>
    <w:rsid w:val="00152ECA"/>
    <w:rsid w:val="00156000"/>
    <w:rsid w:val="00176178"/>
    <w:rsid w:val="001F525A"/>
    <w:rsid w:val="00203C55"/>
    <w:rsid w:val="00215BEC"/>
    <w:rsid w:val="00223272"/>
    <w:rsid w:val="0024779E"/>
    <w:rsid w:val="003763C5"/>
    <w:rsid w:val="00384AB0"/>
    <w:rsid w:val="004252BC"/>
    <w:rsid w:val="00446FE5"/>
    <w:rsid w:val="00452396"/>
    <w:rsid w:val="004F094E"/>
    <w:rsid w:val="005505B7"/>
    <w:rsid w:val="00573BE5"/>
    <w:rsid w:val="00586ED3"/>
    <w:rsid w:val="00596AA9"/>
    <w:rsid w:val="00623CA8"/>
    <w:rsid w:val="006E7989"/>
    <w:rsid w:val="00712E6E"/>
    <w:rsid w:val="0071601D"/>
    <w:rsid w:val="00760DE9"/>
    <w:rsid w:val="00780585"/>
    <w:rsid w:val="00783E9F"/>
    <w:rsid w:val="007A62E6"/>
    <w:rsid w:val="0080684C"/>
    <w:rsid w:val="00871C75"/>
    <w:rsid w:val="00873983"/>
    <w:rsid w:val="008776DC"/>
    <w:rsid w:val="009705C8"/>
    <w:rsid w:val="00984B29"/>
    <w:rsid w:val="009D5F1A"/>
    <w:rsid w:val="00A30353"/>
    <w:rsid w:val="00AC3823"/>
    <w:rsid w:val="00AE323C"/>
    <w:rsid w:val="00B00181"/>
    <w:rsid w:val="00B71C50"/>
    <w:rsid w:val="00B765F7"/>
    <w:rsid w:val="00B975EE"/>
    <w:rsid w:val="00BA0CA9"/>
    <w:rsid w:val="00BB0B66"/>
    <w:rsid w:val="00C02897"/>
    <w:rsid w:val="00C61C09"/>
    <w:rsid w:val="00C946B2"/>
    <w:rsid w:val="00D3439C"/>
    <w:rsid w:val="00DB1831"/>
    <w:rsid w:val="00DC0149"/>
    <w:rsid w:val="00DD3BFD"/>
    <w:rsid w:val="00DF6678"/>
    <w:rsid w:val="00EB58E8"/>
    <w:rsid w:val="00EF728E"/>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41BDAD"/>
  <w15:docId w15:val="{65FFA5C7-2DB9-4060-9A88-8CC6E89D4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F094E"/>
    <w:pPr>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9</Pages>
  <Words>3573</Words>
  <Characters>25013</Characters>
  <Application>Microsoft Office Word</Application>
  <DocSecurity>0</DocSecurity>
  <Lines>1667</Lines>
  <Paragraphs>608</Paragraphs>
  <ScaleCrop>false</ScaleCrop>
  <HeadingPairs>
    <vt:vector size="2" baseType="variant">
      <vt:variant>
        <vt:lpstr>Titre</vt:lpstr>
      </vt:variant>
      <vt:variant>
        <vt:i4>1</vt:i4>
      </vt:variant>
    </vt:vector>
  </HeadingPairs>
  <TitlesOfParts>
    <vt:vector size="1" baseType="lpstr">
      <vt:lpstr>CERD/C/SLV/CO/18-19</vt:lpstr>
    </vt:vector>
  </TitlesOfParts>
  <Company>DCM</Company>
  <LinksUpToDate>false</LinksUpToDate>
  <CharactersWithSpaces>27978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CERD/C/SLV/CO/18-19</dc:title>
  <dc:subject/>
  <dc:creator>Corinne ROBERT</dc:creator>
  <cp:keywords/>
  <cp:lastModifiedBy>Corinne Robert</cp:lastModifiedBy>
  <cp:revision>2</cp:revision>
  <cp:lastPrinted>2019-11-29T11:36:00Z</cp:lastPrinted>
  <dcterms:created xsi:type="dcterms:W3CDTF">2019-11-29T11:38:00Z</dcterms:created>
  <dcterms:modified xsi:type="dcterms:W3CDTF">2019-11-29T11:38:00Z</dcterms:modified>
</cp:coreProperties>
</file>