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Look w:val="01E0"/>
      </w:tblPr>
      <w:tblGrid>
        <w:gridCol w:w="1280"/>
        <w:gridCol w:w="2273"/>
        <w:gridCol w:w="3267"/>
        <w:gridCol w:w="2819"/>
      </w:tblGrid>
      <w:tr w:rsidR="00A54FBC" w:rsidTr="00076FD1">
        <w:trPr>
          <w:trHeight w:hRule="exact" w:val="851"/>
        </w:trPr>
        <w:tc>
          <w:tcPr>
            <w:tcW w:w="1280" w:type="dxa"/>
            <w:tcBorders>
              <w:bottom w:val="single" w:sz="4" w:space="0" w:color="auto"/>
            </w:tcBorders>
            <w:shd w:val="clear" w:color="auto" w:fill="auto"/>
          </w:tcPr>
          <w:p w:rsidR="00A54FBC" w:rsidRDefault="00A54FBC" w:rsidP="00076FD1"/>
        </w:tc>
        <w:tc>
          <w:tcPr>
            <w:tcW w:w="2273" w:type="dxa"/>
            <w:tcBorders>
              <w:bottom w:val="single" w:sz="4" w:space="0" w:color="auto"/>
            </w:tcBorders>
            <w:shd w:val="clear" w:color="auto" w:fill="auto"/>
            <w:vAlign w:val="bottom"/>
          </w:tcPr>
          <w:p w:rsidR="00A54FBC" w:rsidRPr="00076FD1" w:rsidRDefault="00A54FBC" w:rsidP="00076FD1">
            <w:pPr>
              <w:spacing w:after="80" w:line="300" w:lineRule="exact"/>
              <w:rPr>
                <w:sz w:val="28"/>
              </w:rPr>
            </w:pPr>
            <w:r w:rsidRPr="00076FD1">
              <w:rPr>
                <w:sz w:val="28"/>
              </w:rPr>
              <w:t>Naciones Unidas</w:t>
            </w:r>
          </w:p>
        </w:tc>
        <w:tc>
          <w:tcPr>
            <w:tcW w:w="6086" w:type="dxa"/>
            <w:gridSpan w:val="2"/>
            <w:tcBorders>
              <w:bottom w:val="single" w:sz="4" w:space="0" w:color="auto"/>
            </w:tcBorders>
            <w:shd w:val="clear" w:color="auto" w:fill="auto"/>
            <w:vAlign w:val="bottom"/>
          </w:tcPr>
          <w:p w:rsidR="00A54FBC" w:rsidRDefault="00A54FBC" w:rsidP="00076FD1">
            <w:pPr>
              <w:jc w:val="right"/>
            </w:pPr>
            <w:r w:rsidRPr="00076FD1">
              <w:rPr>
                <w:sz w:val="40"/>
              </w:rPr>
              <w:t>CAT</w:t>
            </w:r>
            <w:r>
              <w:t>/OP/</w:t>
            </w:r>
            <w:r w:rsidR="00E670E2">
              <w:t>ARG/1</w:t>
            </w:r>
          </w:p>
        </w:tc>
      </w:tr>
      <w:tr w:rsidR="00A54FBC" w:rsidTr="00076FD1">
        <w:trPr>
          <w:trHeight w:hRule="exact" w:val="2835"/>
        </w:trPr>
        <w:tc>
          <w:tcPr>
            <w:tcW w:w="1280" w:type="dxa"/>
            <w:tcBorders>
              <w:top w:val="single" w:sz="4" w:space="0" w:color="auto"/>
              <w:bottom w:val="single" w:sz="12" w:space="0" w:color="auto"/>
            </w:tcBorders>
            <w:shd w:val="clear" w:color="auto" w:fill="auto"/>
          </w:tcPr>
          <w:p w:rsidR="00A54FBC" w:rsidRDefault="00076FD1" w:rsidP="00076FD1">
            <w:pPr>
              <w:spacing w:before="120"/>
              <w:jc w:val="center"/>
            </w:pPr>
            <w:r w:rsidRPr="00076FD1">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A54FBC" w:rsidRPr="00076FD1" w:rsidRDefault="00A54FBC" w:rsidP="00076FD1">
            <w:pPr>
              <w:spacing w:before="120" w:line="380" w:lineRule="exact"/>
              <w:rPr>
                <w:b/>
                <w:sz w:val="34"/>
                <w:szCs w:val="34"/>
              </w:rPr>
            </w:pPr>
            <w:r w:rsidRPr="00076FD1">
              <w:rPr>
                <w:b/>
                <w:sz w:val="34"/>
                <w:szCs w:val="34"/>
              </w:rPr>
              <w:t>Protocolo Facultativo de la</w:t>
            </w:r>
            <w:r w:rsidRPr="00076FD1">
              <w:rPr>
                <w:b/>
                <w:sz w:val="34"/>
                <w:szCs w:val="34"/>
              </w:rPr>
              <w:br/>
              <w:t>Convención contra la Tortura</w:t>
            </w:r>
            <w:r w:rsidRPr="00076FD1">
              <w:rPr>
                <w:b/>
                <w:sz w:val="34"/>
                <w:szCs w:val="34"/>
              </w:rPr>
              <w:br/>
              <w:t>y Otros Tratos o Penas Crueles,</w:t>
            </w:r>
            <w:r w:rsidRPr="00076FD1">
              <w:rPr>
                <w:b/>
                <w:sz w:val="34"/>
                <w:szCs w:val="34"/>
              </w:rPr>
              <w:br/>
              <w:t>Inhumanos o Degradantes</w:t>
            </w:r>
          </w:p>
        </w:tc>
        <w:tc>
          <w:tcPr>
            <w:tcW w:w="2819" w:type="dxa"/>
            <w:tcBorders>
              <w:top w:val="single" w:sz="4" w:space="0" w:color="auto"/>
              <w:bottom w:val="single" w:sz="12" w:space="0" w:color="auto"/>
            </w:tcBorders>
            <w:shd w:val="clear" w:color="auto" w:fill="auto"/>
          </w:tcPr>
          <w:p w:rsidR="00A54FBC" w:rsidRDefault="00A54FBC" w:rsidP="00076FD1">
            <w:pPr>
              <w:spacing w:before="240" w:line="240" w:lineRule="exact"/>
            </w:pPr>
            <w:r>
              <w:t xml:space="preserve">Distr. </w:t>
            </w:r>
            <w:r w:rsidR="00A85C9F">
              <w:t>general</w:t>
            </w:r>
          </w:p>
          <w:p w:rsidR="00A54FBC" w:rsidRDefault="00844DC3" w:rsidP="00076FD1">
            <w:pPr>
              <w:spacing w:line="240" w:lineRule="exact"/>
            </w:pPr>
            <w:r>
              <w:t xml:space="preserve">27 </w:t>
            </w:r>
            <w:r w:rsidR="00A54FBC">
              <w:t xml:space="preserve">de </w:t>
            </w:r>
            <w:r w:rsidR="00A85C9F">
              <w:t xml:space="preserve">noviembre </w:t>
            </w:r>
            <w:r w:rsidR="00A54FBC">
              <w:t xml:space="preserve">de </w:t>
            </w:r>
            <w:r w:rsidR="00A85C9F">
              <w:t>2013</w:t>
            </w:r>
          </w:p>
          <w:p w:rsidR="00A54FBC" w:rsidRDefault="00A54FBC" w:rsidP="00076FD1">
            <w:pPr>
              <w:spacing w:line="240" w:lineRule="exact"/>
            </w:pPr>
          </w:p>
          <w:p w:rsidR="00A54FBC" w:rsidRDefault="00A54FBC" w:rsidP="00076FD1">
            <w:pPr>
              <w:spacing w:line="240" w:lineRule="exact"/>
            </w:pPr>
            <w:r>
              <w:t>Original: español</w:t>
            </w:r>
          </w:p>
        </w:tc>
      </w:tr>
    </w:tbl>
    <w:p w:rsidR="004C3BEA" w:rsidRPr="00324F62" w:rsidRDefault="004C3BEA" w:rsidP="004C3BEA">
      <w:pPr>
        <w:spacing w:before="120" w:after="240" w:line="240" w:lineRule="auto"/>
      </w:pPr>
      <w:r w:rsidRPr="00324F62">
        <w:rPr>
          <w:b/>
          <w:sz w:val="24"/>
          <w:szCs w:val="24"/>
        </w:rPr>
        <w:t>Subcomité para la Prevención de la Tortura y Otros</w:t>
      </w:r>
      <w:r w:rsidRPr="00324F62">
        <w:rPr>
          <w:b/>
          <w:sz w:val="24"/>
          <w:szCs w:val="24"/>
        </w:rPr>
        <w:br/>
        <w:t>Tratos o Penas Crueles, Inhumanos o Degradantes</w:t>
      </w:r>
    </w:p>
    <w:p w:rsidR="00A54FBC" w:rsidRPr="003F41C7" w:rsidRDefault="00A54FBC" w:rsidP="00A54FBC">
      <w:pPr>
        <w:pStyle w:val="H23G"/>
        <w:rPr>
          <w:lang w:val="es-ES_tradnl"/>
        </w:rPr>
      </w:pPr>
      <w:r>
        <w:rPr>
          <w:lang w:val="es-ES_tradnl"/>
        </w:rPr>
        <w:tab/>
      </w:r>
      <w:r w:rsidRPr="003F41C7">
        <w:rPr>
          <w:lang w:val="es-ES_tradnl"/>
        </w:rPr>
        <w:tab/>
      </w:r>
    </w:p>
    <w:p w:rsidR="00A54FBC" w:rsidRPr="003F41C7" w:rsidRDefault="00A54FBC" w:rsidP="00324F62">
      <w:pPr>
        <w:pStyle w:val="HChG"/>
        <w:tabs>
          <w:tab w:val="left" w:pos="9356"/>
        </w:tabs>
        <w:rPr>
          <w:lang w:val="es-ES_tradnl"/>
        </w:rPr>
      </w:pPr>
      <w:r>
        <w:rPr>
          <w:lang w:val="es-ES_tradnl"/>
        </w:rPr>
        <w:tab/>
      </w:r>
      <w:r>
        <w:rPr>
          <w:lang w:val="es-ES_tradnl"/>
        </w:rPr>
        <w:tab/>
      </w:r>
      <w:r w:rsidRPr="00844DC3">
        <w:rPr>
          <w:sz w:val="34"/>
          <w:szCs w:val="34"/>
          <w:lang w:val="es-ES_tradnl"/>
        </w:rPr>
        <w:t xml:space="preserve">Informe sobre la visita a </w:t>
      </w:r>
      <w:r w:rsidR="00766910" w:rsidRPr="00844DC3">
        <w:rPr>
          <w:sz w:val="34"/>
          <w:szCs w:val="34"/>
          <w:lang w:val="es-ES_tradnl"/>
        </w:rPr>
        <w:t xml:space="preserve">Argentina </w:t>
      </w:r>
      <w:r w:rsidRPr="00844DC3">
        <w:rPr>
          <w:sz w:val="34"/>
          <w:szCs w:val="34"/>
          <w:lang w:val="es-ES_tradnl"/>
        </w:rPr>
        <w:t>del Subcomité para la prevención de la tortura y otros tratos o penas crueles, inhumanos o degradantes</w:t>
      </w:r>
      <w:r w:rsidR="004D1DBA" w:rsidRPr="00324F62">
        <w:rPr>
          <w:rStyle w:val="FootnoteReference"/>
          <w:sz w:val="20"/>
          <w:vertAlign w:val="baseline"/>
          <w:lang w:val="es-ES_tradnl"/>
        </w:rPr>
        <w:footnoteReference w:customMarkFollows="1" w:id="1"/>
        <w:t>*</w:t>
      </w:r>
      <w:r w:rsidR="00324F62">
        <w:rPr>
          <w:sz w:val="20"/>
          <w:lang w:val="es-ES_tradnl"/>
        </w:rPr>
        <w:t xml:space="preserve"> </w:t>
      </w:r>
      <w:r w:rsidR="004D1DBA" w:rsidRPr="00324F62">
        <w:rPr>
          <w:rStyle w:val="FootnoteReference"/>
          <w:sz w:val="20"/>
          <w:vertAlign w:val="baseline"/>
          <w:lang w:val="es-ES_tradnl"/>
        </w:rPr>
        <w:footnoteReference w:customMarkFollows="1" w:id="2"/>
        <w:t>**</w:t>
      </w:r>
    </w:p>
    <w:p w:rsidR="00844DC3" w:rsidRDefault="00844DC3" w:rsidP="00766910">
      <w:pPr>
        <w:spacing w:after="120"/>
        <w:rPr>
          <w:lang w:val="es-ES_tradnl"/>
        </w:rPr>
      </w:pPr>
    </w:p>
    <w:p w:rsidR="00844DC3" w:rsidRPr="00844DC3" w:rsidRDefault="00844DC3" w:rsidP="00844DC3">
      <w:pPr>
        <w:rPr>
          <w:lang w:val="es-ES_tradnl"/>
        </w:rPr>
      </w:pPr>
    </w:p>
    <w:p w:rsidR="00844DC3" w:rsidRPr="00844DC3" w:rsidRDefault="00844DC3" w:rsidP="00844DC3">
      <w:pPr>
        <w:rPr>
          <w:lang w:val="es-ES_tradnl"/>
        </w:rPr>
      </w:pPr>
    </w:p>
    <w:p w:rsidR="00844DC3" w:rsidRPr="00844DC3" w:rsidRDefault="00844DC3" w:rsidP="00844DC3">
      <w:pPr>
        <w:rPr>
          <w:lang w:val="es-ES_tradnl"/>
        </w:rPr>
      </w:pPr>
    </w:p>
    <w:p w:rsidR="00844DC3" w:rsidRPr="00844DC3" w:rsidRDefault="00844DC3" w:rsidP="00844DC3">
      <w:pPr>
        <w:rPr>
          <w:lang w:val="es-ES_tradnl"/>
        </w:rPr>
      </w:pPr>
    </w:p>
    <w:p w:rsidR="00844DC3" w:rsidRPr="00844DC3" w:rsidRDefault="00844DC3" w:rsidP="00844DC3">
      <w:pPr>
        <w:rPr>
          <w:lang w:val="es-ES_tradnl"/>
        </w:rPr>
      </w:pPr>
    </w:p>
    <w:p w:rsidR="00844DC3" w:rsidRPr="00844DC3" w:rsidRDefault="00844DC3" w:rsidP="00844DC3">
      <w:pPr>
        <w:rPr>
          <w:lang w:val="es-ES_tradnl"/>
        </w:rPr>
      </w:pPr>
    </w:p>
    <w:p w:rsidR="00844DC3" w:rsidRPr="00844DC3" w:rsidRDefault="00844DC3" w:rsidP="00844DC3">
      <w:pPr>
        <w:rPr>
          <w:lang w:val="es-ES_tradnl"/>
        </w:rPr>
      </w:pPr>
    </w:p>
    <w:p w:rsidR="00844DC3" w:rsidRDefault="00844DC3" w:rsidP="00766910">
      <w:pPr>
        <w:spacing w:after="120"/>
        <w:rPr>
          <w:lang w:val="es-ES_tradnl"/>
        </w:rPr>
      </w:pPr>
    </w:p>
    <w:p w:rsidR="00844DC3" w:rsidRPr="00844DC3" w:rsidRDefault="00844DC3" w:rsidP="00844DC3">
      <w:pPr>
        <w:rPr>
          <w:lang w:val="es-ES_tradnl"/>
        </w:rPr>
      </w:pPr>
    </w:p>
    <w:p w:rsidR="00844DC3" w:rsidRDefault="00844DC3" w:rsidP="00766910">
      <w:pPr>
        <w:spacing w:after="120"/>
        <w:rPr>
          <w:lang w:val="es-ES_tradnl"/>
        </w:rPr>
      </w:pPr>
    </w:p>
    <w:p w:rsidR="00844DC3" w:rsidRDefault="00844DC3" w:rsidP="00844DC3">
      <w:pPr>
        <w:tabs>
          <w:tab w:val="left" w:pos="5325"/>
        </w:tabs>
        <w:spacing w:after="120"/>
        <w:rPr>
          <w:lang w:val="es-ES_tradnl"/>
        </w:rPr>
      </w:pPr>
      <w:r>
        <w:rPr>
          <w:lang w:val="es-ES_tradnl"/>
        </w:rPr>
        <w:tab/>
      </w:r>
    </w:p>
    <w:p w:rsidR="00CC0F1F" w:rsidRPr="00E407F9" w:rsidRDefault="00A54FBC" w:rsidP="00766910">
      <w:pPr>
        <w:spacing w:after="120"/>
        <w:rPr>
          <w:sz w:val="28"/>
          <w:lang w:val="es-ES_tradnl"/>
        </w:rPr>
      </w:pPr>
      <w:r w:rsidRPr="00844DC3">
        <w:rPr>
          <w:lang w:val="es-ES_tradnl"/>
        </w:rPr>
        <w:br w:type="page"/>
      </w:r>
      <w:r w:rsidRPr="00A62CC0">
        <w:rPr>
          <w:sz w:val="28"/>
          <w:lang w:val="es-ES_tradnl"/>
        </w:rPr>
        <w:t>Índice</w:t>
      </w:r>
    </w:p>
    <w:p w:rsidR="00CC0F1F" w:rsidRPr="00E407F9" w:rsidRDefault="00CC0F1F" w:rsidP="00CC0F1F">
      <w:pPr>
        <w:pStyle w:val="SingleTxtG"/>
        <w:tabs>
          <w:tab w:val="right" w:pos="8929"/>
          <w:tab w:val="right" w:pos="9638"/>
        </w:tabs>
        <w:ind w:left="283" w:right="0"/>
        <w:jc w:val="left"/>
        <w:rPr>
          <w:sz w:val="18"/>
          <w:lang w:val="es-ES_tradnl"/>
        </w:rPr>
      </w:pPr>
      <w:r w:rsidRPr="00E407F9">
        <w:rPr>
          <w:i/>
          <w:sz w:val="18"/>
          <w:lang w:val="es-ES_tradnl"/>
        </w:rPr>
        <w:tab/>
        <w:t>Párrafos</w:t>
      </w:r>
      <w:r w:rsidRPr="00E407F9">
        <w:rPr>
          <w:i/>
          <w:sz w:val="18"/>
          <w:lang w:val="es-ES_tradnl"/>
        </w:rPr>
        <w:tab/>
        <w:t>Página</w:t>
      </w:r>
    </w:p>
    <w:p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t>I.</w:t>
      </w:r>
      <w:r w:rsidRPr="00E407F9">
        <w:rPr>
          <w:lang w:val="es-ES_tradnl"/>
        </w:rPr>
        <w:tab/>
        <w:t>Introducción</w:t>
      </w:r>
      <w:r w:rsidRPr="00E407F9">
        <w:rPr>
          <w:lang w:val="es-ES_tradnl"/>
        </w:rPr>
        <w:tab/>
      </w:r>
      <w:r w:rsidRPr="00E407F9">
        <w:rPr>
          <w:lang w:val="es-ES_tradnl"/>
        </w:rPr>
        <w:tab/>
      </w:r>
      <w:r w:rsidR="00E03D92">
        <w:rPr>
          <w:lang w:val="es-ES_tradnl"/>
        </w:rPr>
        <w:t>1-14</w:t>
      </w:r>
      <w:r w:rsidR="00B353B2">
        <w:rPr>
          <w:lang w:val="es-ES_tradnl"/>
        </w:rPr>
        <w:tab/>
      </w:r>
      <w:r w:rsidR="006B2782">
        <w:rPr>
          <w:lang w:val="es-ES_tradnl"/>
        </w:rPr>
        <w:t>3-4</w:t>
      </w:r>
    </w:p>
    <w:p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t>II.</w:t>
      </w:r>
      <w:r w:rsidRPr="00E407F9">
        <w:rPr>
          <w:lang w:val="es-ES_tradnl"/>
        </w:rPr>
        <w:tab/>
        <w:t>Mecanismo nacional de prevención</w:t>
      </w:r>
      <w:r w:rsidRPr="00E407F9">
        <w:rPr>
          <w:lang w:val="es-ES_tradnl"/>
        </w:rPr>
        <w:tab/>
      </w:r>
      <w:r w:rsidRPr="00E407F9">
        <w:rPr>
          <w:lang w:val="es-ES_tradnl"/>
        </w:rPr>
        <w:tab/>
      </w:r>
      <w:r w:rsidR="00E03D92">
        <w:rPr>
          <w:lang w:val="es-ES_tradnl"/>
        </w:rPr>
        <w:t>15-16</w:t>
      </w:r>
      <w:r w:rsidR="006B2782">
        <w:rPr>
          <w:lang w:val="es-ES_tradnl"/>
        </w:rPr>
        <w:tab/>
        <w:t>4</w:t>
      </w:r>
    </w:p>
    <w:p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t>III.</w:t>
      </w:r>
      <w:r w:rsidRPr="00E407F9">
        <w:rPr>
          <w:lang w:val="es-ES_tradnl"/>
        </w:rPr>
        <w:tab/>
        <w:t>Situación de las personas privadas de libertad</w:t>
      </w:r>
      <w:r w:rsidRPr="00E407F9">
        <w:rPr>
          <w:lang w:val="es-ES_tradnl"/>
        </w:rPr>
        <w:tab/>
      </w:r>
      <w:r w:rsidRPr="00E407F9">
        <w:rPr>
          <w:lang w:val="es-ES_tradnl"/>
        </w:rPr>
        <w:tab/>
      </w:r>
      <w:r w:rsidR="00E03D92">
        <w:rPr>
          <w:lang w:val="es-ES_tradnl"/>
        </w:rPr>
        <w:t>17-102</w:t>
      </w:r>
      <w:r w:rsidR="006B2782">
        <w:rPr>
          <w:lang w:val="es-ES_tradnl"/>
        </w:rPr>
        <w:tab/>
        <w:t>5-19</w:t>
      </w:r>
    </w:p>
    <w:p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r>
      <w:r w:rsidRPr="00E407F9">
        <w:rPr>
          <w:lang w:val="es-ES_tradnl"/>
        </w:rPr>
        <w:tab/>
        <w:t>A.</w:t>
      </w:r>
      <w:r w:rsidRPr="00E407F9">
        <w:rPr>
          <w:lang w:val="es-ES_tradnl"/>
        </w:rPr>
        <w:tab/>
        <w:t>Detención policial</w:t>
      </w:r>
      <w:r w:rsidRPr="00E407F9">
        <w:rPr>
          <w:lang w:val="es-ES_tradnl"/>
        </w:rPr>
        <w:tab/>
      </w:r>
      <w:r w:rsidR="00347E1F" w:rsidRPr="00E407F9">
        <w:rPr>
          <w:lang w:val="es-ES_tradnl"/>
        </w:rPr>
        <w:tab/>
      </w:r>
      <w:r w:rsidR="00E03D92">
        <w:rPr>
          <w:lang w:val="es-ES_tradnl"/>
        </w:rPr>
        <w:t>17-34</w:t>
      </w:r>
      <w:r w:rsidR="006B2782">
        <w:rPr>
          <w:lang w:val="es-ES_tradnl"/>
        </w:rPr>
        <w:tab/>
        <w:t>5-7</w:t>
      </w:r>
    </w:p>
    <w:p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r>
      <w:r w:rsidRPr="00E407F9">
        <w:rPr>
          <w:lang w:val="es-ES_tradnl"/>
        </w:rPr>
        <w:tab/>
        <w:t>B.</w:t>
      </w:r>
      <w:r w:rsidRPr="00E407F9">
        <w:rPr>
          <w:lang w:val="es-ES_tradnl"/>
        </w:rPr>
        <w:tab/>
        <w:t>Establecimientos penitenciarios</w:t>
      </w:r>
      <w:r w:rsidRPr="00E407F9">
        <w:rPr>
          <w:lang w:val="es-ES_tradnl"/>
        </w:rPr>
        <w:tab/>
      </w:r>
      <w:r w:rsidR="003571E8" w:rsidRPr="00E407F9">
        <w:rPr>
          <w:lang w:val="es-ES_tradnl"/>
        </w:rPr>
        <w:tab/>
      </w:r>
      <w:r w:rsidR="00E03D92">
        <w:rPr>
          <w:lang w:val="es-ES_tradnl"/>
        </w:rPr>
        <w:t>35-88</w:t>
      </w:r>
      <w:r w:rsidR="006B2782">
        <w:rPr>
          <w:lang w:val="es-ES_tradnl"/>
        </w:rPr>
        <w:tab/>
        <w:t>7-16</w:t>
      </w:r>
    </w:p>
    <w:p w:rsidR="00B353B2"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r>
      <w:r w:rsidRPr="00E407F9">
        <w:rPr>
          <w:lang w:val="es-ES_tradnl"/>
        </w:rPr>
        <w:tab/>
      </w:r>
      <w:r w:rsidR="00234DB7" w:rsidRPr="00E407F9">
        <w:rPr>
          <w:lang w:val="es-ES_tradnl"/>
        </w:rPr>
        <w:t>C</w:t>
      </w:r>
      <w:r w:rsidRPr="00E407F9">
        <w:rPr>
          <w:lang w:val="es-ES_tradnl"/>
        </w:rPr>
        <w:t>.</w:t>
      </w:r>
      <w:r w:rsidRPr="00E407F9">
        <w:rPr>
          <w:lang w:val="es-ES_tradnl"/>
        </w:rPr>
        <w:tab/>
      </w:r>
      <w:r w:rsidR="00B353B2">
        <w:rPr>
          <w:lang w:val="es-ES_tradnl"/>
        </w:rPr>
        <w:t>Centros de detención juvenil</w:t>
      </w:r>
      <w:r w:rsidRPr="00E407F9">
        <w:rPr>
          <w:lang w:val="es-ES_tradnl"/>
        </w:rPr>
        <w:tab/>
      </w:r>
      <w:r w:rsidR="00E03D92">
        <w:rPr>
          <w:lang w:val="es-ES_tradnl"/>
        </w:rPr>
        <w:tab/>
        <w:t>89-93</w:t>
      </w:r>
      <w:r w:rsidR="006B2782">
        <w:rPr>
          <w:lang w:val="es-ES_tradnl"/>
        </w:rPr>
        <w:tab/>
        <w:t>16-17</w:t>
      </w:r>
    </w:p>
    <w:p w:rsidR="004008D6" w:rsidRDefault="00B353B2"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D.</w:t>
      </w:r>
      <w:r>
        <w:rPr>
          <w:lang w:val="es-ES_tradnl"/>
        </w:rPr>
        <w:tab/>
        <w:t>Instituciones psiquiátricas</w:t>
      </w:r>
      <w:r w:rsidR="00347E1F" w:rsidRPr="00E407F9">
        <w:rPr>
          <w:lang w:val="es-ES_tradnl"/>
        </w:rPr>
        <w:tab/>
      </w:r>
      <w:r w:rsidR="00E03D92">
        <w:rPr>
          <w:lang w:val="es-ES_tradnl"/>
        </w:rPr>
        <w:tab/>
        <w:t>94-102</w:t>
      </w:r>
      <w:r w:rsidR="006B2782">
        <w:rPr>
          <w:lang w:val="es-ES_tradnl"/>
        </w:rPr>
        <w:tab/>
        <w:t>17-19</w:t>
      </w:r>
    </w:p>
    <w:p w:rsidR="00B353B2" w:rsidRDefault="00B353B2"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IV.</w:t>
      </w:r>
      <w:r>
        <w:rPr>
          <w:lang w:val="es-ES_tradnl"/>
        </w:rPr>
        <w:tab/>
        <w:t>La investigación de la tortura y malos tratos</w:t>
      </w:r>
      <w:r>
        <w:rPr>
          <w:lang w:val="es-ES_tradnl"/>
        </w:rPr>
        <w:tab/>
      </w:r>
      <w:r w:rsidR="00E03D92">
        <w:rPr>
          <w:lang w:val="es-ES_tradnl"/>
        </w:rPr>
        <w:tab/>
        <w:t>103-114</w:t>
      </w:r>
      <w:r w:rsidR="006B2782">
        <w:rPr>
          <w:lang w:val="es-ES_tradnl"/>
        </w:rPr>
        <w:tab/>
        <w:t>19-21</w:t>
      </w:r>
    </w:p>
    <w:p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t>Anexos</w:t>
      </w:r>
    </w:p>
    <w:p w:rsidR="00E03D92" w:rsidRDefault="004008D6" w:rsidP="00E03D92">
      <w:pPr>
        <w:pStyle w:val="SingleTxtG"/>
        <w:numPr>
          <w:ilvl w:val="0"/>
          <w:numId w:val="25"/>
        </w:numPr>
        <w:tabs>
          <w:tab w:val="right" w:pos="850"/>
          <w:tab w:val="left" w:pos="1134"/>
          <w:tab w:val="left" w:pos="1559"/>
          <w:tab w:val="left" w:pos="1984"/>
          <w:tab w:val="left" w:leader="dot" w:pos="8787"/>
          <w:tab w:val="right" w:pos="9638"/>
        </w:tabs>
        <w:ind w:right="0"/>
        <w:jc w:val="left"/>
        <w:rPr>
          <w:lang w:val="es-ES_tradnl"/>
        </w:rPr>
      </w:pPr>
      <w:r w:rsidRPr="00E407F9">
        <w:rPr>
          <w:lang w:val="es-ES_tradnl"/>
        </w:rPr>
        <w:t>Lista de las personas con quienes se reunió el Subcomité</w:t>
      </w:r>
      <w:r w:rsidR="006B2782">
        <w:rPr>
          <w:lang w:val="es-ES_tradnl"/>
        </w:rPr>
        <w:tab/>
      </w:r>
      <w:r w:rsidR="006B2782">
        <w:rPr>
          <w:lang w:val="es-ES_tradnl"/>
        </w:rPr>
        <w:tab/>
        <w:t>22-24</w:t>
      </w:r>
    </w:p>
    <w:p w:rsidR="004008D6" w:rsidRPr="00E407F9" w:rsidRDefault="004008D6" w:rsidP="00E03D92">
      <w:pPr>
        <w:pStyle w:val="SingleTxtG"/>
        <w:numPr>
          <w:ilvl w:val="0"/>
          <w:numId w:val="25"/>
        </w:numPr>
        <w:tabs>
          <w:tab w:val="right" w:pos="850"/>
          <w:tab w:val="left" w:pos="1134"/>
          <w:tab w:val="left" w:pos="1559"/>
          <w:tab w:val="left" w:pos="1984"/>
          <w:tab w:val="left" w:leader="dot" w:pos="8787"/>
          <w:tab w:val="right" w:pos="9638"/>
        </w:tabs>
        <w:ind w:right="0"/>
        <w:jc w:val="left"/>
        <w:rPr>
          <w:lang w:val="es-ES_tradnl"/>
        </w:rPr>
      </w:pPr>
      <w:r w:rsidRPr="00E407F9">
        <w:rPr>
          <w:lang w:val="es-ES_tradnl"/>
        </w:rPr>
        <w:t>Lugares de privación de libertad visitados</w:t>
      </w:r>
      <w:r w:rsidR="006B2782">
        <w:rPr>
          <w:lang w:val="es-ES_tradnl"/>
        </w:rPr>
        <w:tab/>
      </w:r>
      <w:r w:rsidR="006B2782">
        <w:rPr>
          <w:lang w:val="es-ES_tradnl"/>
        </w:rPr>
        <w:tab/>
        <w:t>25-26</w:t>
      </w:r>
    </w:p>
    <w:p w:rsidR="00CC0F1F" w:rsidRPr="00E407F9" w:rsidRDefault="00CC0F1F" w:rsidP="00CC0F1F">
      <w:pPr>
        <w:pStyle w:val="HChG"/>
        <w:rPr>
          <w:lang w:val="es-ES_tradnl"/>
        </w:rPr>
      </w:pPr>
      <w:r w:rsidRPr="00E407F9">
        <w:rPr>
          <w:lang w:val="es-ES_tradnl"/>
        </w:rPr>
        <w:br w:type="page"/>
      </w:r>
      <w:r w:rsidRPr="00E407F9">
        <w:rPr>
          <w:lang w:val="es-ES_tradnl"/>
        </w:rPr>
        <w:tab/>
      </w:r>
      <w:bookmarkStart w:id="0" w:name="_Toc332721018"/>
      <w:r w:rsidRPr="00E407F9">
        <w:rPr>
          <w:lang w:val="es-ES_tradnl"/>
        </w:rPr>
        <w:t>I.</w:t>
      </w:r>
      <w:r w:rsidRPr="00E407F9">
        <w:rPr>
          <w:lang w:val="es-ES_tradnl"/>
        </w:rPr>
        <w:tab/>
        <w:t>Introducción</w:t>
      </w:r>
      <w:bookmarkEnd w:id="0"/>
      <w:r w:rsidR="00F2343A" w:rsidRPr="00E407F9">
        <w:rPr>
          <w:lang w:val="es-ES_tradnl"/>
        </w:rPr>
        <w:t xml:space="preserve"> </w:t>
      </w:r>
    </w:p>
    <w:p w:rsidR="00CC0F1F" w:rsidRPr="00E407F9" w:rsidRDefault="00CC0F1F" w:rsidP="00CC0F1F">
      <w:pPr>
        <w:pStyle w:val="SingleTxtG"/>
        <w:rPr>
          <w:lang w:val="es-ES_tradnl"/>
        </w:rPr>
      </w:pPr>
      <w:r w:rsidRPr="00E407F9">
        <w:rPr>
          <w:lang w:val="es-ES_tradnl"/>
        </w:rPr>
        <w:t>1.</w:t>
      </w:r>
      <w:r w:rsidRPr="00E407F9">
        <w:rPr>
          <w:lang w:val="es-ES_tradnl"/>
        </w:rPr>
        <w:tab/>
        <w:t>De conformidad con lo dispuesto en los artículos 1 y 11 del Protocolo Facultativo de la Convención contra la Tortura y Otros Tratos o Penas Crueles, Inhumanos o Degradantes (en lo sucesivo "el Protocolo Facultativo"), el Subcomité para la Prevención de la Tortura (en lo sucesivo "el Su</w:t>
      </w:r>
      <w:r w:rsidR="00764760" w:rsidRPr="00E407F9">
        <w:rPr>
          <w:lang w:val="es-ES_tradnl"/>
        </w:rPr>
        <w:t>bcomité") realizó una visita a la República Argentina del 18 al 27</w:t>
      </w:r>
      <w:r w:rsidRPr="00E407F9">
        <w:rPr>
          <w:lang w:val="es-ES_tradnl"/>
        </w:rPr>
        <w:t xml:space="preserve"> de </w:t>
      </w:r>
      <w:r w:rsidR="00991590" w:rsidRPr="00E407F9">
        <w:rPr>
          <w:lang w:val="es-ES_tradnl"/>
        </w:rPr>
        <w:t>abril de 2012</w:t>
      </w:r>
      <w:r w:rsidRPr="00E407F9">
        <w:rPr>
          <w:rStyle w:val="FootnoteReference"/>
          <w:lang w:val="es-ES_tradnl"/>
        </w:rPr>
        <w:footnoteReference w:id="3"/>
      </w:r>
      <w:r w:rsidR="00991590" w:rsidRPr="00E407F9">
        <w:rPr>
          <w:lang w:val="es-ES_tradnl"/>
        </w:rPr>
        <w:t>.</w:t>
      </w:r>
    </w:p>
    <w:p w:rsidR="00CC0F1F" w:rsidRPr="00E407F9" w:rsidRDefault="00CC0F1F" w:rsidP="00CC0F1F">
      <w:pPr>
        <w:pStyle w:val="SingleTxtG"/>
        <w:rPr>
          <w:lang w:val="es-ES_tradnl"/>
        </w:rPr>
      </w:pPr>
      <w:r w:rsidRPr="00E407F9">
        <w:rPr>
          <w:lang w:val="es-ES_tradnl"/>
        </w:rPr>
        <w:t>2.</w:t>
      </w:r>
      <w:r w:rsidRPr="00E407F9">
        <w:rPr>
          <w:lang w:val="es-ES_tradnl"/>
        </w:rPr>
        <w:tab/>
        <w:t xml:space="preserve">El Subcomité estuvo representado por los siguientes miembros: </w:t>
      </w:r>
      <w:r w:rsidR="00764760" w:rsidRPr="00E407F9">
        <w:rPr>
          <w:lang w:val="es-ES_tradnl"/>
        </w:rPr>
        <w:t>Víctor Rodríguez-Rescia</w:t>
      </w:r>
      <w:r w:rsidRPr="00E407F9">
        <w:rPr>
          <w:lang w:val="es-ES_tradnl"/>
        </w:rPr>
        <w:t xml:space="preserve"> (Jefe de la delegación), Marija Definis-Gojanovic,</w:t>
      </w:r>
      <w:r w:rsidR="004B5F29" w:rsidRPr="00E407F9">
        <w:rPr>
          <w:lang w:val="es-ES_tradnl"/>
        </w:rPr>
        <w:t xml:space="preserve"> Emilio Ginés</w:t>
      </w:r>
      <w:r w:rsidR="00764760" w:rsidRPr="00E407F9">
        <w:rPr>
          <w:lang w:val="es-ES_tradnl"/>
        </w:rPr>
        <w:t>, Zdenek Hajek, Lowell Goddard y Miguel Sarre</w:t>
      </w:r>
      <w:r w:rsidRPr="00E407F9">
        <w:rPr>
          <w:lang w:val="es-ES_tradnl"/>
        </w:rPr>
        <w:t>.</w:t>
      </w:r>
    </w:p>
    <w:p w:rsidR="00CC0F1F" w:rsidRPr="00E407F9" w:rsidRDefault="00CC0F1F" w:rsidP="00CC0F1F">
      <w:pPr>
        <w:pStyle w:val="SingleTxtG"/>
        <w:rPr>
          <w:lang w:val="es-ES_tradnl"/>
        </w:rPr>
      </w:pPr>
      <w:r w:rsidRPr="00E407F9">
        <w:rPr>
          <w:lang w:val="es-ES_tradnl"/>
        </w:rPr>
        <w:t>3.</w:t>
      </w:r>
      <w:r w:rsidRPr="00E407F9">
        <w:rPr>
          <w:lang w:val="es-ES_tradnl"/>
        </w:rPr>
        <w:tab/>
        <w:t>El Subcomité contó con la asistencia de cuatro oficiales de derechos humanos de la Oficina del Alto Comisionado de las Naciones Unidas para los Derechos Humanos (ACNUDH). Además, contó con la asistencia de intérpretes y oficiales de seguridad de las Naciones Unidas.</w:t>
      </w:r>
    </w:p>
    <w:p w:rsidR="00CC0F1F" w:rsidRPr="00E407F9" w:rsidRDefault="00764760" w:rsidP="00CC0F1F">
      <w:pPr>
        <w:pStyle w:val="SingleTxtG"/>
        <w:rPr>
          <w:lang w:val="es-ES_tradnl"/>
        </w:rPr>
      </w:pPr>
      <w:r w:rsidRPr="00E407F9">
        <w:rPr>
          <w:lang w:val="es-ES_tradnl"/>
        </w:rPr>
        <w:t>4.</w:t>
      </w:r>
      <w:r w:rsidRPr="00E407F9">
        <w:rPr>
          <w:lang w:val="es-ES_tradnl"/>
        </w:rPr>
        <w:tab/>
        <w:t>Durante su visita</w:t>
      </w:r>
      <w:r w:rsidR="00CC0F1F" w:rsidRPr="00E407F9">
        <w:rPr>
          <w:lang w:val="es-ES_tradnl"/>
        </w:rPr>
        <w:t xml:space="preserve">, el Subcomité </w:t>
      </w:r>
      <w:r w:rsidR="00941692">
        <w:rPr>
          <w:lang w:val="es-ES_tradnl"/>
        </w:rPr>
        <w:t xml:space="preserve">concentró sus actividades </w:t>
      </w:r>
      <w:r w:rsidR="00CC0F1F" w:rsidRPr="00E407F9">
        <w:rPr>
          <w:lang w:val="es-ES_tradnl"/>
        </w:rPr>
        <w:t xml:space="preserve"> en </w:t>
      </w:r>
      <w:r w:rsidRPr="00E407F9">
        <w:rPr>
          <w:lang w:val="es-ES_tradnl"/>
        </w:rPr>
        <w:t xml:space="preserve">la Provincia de Buenos Aires y en la </w:t>
      </w:r>
      <w:r w:rsidR="00991590" w:rsidRPr="00E407F9">
        <w:rPr>
          <w:lang w:val="es-ES_tradnl"/>
        </w:rPr>
        <w:t>Ciudad Autónoma de Buenos Aires</w:t>
      </w:r>
      <w:r w:rsidR="00CC0F1F" w:rsidRPr="00E407F9">
        <w:rPr>
          <w:rStyle w:val="FootnoteReference"/>
          <w:lang w:val="es-ES_tradnl"/>
        </w:rPr>
        <w:footnoteReference w:id="4"/>
      </w:r>
      <w:r w:rsidR="00991590" w:rsidRPr="00E407F9">
        <w:rPr>
          <w:lang w:val="es-ES_tradnl"/>
        </w:rPr>
        <w:t>.</w:t>
      </w:r>
    </w:p>
    <w:p w:rsidR="00CC0F1F" w:rsidRPr="00E407F9" w:rsidRDefault="00CC0F1F" w:rsidP="00CC0F1F">
      <w:pPr>
        <w:pStyle w:val="SingleTxtG"/>
        <w:rPr>
          <w:lang w:val="es-ES_tradnl"/>
        </w:rPr>
      </w:pPr>
      <w:r w:rsidRPr="00E407F9">
        <w:rPr>
          <w:lang w:val="es-ES_tradnl"/>
        </w:rPr>
        <w:t>5.</w:t>
      </w:r>
      <w:r w:rsidRPr="00E407F9">
        <w:rPr>
          <w:lang w:val="es-ES_tradnl"/>
        </w:rPr>
        <w:tab/>
        <w:t xml:space="preserve">Aunque el presente informe no </w:t>
      </w:r>
      <w:r w:rsidR="00941692">
        <w:rPr>
          <w:lang w:val="es-ES_tradnl"/>
        </w:rPr>
        <w:t xml:space="preserve">alude en detalle a </w:t>
      </w:r>
      <w:r w:rsidRPr="00E407F9">
        <w:rPr>
          <w:lang w:val="es-ES_tradnl"/>
        </w:rPr>
        <w:t xml:space="preserve"> todos los lugares visitados, el Subcomité se reserva el derecho de referirse a cualquiera de ellos en el diálogo que mantenga en el futuro con el Estado parte. La ausencia de observaciones en el informe acerca de una determinada institución visitada </w:t>
      </w:r>
      <w:r w:rsidR="00941692">
        <w:rPr>
          <w:lang w:val="es-ES_tradnl"/>
        </w:rPr>
        <w:t>no implica que</w:t>
      </w:r>
      <w:r w:rsidRPr="00E407F9">
        <w:rPr>
          <w:lang w:val="es-ES_tradnl"/>
        </w:rPr>
        <w:t xml:space="preserve"> el Subcomité  haya llegado a una conclusión, favorable o desfavorable, en relación con </w:t>
      </w:r>
      <w:r w:rsidR="00941692">
        <w:rPr>
          <w:lang w:val="es-ES_tradnl"/>
        </w:rPr>
        <w:t>la misma</w:t>
      </w:r>
      <w:r w:rsidRPr="00E407F9">
        <w:rPr>
          <w:lang w:val="es-ES_tradnl"/>
        </w:rPr>
        <w:t>.</w:t>
      </w:r>
    </w:p>
    <w:p w:rsidR="00CC0F1F" w:rsidRPr="00E407F9" w:rsidRDefault="00CC0F1F" w:rsidP="00CC0F1F">
      <w:pPr>
        <w:pStyle w:val="SingleTxtG"/>
        <w:rPr>
          <w:lang w:val="es-ES_tradnl"/>
        </w:rPr>
      </w:pPr>
      <w:r w:rsidRPr="00E407F9">
        <w:rPr>
          <w:lang w:val="es-ES_tradnl"/>
        </w:rPr>
        <w:t>6.</w:t>
      </w:r>
      <w:r w:rsidRPr="00E407F9">
        <w:rPr>
          <w:lang w:val="es-ES_tradnl"/>
        </w:rPr>
        <w:tab/>
        <w:t xml:space="preserve">Además de visitar lugares de </w:t>
      </w:r>
      <w:r w:rsidR="00941692">
        <w:rPr>
          <w:lang w:val="es-ES_tradnl"/>
        </w:rPr>
        <w:t>privación de libertad</w:t>
      </w:r>
      <w:r w:rsidRPr="00E407F9">
        <w:rPr>
          <w:lang w:val="es-ES_tradnl"/>
        </w:rPr>
        <w:t xml:space="preserve">, el Subcomité mantuvo reuniones con autoridades gubernamentales, con </w:t>
      </w:r>
      <w:r w:rsidR="00941692">
        <w:rPr>
          <w:lang w:val="es-ES_tradnl"/>
        </w:rPr>
        <w:t xml:space="preserve">representantes </w:t>
      </w:r>
      <w:r w:rsidRPr="00E407F9">
        <w:rPr>
          <w:lang w:val="es-ES_tradnl"/>
        </w:rPr>
        <w:t xml:space="preserve"> del sistema de las Naciones Unidas en el país y con miembros de la sociedad civil</w:t>
      </w:r>
      <w:r w:rsidRPr="00E407F9">
        <w:rPr>
          <w:rStyle w:val="FootnoteReference"/>
          <w:lang w:val="es-ES_tradnl"/>
        </w:rPr>
        <w:footnoteReference w:id="5"/>
      </w:r>
      <w:r w:rsidR="00991590" w:rsidRPr="00E407F9">
        <w:rPr>
          <w:lang w:val="es-ES_tradnl"/>
        </w:rPr>
        <w:t>.</w:t>
      </w:r>
      <w:r w:rsidRPr="00E407F9">
        <w:rPr>
          <w:lang w:val="es-ES_tradnl"/>
        </w:rPr>
        <w:t xml:space="preserve"> El Subcomité desea expresar a todos ellos su reconocimiento por la valiosa información que le facilitaron.</w:t>
      </w:r>
    </w:p>
    <w:p w:rsidR="002100BF" w:rsidRPr="00E407F9" w:rsidRDefault="00CC0F1F" w:rsidP="00CC0F1F">
      <w:pPr>
        <w:pStyle w:val="SingleTxtG"/>
        <w:rPr>
          <w:lang w:val="es-ES_tradnl"/>
        </w:rPr>
      </w:pPr>
      <w:r w:rsidRPr="00E407F9">
        <w:rPr>
          <w:lang w:val="es-ES_tradnl"/>
        </w:rPr>
        <w:t>7.</w:t>
      </w:r>
      <w:r w:rsidRPr="00E407F9">
        <w:rPr>
          <w:lang w:val="es-ES_tradnl"/>
        </w:rPr>
        <w:tab/>
        <w:t xml:space="preserve">Al término de su visita, el Subcomité presentó verbalmente sus observaciones preliminares confidenciales a las autoridades </w:t>
      </w:r>
      <w:r w:rsidR="00087A0D" w:rsidRPr="00E407F9">
        <w:rPr>
          <w:lang w:val="es-ES_tradnl"/>
        </w:rPr>
        <w:t>argentinas</w:t>
      </w:r>
      <w:r w:rsidRPr="00E407F9">
        <w:rPr>
          <w:rStyle w:val="FootnoteReference"/>
          <w:lang w:val="es-ES_tradnl"/>
        </w:rPr>
        <w:footnoteReference w:id="6"/>
      </w:r>
      <w:r w:rsidR="00991590" w:rsidRPr="00E407F9">
        <w:rPr>
          <w:lang w:val="es-ES_tradnl"/>
        </w:rPr>
        <w:t>.</w:t>
      </w:r>
      <w:r w:rsidR="00764760" w:rsidRPr="00E407F9">
        <w:rPr>
          <w:lang w:val="es-ES_tradnl"/>
        </w:rPr>
        <w:t xml:space="preserve"> </w:t>
      </w:r>
      <w:r w:rsidR="003430A2" w:rsidRPr="00E407F9">
        <w:rPr>
          <w:lang w:val="es-ES_tradnl"/>
        </w:rPr>
        <w:t>El Estado parte presentó</w:t>
      </w:r>
      <w:r w:rsidRPr="00E407F9">
        <w:rPr>
          <w:lang w:val="es-ES_tradnl"/>
        </w:rPr>
        <w:t xml:space="preserve"> sus comentarios a esas observaciones  el </w:t>
      </w:r>
      <w:r w:rsidR="003430A2" w:rsidRPr="00E407F9">
        <w:rPr>
          <w:lang w:val="es-ES_tradnl"/>
        </w:rPr>
        <w:t>19</w:t>
      </w:r>
      <w:r w:rsidR="009E4F0A" w:rsidRPr="00E407F9">
        <w:rPr>
          <w:lang w:val="es-ES_tradnl"/>
        </w:rPr>
        <w:t xml:space="preserve"> y </w:t>
      </w:r>
      <w:r w:rsidR="003430A2" w:rsidRPr="00E407F9">
        <w:rPr>
          <w:lang w:val="es-ES_tradnl"/>
        </w:rPr>
        <w:t>27</w:t>
      </w:r>
      <w:r w:rsidRPr="00E407F9">
        <w:rPr>
          <w:lang w:val="es-ES_tradnl"/>
        </w:rPr>
        <w:t xml:space="preserve"> de </w:t>
      </w:r>
      <w:r w:rsidR="003430A2" w:rsidRPr="00E407F9">
        <w:rPr>
          <w:lang w:val="es-ES_tradnl"/>
        </w:rPr>
        <w:t>julio</w:t>
      </w:r>
      <w:r w:rsidR="009E4F0A" w:rsidRPr="00E407F9">
        <w:rPr>
          <w:lang w:val="es-ES_tradnl"/>
        </w:rPr>
        <w:t xml:space="preserve"> de 2012</w:t>
      </w:r>
      <w:r w:rsidR="0000066E" w:rsidRPr="00E407F9">
        <w:rPr>
          <w:lang w:val="es-ES_tradnl"/>
        </w:rPr>
        <w:t xml:space="preserve"> y el 16 de agosto de 2012</w:t>
      </w:r>
      <w:r w:rsidRPr="00E407F9">
        <w:rPr>
          <w:lang w:val="es-ES_tradnl"/>
        </w:rPr>
        <w:t xml:space="preserve">. </w:t>
      </w:r>
      <w:r w:rsidR="002100BF" w:rsidRPr="00E407F9">
        <w:rPr>
          <w:lang w:val="es-ES_tradnl"/>
        </w:rPr>
        <w:t>El Subcomité desea expresar su gratitud a las autoridades argentinas por su cooperación y facilitación de la visita.</w:t>
      </w:r>
      <w:r w:rsidR="00B438A7">
        <w:rPr>
          <w:lang w:val="es-ES_tradnl"/>
        </w:rPr>
        <w:t xml:space="preserve"> Esas observaciones preliminares deben ser acatadas y complementan el presente informe, el cual evita hacer una repetición de aquellos hallazgos, salvo en lo que fuere pertinente.</w:t>
      </w:r>
    </w:p>
    <w:p w:rsidR="00CC0F1F" w:rsidRPr="00E407F9" w:rsidRDefault="003430A2" w:rsidP="00CC0F1F">
      <w:pPr>
        <w:pStyle w:val="SingleTxtG"/>
        <w:rPr>
          <w:lang w:val="es-ES_tradnl"/>
        </w:rPr>
      </w:pPr>
      <w:r w:rsidRPr="00E407F9">
        <w:rPr>
          <w:lang w:val="es-ES_tradnl"/>
        </w:rPr>
        <w:t>8.</w:t>
      </w:r>
      <w:r w:rsidRPr="00E407F9">
        <w:rPr>
          <w:lang w:val="es-ES_tradnl"/>
        </w:rPr>
        <w:tab/>
      </w:r>
      <w:r w:rsidR="00CC0F1F" w:rsidRPr="00E407F9">
        <w:rPr>
          <w:lang w:val="es-ES_tradnl"/>
        </w:rPr>
        <w:t>En el presente informe, el Subcomité expone sus conclusiones y recomendaciones acerca de la prevención de la tortura y los malos tratos de las per</w:t>
      </w:r>
      <w:r w:rsidR="00764760" w:rsidRPr="00E407F9">
        <w:rPr>
          <w:lang w:val="es-ES_tradnl"/>
        </w:rPr>
        <w:t xml:space="preserve">sonas privadas de libertad </w:t>
      </w:r>
      <w:r w:rsidR="00B37D1F">
        <w:rPr>
          <w:lang w:val="es-ES_tradnl"/>
        </w:rPr>
        <w:t xml:space="preserve">(en adelante PPL) </w:t>
      </w:r>
      <w:r w:rsidR="00764760" w:rsidRPr="00E407F9">
        <w:rPr>
          <w:lang w:val="es-ES_tradnl"/>
        </w:rPr>
        <w:t>en Argentina</w:t>
      </w:r>
      <w:r w:rsidR="00CC0F1F" w:rsidRPr="00E407F9">
        <w:rPr>
          <w:lang w:val="es-ES_tradnl"/>
        </w:rPr>
        <w:t xml:space="preserve">. En el informe se utiliza el término genérico </w:t>
      </w:r>
      <w:r w:rsidR="00087A0D" w:rsidRPr="00E407F9">
        <w:rPr>
          <w:lang w:val="es-ES_tradnl"/>
        </w:rPr>
        <w:t>“</w:t>
      </w:r>
      <w:r w:rsidR="00CC0F1F" w:rsidRPr="00E407F9">
        <w:rPr>
          <w:lang w:val="es-ES_tradnl"/>
        </w:rPr>
        <w:t>malos tratos</w:t>
      </w:r>
      <w:r w:rsidR="00087A0D" w:rsidRPr="00E407F9">
        <w:rPr>
          <w:lang w:val="es-ES_tradnl"/>
        </w:rPr>
        <w:t>”</w:t>
      </w:r>
      <w:r w:rsidR="00CC0F1F" w:rsidRPr="00E407F9">
        <w:rPr>
          <w:lang w:val="es-ES_tradnl"/>
        </w:rPr>
        <w:t xml:space="preserve"> para hacer referencia a cualquier forma de tratos o penas crueles, inhumanos o degradantes</w:t>
      </w:r>
      <w:r w:rsidR="00CC0F1F" w:rsidRPr="00E407F9">
        <w:rPr>
          <w:rStyle w:val="FootnoteReference"/>
          <w:lang w:val="es-ES_tradnl"/>
        </w:rPr>
        <w:footnoteReference w:id="7"/>
      </w:r>
      <w:r w:rsidR="00991590" w:rsidRPr="00E407F9">
        <w:rPr>
          <w:lang w:val="es-ES_tradnl"/>
        </w:rPr>
        <w:t>.</w:t>
      </w:r>
    </w:p>
    <w:p w:rsidR="00CC0F1F" w:rsidRPr="00E407F9" w:rsidRDefault="00CC0F1F" w:rsidP="00CC0F1F">
      <w:pPr>
        <w:pStyle w:val="SingleTxtG"/>
        <w:rPr>
          <w:b/>
          <w:bCs/>
          <w:lang w:val="es-ES_tradnl"/>
        </w:rPr>
      </w:pPr>
      <w:r w:rsidRPr="00E407F9">
        <w:rPr>
          <w:bCs/>
          <w:lang w:val="es-ES_tradnl"/>
        </w:rPr>
        <w:t>9.</w:t>
      </w:r>
      <w:r w:rsidRPr="00E407F9">
        <w:rPr>
          <w:b/>
          <w:bCs/>
          <w:lang w:val="es-ES_tradnl"/>
        </w:rPr>
        <w:tab/>
        <w:t xml:space="preserve">El Subcomité solicita a las autoridades </w:t>
      </w:r>
      <w:r w:rsidR="004B4C1A" w:rsidRPr="00E407F9">
        <w:rPr>
          <w:b/>
          <w:bCs/>
          <w:lang w:val="es-ES_tradnl"/>
        </w:rPr>
        <w:t>argentinas</w:t>
      </w:r>
      <w:r w:rsidRPr="00E407F9">
        <w:rPr>
          <w:b/>
          <w:bCs/>
          <w:lang w:val="es-ES_tradnl"/>
        </w:rPr>
        <w:t xml:space="preserve"> que, en el plazo de seis meses desde la fecha de transmisión del presente informe, le faciliten una respuesta en la que den cuenta pormenorizadamente de las medidas que haya adoptado el Estado parte para poner en práctica las recomendaciones</w:t>
      </w:r>
      <w:r w:rsidR="005347EF">
        <w:rPr>
          <w:b/>
          <w:bCs/>
          <w:lang w:val="es-ES_tradnl"/>
        </w:rPr>
        <w:t xml:space="preserve"> contenidas en éste</w:t>
      </w:r>
      <w:r w:rsidRPr="00E407F9">
        <w:rPr>
          <w:b/>
          <w:bCs/>
          <w:lang w:val="es-ES_tradnl"/>
        </w:rPr>
        <w:t>.</w:t>
      </w:r>
    </w:p>
    <w:p w:rsidR="00CC0F1F" w:rsidRPr="00E407F9" w:rsidRDefault="00CC0F1F" w:rsidP="00CC0F1F">
      <w:pPr>
        <w:pStyle w:val="SingleTxtG"/>
        <w:rPr>
          <w:lang w:val="es-ES_tradnl"/>
        </w:rPr>
      </w:pPr>
      <w:r w:rsidRPr="00E407F9">
        <w:rPr>
          <w:lang w:val="es-ES_tradnl"/>
        </w:rPr>
        <w:t>10.</w:t>
      </w:r>
      <w:r w:rsidRPr="00E407F9">
        <w:rPr>
          <w:lang w:val="es-ES_tradnl"/>
        </w:rPr>
        <w:tab/>
        <w:t xml:space="preserve">El presente informe tendrá carácter confidencial hasta que las autoridades </w:t>
      </w:r>
      <w:r w:rsidR="002100BF" w:rsidRPr="00E407F9">
        <w:rPr>
          <w:lang w:val="es-ES_tradnl"/>
        </w:rPr>
        <w:t>argentinas</w:t>
      </w:r>
      <w:r w:rsidRPr="00E407F9">
        <w:rPr>
          <w:lang w:val="es-ES_tradnl"/>
        </w:rPr>
        <w:t xml:space="preserve"> decidan hacerlo público, como se estipula en el artículo 16</w:t>
      </w:r>
      <w:r w:rsidR="00AF23AC" w:rsidRPr="00E407F9">
        <w:rPr>
          <w:lang w:val="es-ES_tradnl"/>
        </w:rPr>
        <w:t xml:space="preserve"> </w:t>
      </w:r>
      <w:r w:rsidRPr="00E407F9">
        <w:rPr>
          <w:lang w:val="es-ES_tradnl"/>
        </w:rPr>
        <w:t xml:space="preserve">2) del Protocolo Facultativo. La publicación del presente informe constituirá sin duda un medio adicional de prevenir la tortura y los malos tratos en </w:t>
      </w:r>
      <w:r w:rsidR="002100BF" w:rsidRPr="00E407F9">
        <w:rPr>
          <w:lang w:val="es-ES_tradnl"/>
        </w:rPr>
        <w:t>Argentina</w:t>
      </w:r>
      <w:r w:rsidR="005347EF">
        <w:rPr>
          <w:lang w:val="es-ES_tradnl"/>
        </w:rPr>
        <w:t>. E</w:t>
      </w:r>
      <w:r w:rsidRPr="00E407F9">
        <w:rPr>
          <w:lang w:val="es-ES_tradnl"/>
        </w:rPr>
        <w:t>l Subcomité considera que la amplia difusión de las recomendaciones contribuiría a promover un diálogo nacional transparente y fructífero acerca de las cuestiones tratadas en el informe</w:t>
      </w:r>
      <w:r w:rsidRPr="00E407F9">
        <w:rPr>
          <w:bCs/>
          <w:lang w:val="es-ES_tradnl"/>
        </w:rPr>
        <w:t>.</w:t>
      </w:r>
    </w:p>
    <w:p w:rsidR="00CC0F1F" w:rsidRPr="00E407F9" w:rsidRDefault="00CC0F1F" w:rsidP="00CC0F1F">
      <w:pPr>
        <w:pStyle w:val="SingleTxtG"/>
        <w:rPr>
          <w:lang w:val="es-ES_tradnl"/>
        </w:rPr>
      </w:pPr>
      <w:r w:rsidRPr="00E407F9">
        <w:rPr>
          <w:lang w:val="es-ES_tradnl"/>
        </w:rPr>
        <w:t>11.</w:t>
      </w:r>
      <w:r w:rsidRPr="00E407F9">
        <w:rPr>
          <w:lang w:val="es-ES_tradnl"/>
        </w:rPr>
        <w:tab/>
        <w:t>El Subcomité desea señalar a la atención del Estado parte la existencia del Fondo Especial establecido en virtud del artículo 26 del Protocolo Facultativo. Las recomendaciones contenidas en los informes públicos sobre las visitas del Subcomité pueden servir al Estado parte para fundamentar una solicitud de financiación para proyectos específicos con cargo al Fondo Especial</w:t>
      </w:r>
      <w:r w:rsidRPr="00E407F9">
        <w:rPr>
          <w:rStyle w:val="FootnoteReference"/>
          <w:lang w:val="es-ES_tradnl"/>
        </w:rPr>
        <w:footnoteReference w:id="8"/>
      </w:r>
      <w:r w:rsidRPr="00E407F9">
        <w:rPr>
          <w:lang w:val="es-ES_tradnl"/>
        </w:rPr>
        <w:t>.</w:t>
      </w:r>
    </w:p>
    <w:p w:rsidR="00CC0F1F" w:rsidRPr="00E407F9" w:rsidRDefault="00CC0F1F" w:rsidP="00CC0F1F">
      <w:pPr>
        <w:pStyle w:val="SingleTxtG"/>
        <w:rPr>
          <w:b/>
          <w:bCs/>
          <w:lang w:val="es-ES_tradnl"/>
        </w:rPr>
      </w:pPr>
      <w:r w:rsidRPr="00E407F9">
        <w:rPr>
          <w:bCs/>
          <w:lang w:val="es-ES_tradnl"/>
        </w:rPr>
        <w:t>12.</w:t>
      </w:r>
      <w:r w:rsidRPr="00E407F9">
        <w:rPr>
          <w:b/>
          <w:bCs/>
          <w:lang w:val="es-ES_tradnl"/>
        </w:rPr>
        <w:tab/>
        <w:t>El Subcomité recomienda a</w:t>
      </w:r>
      <w:r w:rsidR="004B5F29" w:rsidRPr="00E407F9">
        <w:rPr>
          <w:b/>
          <w:bCs/>
          <w:lang w:val="es-ES_tradnl"/>
        </w:rPr>
        <w:t xml:space="preserve"> Argentina </w:t>
      </w:r>
      <w:r w:rsidRPr="00E407F9">
        <w:rPr>
          <w:b/>
          <w:bCs/>
          <w:lang w:val="es-ES_tradnl"/>
        </w:rPr>
        <w:t>que solicite la publicación del presente informe de conformidad con</w:t>
      </w:r>
      <w:r w:rsidR="00AF23AC" w:rsidRPr="00E407F9">
        <w:rPr>
          <w:b/>
          <w:bCs/>
          <w:lang w:val="es-ES_tradnl"/>
        </w:rPr>
        <w:t xml:space="preserve"> lo dispuesto en el artículo 16 </w:t>
      </w:r>
      <w:r w:rsidRPr="00E407F9">
        <w:rPr>
          <w:b/>
          <w:bCs/>
          <w:lang w:val="es-ES_tradnl"/>
        </w:rPr>
        <w:t>2) del Protocolo Facultativo.</w:t>
      </w:r>
    </w:p>
    <w:p w:rsidR="004535F9" w:rsidRPr="00E407F9" w:rsidRDefault="004E2D95" w:rsidP="004535F9">
      <w:pPr>
        <w:pStyle w:val="SingleTxtG"/>
        <w:rPr>
          <w:lang w:val="es-ES_tradnl"/>
        </w:rPr>
      </w:pPr>
      <w:r>
        <w:rPr>
          <w:lang w:val="es-ES_tradnl"/>
        </w:rPr>
        <w:t>13</w:t>
      </w:r>
      <w:r w:rsidR="004535F9" w:rsidRPr="00E407F9">
        <w:rPr>
          <w:lang w:val="es-ES_tradnl"/>
        </w:rPr>
        <w:t>.</w:t>
      </w:r>
      <w:r w:rsidR="004535F9" w:rsidRPr="00E407F9">
        <w:rPr>
          <w:lang w:val="es-ES_tradnl"/>
        </w:rPr>
        <w:tab/>
        <w:t xml:space="preserve">Tras las visitas a los distintos lugares de detención, al SPT le preocupa seriamente la posibilidad de que se tomen represalias contra algunas de las </w:t>
      </w:r>
      <w:r w:rsidR="00B37D1F">
        <w:rPr>
          <w:lang w:val="es-ES_tradnl"/>
        </w:rPr>
        <w:t xml:space="preserve">PPL </w:t>
      </w:r>
      <w:r w:rsidR="004535F9" w:rsidRPr="00E407F9">
        <w:rPr>
          <w:lang w:val="es-ES_tradnl"/>
        </w:rPr>
        <w:t>entrevistadas, especialmente aquéllas involucradas en incidentes que se mencionan en el presente informe.</w:t>
      </w:r>
    </w:p>
    <w:p w:rsidR="004535F9" w:rsidRPr="00E407F9" w:rsidRDefault="004535F9" w:rsidP="004535F9">
      <w:pPr>
        <w:pStyle w:val="SingleTxtG"/>
        <w:rPr>
          <w:b/>
          <w:lang w:val="es-ES_tradnl"/>
        </w:rPr>
      </w:pPr>
      <w:r w:rsidRPr="00E407F9">
        <w:rPr>
          <w:lang w:val="es-ES_tradnl"/>
        </w:rPr>
        <w:t>1</w:t>
      </w:r>
      <w:r w:rsidR="004E2D95">
        <w:rPr>
          <w:lang w:val="es-ES_tradnl"/>
        </w:rPr>
        <w:t>4</w:t>
      </w:r>
      <w:r w:rsidRPr="00E407F9">
        <w:rPr>
          <w:lang w:val="es-ES_tradnl"/>
        </w:rPr>
        <w:t>.</w:t>
      </w:r>
      <w:r w:rsidRPr="00E407F9">
        <w:rPr>
          <w:b/>
          <w:lang w:val="es-ES_tradnl"/>
        </w:rPr>
        <w:tab/>
        <w:t>El Subcomité condena categóricamente todo acto de represalia. Asimismo, reitera las recomendaciones que formuló en las observaciones preliminares y subraya que las personas que faciliten información a órganos o instituciones nacionales o internacionales no deben ser castigadas ni sufrir consecuencias negativas por haber suministrado esa información. El Subcomité pide que se le mantenga informado sobre las actividades del Estado parte para prevenir e investigar las represalias.</w:t>
      </w:r>
    </w:p>
    <w:p w:rsidR="00CC0F1F" w:rsidRDefault="00CC0F1F" w:rsidP="00CC0F1F">
      <w:pPr>
        <w:pStyle w:val="HChG"/>
        <w:rPr>
          <w:lang w:val="es-ES_tradnl"/>
        </w:rPr>
      </w:pPr>
      <w:r w:rsidRPr="00E407F9">
        <w:rPr>
          <w:lang w:val="es-ES_tradnl"/>
        </w:rPr>
        <w:tab/>
      </w:r>
      <w:bookmarkStart w:id="1" w:name="_Toc332721019"/>
      <w:r w:rsidRPr="00E407F9">
        <w:rPr>
          <w:lang w:val="es-ES_tradnl"/>
        </w:rPr>
        <w:t>II.</w:t>
      </w:r>
      <w:r w:rsidRPr="00E407F9">
        <w:rPr>
          <w:lang w:val="es-ES_tradnl"/>
        </w:rPr>
        <w:tab/>
        <w:t>Mecanismo nacional de prevención</w:t>
      </w:r>
      <w:bookmarkEnd w:id="1"/>
      <w:r w:rsidR="00DE2D1B">
        <w:rPr>
          <w:lang w:val="es-ES_tradnl"/>
        </w:rPr>
        <w:t xml:space="preserve"> </w:t>
      </w:r>
    </w:p>
    <w:p w:rsidR="007C3239" w:rsidRPr="00DE2D1B" w:rsidRDefault="00FA10B3" w:rsidP="007C3239">
      <w:pPr>
        <w:spacing w:after="120" w:line="240" w:lineRule="auto"/>
        <w:ind w:left="1134"/>
        <w:jc w:val="both"/>
      </w:pPr>
      <w:r>
        <w:t>15.</w:t>
      </w:r>
      <w:r>
        <w:tab/>
      </w:r>
      <w:r w:rsidR="007C3239">
        <w:t xml:space="preserve">En junio de 2007 venció el plazo para que el Estado designara el Mecanismo Nacional de Prevención (MNP). </w:t>
      </w:r>
      <w:r w:rsidR="007C3239" w:rsidRPr="00DE2D1B">
        <w:t xml:space="preserve">Después de un largo proceso de discusión, se consensuó un proyecto de ley creando el MNP que </w:t>
      </w:r>
      <w:r w:rsidR="007C3239">
        <w:t xml:space="preserve">fue aprobado por la Cámara de Diputados </w:t>
      </w:r>
      <w:r w:rsidR="007C3239" w:rsidRPr="00DE2D1B">
        <w:t xml:space="preserve"> en agosto de 2011</w:t>
      </w:r>
      <w:r w:rsidR="007C3239">
        <w:t xml:space="preserve">. En noviembre de 2012 este proyecto fue aprobado por el Senado de la Nación con enmiendas relativas a la composición del Comité Nacional para la Prevención de la Tortura. Al mismo tiempo, se han ido creando mecanismos provinciales de prevención, algunos de los cuales </w:t>
      </w:r>
      <w:r w:rsidR="007C3239" w:rsidRPr="00DE2D1B">
        <w:t xml:space="preserve"> no cumplen necesariamente con los principios de independencia que exige el Protocolo Facultativo.</w:t>
      </w:r>
    </w:p>
    <w:p w:rsidR="007C3239" w:rsidRPr="00DE2D1B" w:rsidRDefault="007C3239" w:rsidP="007C3239">
      <w:pPr>
        <w:spacing w:after="120" w:line="240" w:lineRule="auto"/>
        <w:ind w:left="1134"/>
        <w:jc w:val="both"/>
        <w:rPr>
          <w:b/>
        </w:rPr>
      </w:pPr>
      <w:r>
        <w:rPr>
          <w:b/>
        </w:rPr>
        <w:t>16.</w:t>
      </w:r>
      <w:r>
        <w:rPr>
          <w:b/>
        </w:rPr>
        <w:tab/>
      </w:r>
      <w:r w:rsidRPr="00DE2D1B">
        <w:rPr>
          <w:b/>
        </w:rPr>
        <w:t xml:space="preserve">El SPT </w:t>
      </w:r>
      <w:r>
        <w:rPr>
          <w:b/>
        </w:rPr>
        <w:t>celebra la culminación del largo proceso legislativo en torno a la creación del mecanismo. Al mismo tiempo, el SPT recuerda sus directrices relativas a los mecanismos nacionales de prevención, entre las que figura la necesidad de que el Estado garantice su autonomía funcional e independencia y se abstenga de nombrar como miembros a personas que ocupen cargos que puedan suscitar conflictos de intereses</w:t>
      </w:r>
      <w:r>
        <w:rPr>
          <w:rStyle w:val="FootnoteReference"/>
          <w:b/>
        </w:rPr>
        <w:footnoteReference w:id="9"/>
      </w:r>
      <w:r>
        <w:rPr>
          <w:b/>
        </w:rPr>
        <w:t>. El SPT confía en que el Estado adopte medidas encaminadas a salvaguardar estos principios en el proceso de selección de los integrantes del Comité Nacional.</w:t>
      </w:r>
    </w:p>
    <w:p w:rsidR="00CC0F1F" w:rsidRPr="00E407F9" w:rsidRDefault="00CC0F1F" w:rsidP="00CC0F1F">
      <w:pPr>
        <w:pStyle w:val="HChG"/>
        <w:rPr>
          <w:lang w:val="es-ES_tradnl"/>
        </w:rPr>
      </w:pPr>
      <w:r w:rsidRPr="00E407F9">
        <w:rPr>
          <w:lang w:val="es-ES_tradnl"/>
        </w:rPr>
        <w:tab/>
      </w:r>
      <w:bookmarkStart w:id="2" w:name="_Toc332721020"/>
      <w:r w:rsidRPr="00E407F9">
        <w:rPr>
          <w:lang w:val="es-ES_tradnl"/>
        </w:rPr>
        <w:t>III.</w:t>
      </w:r>
      <w:r w:rsidRPr="00E407F9">
        <w:rPr>
          <w:lang w:val="es-ES_tradnl"/>
        </w:rPr>
        <w:tab/>
      </w:r>
      <w:bookmarkStart w:id="3" w:name="_Toc332721027"/>
      <w:bookmarkEnd w:id="2"/>
      <w:r w:rsidRPr="00E407F9">
        <w:rPr>
          <w:lang w:val="es-ES_tradnl"/>
        </w:rPr>
        <w:t>Situación de las personas privadas de libertad</w:t>
      </w:r>
      <w:bookmarkEnd w:id="3"/>
      <w:r w:rsidR="00F2343A" w:rsidRPr="00E407F9">
        <w:rPr>
          <w:lang w:val="es-ES_tradnl"/>
        </w:rPr>
        <w:t xml:space="preserve"> </w:t>
      </w:r>
    </w:p>
    <w:p w:rsidR="00CC0F1F" w:rsidRPr="00E407F9" w:rsidRDefault="00CC0F1F" w:rsidP="00CC0F1F">
      <w:pPr>
        <w:pStyle w:val="H1G"/>
        <w:rPr>
          <w:lang w:val="es-ES_tradnl"/>
        </w:rPr>
      </w:pPr>
      <w:r w:rsidRPr="00E407F9">
        <w:rPr>
          <w:lang w:val="es-ES_tradnl"/>
        </w:rPr>
        <w:tab/>
      </w:r>
      <w:bookmarkStart w:id="4" w:name="_Toc332721028"/>
      <w:r w:rsidRPr="00E407F9">
        <w:rPr>
          <w:lang w:val="es-ES_tradnl"/>
        </w:rPr>
        <w:t>A.</w:t>
      </w:r>
      <w:r w:rsidRPr="00E407F9">
        <w:rPr>
          <w:lang w:val="es-ES_tradnl"/>
        </w:rPr>
        <w:tab/>
        <w:t>Detención policial</w:t>
      </w:r>
      <w:bookmarkEnd w:id="4"/>
      <w:r w:rsidR="003358C4" w:rsidRPr="00E407F9">
        <w:rPr>
          <w:lang w:val="es-ES_tradnl"/>
        </w:rPr>
        <w:t xml:space="preserve"> </w:t>
      </w:r>
    </w:p>
    <w:p w:rsidR="00D316B8" w:rsidRPr="00E407F9" w:rsidRDefault="00CC0F1F" w:rsidP="00455D1C">
      <w:pPr>
        <w:pStyle w:val="H23G"/>
        <w:rPr>
          <w:b w:val="0"/>
          <w:lang w:val="es-ES_tradnl"/>
        </w:rPr>
      </w:pPr>
      <w:r w:rsidRPr="00E407F9">
        <w:rPr>
          <w:lang w:val="es-ES_tradnl"/>
        </w:rPr>
        <w:tab/>
        <w:t>1.</w:t>
      </w:r>
      <w:r w:rsidRPr="00E407F9">
        <w:rPr>
          <w:lang w:val="es-ES_tradnl"/>
        </w:rPr>
        <w:tab/>
        <w:t>Cuestiones generales</w:t>
      </w:r>
      <w:r w:rsidR="00D316B8" w:rsidRPr="00E407F9">
        <w:rPr>
          <w:lang w:val="es-ES_tradnl"/>
        </w:rPr>
        <w:tab/>
      </w:r>
    </w:p>
    <w:p w:rsidR="00D316B8" w:rsidRPr="00E407F9" w:rsidRDefault="00D316B8" w:rsidP="00D316B8">
      <w:pPr>
        <w:pStyle w:val="H4G"/>
        <w:rPr>
          <w:lang w:val="es-ES_tradnl"/>
        </w:rPr>
      </w:pPr>
      <w:r w:rsidRPr="00E407F9">
        <w:rPr>
          <w:lang w:val="es-ES_tradnl"/>
        </w:rPr>
        <w:tab/>
      </w:r>
      <w:r w:rsidR="00455D1C">
        <w:rPr>
          <w:lang w:val="es-ES_tradnl"/>
        </w:rPr>
        <w:t>a</w:t>
      </w:r>
      <w:r w:rsidRPr="00E407F9">
        <w:rPr>
          <w:lang w:val="es-ES_tradnl"/>
        </w:rPr>
        <w:t>)</w:t>
      </w:r>
      <w:r w:rsidRPr="00E407F9">
        <w:rPr>
          <w:lang w:val="es-ES_tradnl"/>
        </w:rPr>
        <w:tab/>
        <w:t xml:space="preserve">Información sobre </w:t>
      </w:r>
      <w:r w:rsidR="00030256" w:rsidRPr="00E407F9">
        <w:rPr>
          <w:lang w:val="es-ES_tradnl"/>
        </w:rPr>
        <w:t xml:space="preserve">los </w:t>
      </w:r>
      <w:r w:rsidRPr="00E407F9">
        <w:rPr>
          <w:lang w:val="es-ES_tradnl"/>
        </w:rPr>
        <w:t>derechos de los detenidos</w:t>
      </w:r>
    </w:p>
    <w:p w:rsidR="00612F8C" w:rsidRPr="00E407F9" w:rsidRDefault="00764EC2" w:rsidP="00612F8C">
      <w:pPr>
        <w:pStyle w:val="SingleTxtG"/>
        <w:rPr>
          <w:lang w:val="es-ES_tradnl"/>
        </w:rPr>
      </w:pPr>
      <w:r>
        <w:rPr>
          <w:lang w:val="es-ES_tradnl"/>
        </w:rPr>
        <w:t>1</w:t>
      </w:r>
      <w:r w:rsidR="002D5CE5">
        <w:rPr>
          <w:lang w:val="es-ES_tradnl"/>
        </w:rPr>
        <w:t>7</w:t>
      </w:r>
      <w:r w:rsidR="00FA10B3">
        <w:rPr>
          <w:lang w:val="es-ES_tradnl"/>
        </w:rPr>
        <w:t>.</w:t>
      </w:r>
      <w:r w:rsidR="00FA10B3">
        <w:rPr>
          <w:lang w:val="es-ES_tradnl"/>
        </w:rPr>
        <w:tab/>
      </w:r>
      <w:r w:rsidR="002D5CE5">
        <w:rPr>
          <w:lang w:val="es-ES_tradnl"/>
        </w:rPr>
        <w:t>Alguno</w:t>
      </w:r>
      <w:r w:rsidR="00612F8C" w:rsidRPr="00E407F9">
        <w:rPr>
          <w:lang w:val="es-ES_tradnl"/>
        </w:rPr>
        <w:t xml:space="preserve">s </w:t>
      </w:r>
      <w:r w:rsidR="002D5CE5">
        <w:rPr>
          <w:lang w:val="es-ES_tradnl"/>
        </w:rPr>
        <w:t>detenidos indicaron a</w:t>
      </w:r>
      <w:r w:rsidR="00A01F63" w:rsidRPr="00E407F9">
        <w:rPr>
          <w:lang w:val="es-ES_tradnl"/>
        </w:rPr>
        <w:t>l SPT</w:t>
      </w:r>
      <w:r w:rsidR="00612F8C" w:rsidRPr="00E407F9">
        <w:rPr>
          <w:lang w:val="es-ES_tradnl"/>
        </w:rPr>
        <w:t xml:space="preserve"> que no se les había informado adecuadamente de sus derechos en el</w:t>
      </w:r>
      <w:r w:rsidR="00030256" w:rsidRPr="00E407F9">
        <w:rPr>
          <w:lang w:val="es-ES_tradnl"/>
        </w:rPr>
        <w:t xml:space="preserve"> momento de la detención</w:t>
      </w:r>
      <w:r w:rsidR="00612F8C" w:rsidRPr="00E407F9">
        <w:rPr>
          <w:rStyle w:val="FootnoteReference"/>
          <w:lang w:val="es-ES_tradnl"/>
        </w:rPr>
        <w:footnoteReference w:id="10"/>
      </w:r>
      <w:r w:rsidR="00867810" w:rsidRPr="00E407F9">
        <w:rPr>
          <w:lang w:val="es-ES_tradnl"/>
        </w:rPr>
        <w:t>, o que habían firmado documentos acerca de sus derechos</w:t>
      </w:r>
      <w:r w:rsidR="002301DD" w:rsidRPr="00E407F9">
        <w:rPr>
          <w:lang w:val="es-ES_tradnl"/>
        </w:rPr>
        <w:t>,</w:t>
      </w:r>
      <w:r w:rsidR="00867810" w:rsidRPr="00E407F9">
        <w:rPr>
          <w:lang w:val="es-ES_tradnl"/>
        </w:rPr>
        <w:t xml:space="preserve"> pero que no entendían lo que habían firmado</w:t>
      </w:r>
      <w:r w:rsidR="002301DD" w:rsidRPr="00E407F9">
        <w:rPr>
          <w:lang w:val="es-ES_tradnl"/>
        </w:rPr>
        <w:t>,</w:t>
      </w:r>
      <w:r w:rsidR="00867810" w:rsidRPr="00E407F9">
        <w:rPr>
          <w:lang w:val="es-ES_tradnl"/>
        </w:rPr>
        <w:t xml:space="preserve"> o que no habían tenido tiempo para leerlo</w:t>
      </w:r>
      <w:r w:rsidR="00612F8C" w:rsidRPr="00E407F9">
        <w:rPr>
          <w:lang w:val="es-ES_tradnl"/>
        </w:rPr>
        <w:t xml:space="preserve">. </w:t>
      </w:r>
      <w:r w:rsidR="00292D4C">
        <w:rPr>
          <w:lang w:val="es-ES_tradnl"/>
        </w:rPr>
        <w:t xml:space="preserve">Asimismo, el SPT observó que en la mayoría de los </w:t>
      </w:r>
      <w:r w:rsidR="002D5CE5">
        <w:rPr>
          <w:lang w:val="es-ES_tradnl"/>
        </w:rPr>
        <w:t>centros</w:t>
      </w:r>
      <w:r w:rsidR="00292D4C">
        <w:rPr>
          <w:lang w:val="es-ES_tradnl"/>
        </w:rPr>
        <w:t xml:space="preserve"> visitados no había información visible sobre los derechos relacionados con la protecció</w:t>
      </w:r>
      <w:r w:rsidR="00F81549">
        <w:rPr>
          <w:lang w:val="es-ES_tradnl"/>
        </w:rPr>
        <w:t>n a la</w:t>
      </w:r>
      <w:r w:rsidR="00292D4C">
        <w:rPr>
          <w:lang w:val="es-ES_tradnl"/>
        </w:rPr>
        <w:t xml:space="preserve"> integridad física y psíquica</w:t>
      </w:r>
      <w:r w:rsidR="00F81549">
        <w:rPr>
          <w:lang w:val="es-ES_tradnl"/>
        </w:rPr>
        <w:t xml:space="preserve"> de las PPL</w:t>
      </w:r>
      <w:r w:rsidR="00292D4C">
        <w:rPr>
          <w:lang w:val="es-ES_tradnl"/>
        </w:rPr>
        <w:t xml:space="preserve"> ni las garantías mínimas del debido proceso</w:t>
      </w:r>
      <w:r w:rsidR="00F81549">
        <w:rPr>
          <w:lang w:val="es-ES_tradnl"/>
        </w:rPr>
        <w:t xml:space="preserve"> (Advertencia Miranda). </w:t>
      </w:r>
      <w:r w:rsidR="00612F8C" w:rsidRPr="00E407F9">
        <w:rPr>
          <w:lang w:val="es-ES_tradnl"/>
        </w:rPr>
        <w:t xml:space="preserve">Facilitar a las </w:t>
      </w:r>
      <w:r w:rsidR="00B37D1F">
        <w:rPr>
          <w:lang w:val="es-ES_tradnl"/>
        </w:rPr>
        <w:t>PPL</w:t>
      </w:r>
      <w:r w:rsidR="00612F8C" w:rsidRPr="00E407F9">
        <w:rPr>
          <w:lang w:val="es-ES_tradnl"/>
        </w:rPr>
        <w:t xml:space="preserve"> información sobre el motivo de su detención y sobre sus derechos constituye una salvaguardia fundamental contra la detención arbitraria, la tortura y los malos tratos. </w:t>
      </w:r>
    </w:p>
    <w:p w:rsidR="00612F8C" w:rsidRDefault="002D5CE5" w:rsidP="00612F8C">
      <w:pPr>
        <w:pStyle w:val="SingleTxtG"/>
        <w:rPr>
          <w:b/>
          <w:lang w:val="es-ES_tradnl"/>
        </w:rPr>
      </w:pPr>
      <w:r>
        <w:rPr>
          <w:b/>
          <w:lang w:val="es-ES_tradnl"/>
        </w:rPr>
        <w:t>18</w:t>
      </w:r>
      <w:r w:rsidR="00FA10B3">
        <w:rPr>
          <w:b/>
          <w:lang w:val="es-ES_tradnl"/>
        </w:rPr>
        <w:t>.</w:t>
      </w:r>
      <w:r w:rsidR="00FA10B3">
        <w:rPr>
          <w:b/>
          <w:lang w:val="es-ES_tradnl"/>
        </w:rPr>
        <w:tab/>
      </w:r>
      <w:r w:rsidR="00612F8C" w:rsidRPr="00E407F9">
        <w:rPr>
          <w:b/>
          <w:lang w:val="es-ES_tradnl"/>
        </w:rPr>
        <w:t xml:space="preserve">El </w:t>
      </w:r>
      <w:r>
        <w:rPr>
          <w:b/>
          <w:lang w:val="es-ES_tradnl"/>
        </w:rPr>
        <w:t>Estado</w:t>
      </w:r>
      <w:r w:rsidR="00612F8C" w:rsidRPr="00E407F9">
        <w:rPr>
          <w:b/>
          <w:lang w:val="es-ES_tradnl"/>
        </w:rPr>
        <w:t xml:space="preserve"> parte </w:t>
      </w:r>
      <w:r>
        <w:rPr>
          <w:b/>
          <w:lang w:val="es-ES_tradnl"/>
        </w:rPr>
        <w:t>debe velar</w:t>
      </w:r>
      <w:r w:rsidR="00612F8C" w:rsidRPr="00E407F9">
        <w:rPr>
          <w:b/>
          <w:lang w:val="es-ES_tradnl"/>
        </w:rPr>
        <w:t xml:space="preserve"> porque se impartan a los oficiales facultados para practicar detenciones instrucciones tendientes a salvaguardar la aplicación efectiva y sistemática del derecho de toda persona privada de libertad a ser informada, verbalmente y por escrito, </w:t>
      </w:r>
      <w:r w:rsidR="007161CC">
        <w:rPr>
          <w:b/>
          <w:lang w:val="es-ES_tradnl"/>
        </w:rPr>
        <w:t>en un idioma que pueda entender</w:t>
      </w:r>
      <w:r w:rsidR="00612F8C" w:rsidRPr="00E407F9">
        <w:rPr>
          <w:b/>
          <w:lang w:val="es-ES_tradnl"/>
        </w:rPr>
        <w:t xml:space="preserve"> y desde el momento de la detención</w:t>
      </w:r>
      <w:r w:rsidR="007161CC">
        <w:rPr>
          <w:b/>
          <w:lang w:val="es-ES_tradnl"/>
        </w:rPr>
        <w:t>,</w:t>
      </w:r>
      <w:r w:rsidR="00612F8C" w:rsidRPr="00E407F9">
        <w:rPr>
          <w:b/>
          <w:lang w:val="es-ES_tradnl"/>
        </w:rPr>
        <w:t xml:space="preserve"> de los derechos que la asisten mientras se encuentra bajo custodia, y que ese hecho se consigne en un registro.</w:t>
      </w:r>
      <w:r w:rsidR="00F81549">
        <w:rPr>
          <w:b/>
          <w:lang w:val="es-ES_tradnl"/>
        </w:rPr>
        <w:t xml:space="preserve"> </w:t>
      </w:r>
    </w:p>
    <w:p w:rsidR="002160F2" w:rsidRPr="00E407F9" w:rsidRDefault="002D5CE5" w:rsidP="00612F8C">
      <w:pPr>
        <w:pStyle w:val="SingleTxtG"/>
        <w:rPr>
          <w:b/>
          <w:lang w:val="es-ES_tradnl"/>
        </w:rPr>
      </w:pPr>
      <w:r>
        <w:rPr>
          <w:lang w:val="es-ES_tradnl"/>
        </w:rPr>
        <w:t>19</w:t>
      </w:r>
      <w:r w:rsidR="00FA10B3">
        <w:rPr>
          <w:lang w:val="es-ES_tradnl"/>
        </w:rPr>
        <w:t>.</w:t>
      </w:r>
      <w:r w:rsidR="00FA10B3">
        <w:rPr>
          <w:lang w:val="es-ES_tradnl"/>
        </w:rPr>
        <w:tab/>
      </w:r>
      <w:r w:rsidR="00EC0737">
        <w:rPr>
          <w:lang w:val="es-ES_tradnl"/>
        </w:rPr>
        <w:t>El SPT toma nota de la información proporcionada por el Estado parte de que, con posterioridad a la visita, se elabor</w:t>
      </w:r>
      <w:r w:rsidR="007161CC">
        <w:rPr>
          <w:lang w:val="es-ES_tradnl"/>
        </w:rPr>
        <w:t>ó</w:t>
      </w:r>
      <w:r w:rsidR="00EC0737">
        <w:rPr>
          <w:lang w:val="es-ES_tradnl"/>
        </w:rPr>
        <w:t xml:space="preserve"> un modelo de afiche informativo sobre los derechos de los detenidos para ser colocado en lugares visibles en las comisarías</w:t>
      </w:r>
      <w:r w:rsidR="00911FF4">
        <w:rPr>
          <w:lang w:val="es-ES_tradnl"/>
        </w:rPr>
        <w:t xml:space="preserve"> que alojen detenidos y en las unidades c</w:t>
      </w:r>
      <w:r w:rsidR="00EC0737">
        <w:rPr>
          <w:lang w:val="es-ES_tradnl"/>
        </w:rPr>
        <w:t>arcelarias.</w:t>
      </w:r>
    </w:p>
    <w:p w:rsidR="00CC0F1F" w:rsidRPr="00E407F9" w:rsidRDefault="00612F8C" w:rsidP="00612F8C">
      <w:pPr>
        <w:pStyle w:val="H4G"/>
        <w:rPr>
          <w:lang w:val="es-ES_tradnl"/>
        </w:rPr>
      </w:pPr>
      <w:r w:rsidRPr="00E407F9">
        <w:rPr>
          <w:lang w:val="es-ES_tradnl"/>
        </w:rPr>
        <w:tab/>
      </w:r>
      <w:r w:rsidR="002D5CE5">
        <w:rPr>
          <w:lang w:val="es-ES_tradnl"/>
        </w:rPr>
        <w:t>b</w:t>
      </w:r>
      <w:r w:rsidR="00CC0F1F" w:rsidRPr="00E407F9">
        <w:rPr>
          <w:lang w:val="es-ES_tradnl"/>
        </w:rPr>
        <w:t>)</w:t>
      </w:r>
      <w:r w:rsidR="00CC0F1F" w:rsidRPr="00E407F9">
        <w:rPr>
          <w:lang w:val="es-ES_tradnl"/>
        </w:rPr>
        <w:tab/>
        <w:t>Derecho a que se informe a un tercero de la detención</w:t>
      </w:r>
    </w:p>
    <w:p w:rsidR="00CC0F1F" w:rsidRPr="00E407F9" w:rsidRDefault="00FA10B3" w:rsidP="00CC0F1F">
      <w:pPr>
        <w:pStyle w:val="SingleTxtG"/>
        <w:rPr>
          <w:lang w:val="es-ES_tradnl"/>
        </w:rPr>
      </w:pPr>
      <w:r>
        <w:rPr>
          <w:lang w:val="es-ES_tradnl"/>
        </w:rPr>
        <w:t>2</w:t>
      </w:r>
      <w:r w:rsidR="007161CC">
        <w:rPr>
          <w:lang w:val="es-ES_tradnl"/>
        </w:rPr>
        <w:t>0</w:t>
      </w:r>
      <w:r>
        <w:rPr>
          <w:lang w:val="es-ES_tradnl"/>
        </w:rPr>
        <w:t>.</w:t>
      </w:r>
      <w:r>
        <w:rPr>
          <w:lang w:val="es-ES_tradnl"/>
        </w:rPr>
        <w:tab/>
      </w:r>
      <w:r w:rsidR="00CC0F1F" w:rsidRPr="00E407F9">
        <w:rPr>
          <w:lang w:val="es-ES_tradnl"/>
        </w:rPr>
        <w:t xml:space="preserve">El Subcomité encontró </w:t>
      </w:r>
      <w:r w:rsidR="003358C4" w:rsidRPr="00E407F9">
        <w:rPr>
          <w:lang w:val="es-ES_tradnl"/>
        </w:rPr>
        <w:t xml:space="preserve">un número preocupante de </w:t>
      </w:r>
      <w:r w:rsidR="00B37D1F">
        <w:rPr>
          <w:lang w:val="es-ES_tradnl"/>
        </w:rPr>
        <w:t>PPL</w:t>
      </w:r>
      <w:r w:rsidR="00CC0F1F" w:rsidRPr="00E407F9">
        <w:rPr>
          <w:lang w:val="es-ES_tradnl"/>
        </w:rPr>
        <w:t xml:space="preserve"> </w:t>
      </w:r>
      <w:r w:rsidR="003358C4" w:rsidRPr="00E407F9">
        <w:rPr>
          <w:lang w:val="es-ES_tradnl"/>
        </w:rPr>
        <w:t xml:space="preserve">en comisarías que decían </w:t>
      </w:r>
      <w:r w:rsidR="00CC0F1F" w:rsidRPr="00E407F9">
        <w:rPr>
          <w:lang w:val="es-ES_tradnl"/>
        </w:rPr>
        <w:t xml:space="preserve">no </w:t>
      </w:r>
      <w:r w:rsidR="003358C4" w:rsidRPr="00E407F9">
        <w:rPr>
          <w:lang w:val="es-ES_tradnl"/>
        </w:rPr>
        <w:t>haber</w:t>
      </w:r>
      <w:r w:rsidR="00CC0F1F" w:rsidRPr="00E407F9">
        <w:rPr>
          <w:lang w:val="es-ES_tradnl"/>
        </w:rPr>
        <w:t xml:space="preserve"> podido informar de su detención a un tercero de su elección durante </w:t>
      </w:r>
      <w:r w:rsidR="003358C4" w:rsidRPr="00E407F9">
        <w:rPr>
          <w:lang w:val="es-ES_tradnl"/>
        </w:rPr>
        <w:t>varios días</w:t>
      </w:r>
      <w:r w:rsidR="00CC0F1F" w:rsidRPr="00E407F9">
        <w:rPr>
          <w:lang w:val="es-ES_tradnl"/>
        </w:rPr>
        <w:t>.</w:t>
      </w:r>
    </w:p>
    <w:p w:rsidR="00CC0F1F" w:rsidRPr="00E407F9" w:rsidRDefault="00FA10B3" w:rsidP="003358C4">
      <w:pPr>
        <w:pStyle w:val="SingleTxtG"/>
        <w:rPr>
          <w:b/>
          <w:bCs/>
          <w:lang w:val="es-ES_tradnl"/>
        </w:rPr>
      </w:pPr>
      <w:r>
        <w:rPr>
          <w:b/>
          <w:bCs/>
          <w:lang w:val="es-ES_tradnl"/>
        </w:rPr>
        <w:t>2</w:t>
      </w:r>
      <w:r w:rsidR="007161CC">
        <w:rPr>
          <w:b/>
          <w:bCs/>
          <w:lang w:val="es-ES_tradnl"/>
        </w:rPr>
        <w:t>1</w:t>
      </w:r>
      <w:r>
        <w:rPr>
          <w:b/>
          <w:bCs/>
          <w:lang w:val="es-ES_tradnl"/>
        </w:rPr>
        <w:t>.</w:t>
      </w:r>
      <w:r>
        <w:rPr>
          <w:b/>
          <w:bCs/>
          <w:lang w:val="es-ES_tradnl"/>
        </w:rPr>
        <w:tab/>
      </w:r>
      <w:r w:rsidR="00CC0F1F" w:rsidRPr="00E407F9">
        <w:rPr>
          <w:b/>
          <w:bCs/>
          <w:lang w:val="es-ES_tradnl"/>
        </w:rPr>
        <w:t xml:space="preserve">El </w:t>
      </w:r>
      <w:r w:rsidR="00911FF4">
        <w:rPr>
          <w:b/>
          <w:bCs/>
          <w:lang w:val="es-ES_tradnl"/>
        </w:rPr>
        <w:t>Estado parte debe tomar medidas para garantizar que</w:t>
      </w:r>
      <w:r w:rsidR="00CC0F1F" w:rsidRPr="00E407F9">
        <w:rPr>
          <w:b/>
          <w:bCs/>
          <w:lang w:val="es-ES_tradnl"/>
        </w:rPr>
        <w:t xml:space="preserve"> las </w:t>
      </w:r>
      <w:r w:rsidR="00B37D1F">
        <w:rPr>
          <w:b/>
          <w:bCs/>
          <w:lang w:val="es-ES_tradnl"/>
        </w:rPr>
        <w:t>PPL</w:t>
      </w:r>
      <w:r w:rsidR="00CC0F1F" w:rsidRPr="00E407F9">
        <w:rPr>
          <w:b/>
          <w:bCs/>
          <w:lang w:val="es-ES_tradnl"/>
        </w:rPr>
        <w:t xml:space="preserve"> </w:t>
      </w:r>
      <w:r w:rsidR="00911FF4">
        <w:rPr>
          <w:b/>
          <w:bCs/>
          <w:lang w:val="es-ES_tradnl"/>
        </w:rPr>
        <w:t>puedan informar</w:t>
      </w:r>
      <w:r w:rsidR="00CC0F1F" w:rsidRPr="00E407F9">
        <w:rPr>
          <w:b/>
          <w:bCs/>
          <w:lang w:val="es-ES_tradnl"/>
        </w:rPr>
        <w:t xml:space="preserve"> a una persona de su elección, o pedir a las autoridades competentes que lo hagan, del hecho de </w:t>
      </w:r>
      <w:r w:rsidR="007161CC">
        <w:rPr>
          <w:b/>
          <w:bCs/>
          <w:lang w:val="es-ES_tradnl"/>
        </w:rPr>
        <w:t>la</w:t>
      </w:r>
      <w:r w:rsidR="00CC0F1F" w:rsidRPr="00E407F9">
        <w:rPr>
          <w:b/>
          <w:bCs/>
          <w:lang w:val="es-ES_tradnl"/>
        </w:rPr>
        <w:t xml:space="preserve"> detención </w:t>
      </w:r>
      <w:r w:rsidR="007161CC">
        <w:rPr>
          <w:b/>
          <w:bCs/>
          <w:lang w:val="es-ES_tradnl"/>
        </w:rPr>
        <w:t>y</w:t>
      </w:r>
      <w:r w:rsidR="00CC0F1F" w:rsidRPr="00E407F9">
        <w:rPr>
          <w:b/>
          <w:bCs/>
          <w:lang w:val="es-ES_tradnl"/>
        </w:rPr>
        <w:t xml:space="preserve"> del lugar en el que se encuentran. Esa notificación se realizará rápidamente tras </w:t>
      </w:r>
      <w:r w:rsidR="007161CC">
        <w:rPr>
          <w:b/>
          <w:bCs/>
          <w:lang w:val="es-ES_tradnl"/>
        </w:rPr>
        <w:t>la</w:t>
      </w:r>
      <w:r w:rsidR="00CC0F1F" w:rsidRPr="00E407F9">
        <w:rPr>
          <w:b/>
          <w:bCs/>
          <w:lang w:val="es-ES_tradnl"/>
        </w:rPr>
        <w:t xml:space="preserve"> detención inicial y cada vez que se traslade al detenido. D</w:t>
      </w:r>
      <w:r w:rsidR="000C4068">
        <w:rPr>
          <w:b/>
          <w:bCs/>
          <w:lang w:val="es-ES_tradnl"/>
        </w:rPr>
        <w:t>e ser posible, l</w:t>
      </w:r>
      <w:r w:rsidR="00CC0F1F" w:rsidRPr="00E407F9">
        <w:rPr>
          <w:b/>
          <w:bCs/>
          <w:lang w:val="es-ES_tradnl"/>
        </w:rPr>
        <w:t>a notificación se hará mediante llamada telefónica</w:t>
      </w:r>
      <w:r w:rsidR="007161CC">
        <w:rPr>
          <w:b/>
          <w:bCs/>
          <w:lang w:val="es-ES_tradnl"/>
        </w:rPr>
        <w:t>, consignándose</w:t>
      </w:r>
      <w:r w:rsidR="00CC0F1F" w:rsidRPr="00E407F9">
        <w:rPr>
          <w:b/>
          <w:bCs/>
          <w:lang w:val="es-ES_tradnl"/>
        </w:rPr>
        <w:t xml:space="preserve"> en el registro la fecha y hora </w:t>
      </w:r>
      <w:r w:rsidR="000C4068">
        <w:rPr>
          <w:b/>
          <w:bCs/>
          <w:lang w:val="es-ES_tradnl"/>
        </w:rPr>
        <w:t>de la misma y</w:t>
      </w:r>
      <w:r w:rsidR="00CC0F1F" w:rsidRPr="00E407F9">
        <w:rPr>
          <w:b/>
          <w:bCs/>
          <w:lang w:val="es-ES_tradnl"/>
        </w:rPr>
        <w:t xml:space="preserve"> la identida</w:t>
      </w:r>
      <w:r w:rsidR="003358C4" w:rsidRPr="00E407F9">
        <w:rPr>
          <w:b/>
          <w:bCs/>
          <w:lang w:val="es-ES_tradnl"/>
        </w:rPr>
        <w:t>d de la persona notificada</w:t>
      </w:r>
      <w:r w:rsidR="005A79D6" w:rsidRPr="00E407F9">
        <w:rPr>
          <w:rStyle w:val="FootnoteReference"/>
          <w:lang w:val="es-ES_tradnl"/>
        </w:rPr>
        <w:footnoteReference w:id="11"/>
      </w:r>
      <w:r w:rsidR="005A79D6" w:rsidRPr="00E407F9">
        <w:rPr>
          <w:lang w:val="es-ES_tradnl"/>
        </w:rPr>
        <w:t>.</w:t>
      </w:r>
    </w:p>
    <w:p w:rsidR="007E63FE" w:rsidRPr="00E407F9" w:rsidRDefault="007E63FE" w:rsidP="007E63FE">
      <w:pPr>
        <w:pStyle w:val="H4G"/>
        <w:rPr>
          <w:lang w:val="es-ES_tradnl"/>
        </w:rPr>
      </w:pPr>
      <w:r w:rsidRPr="00E407F9">
        <w:rPr>
          <w:lang w:val="es-ES_tradnl"/>
        </w:rPr>
        <w:tab/>
      </w:r>
      <w:r w:rsidR="002D5CE5">
        <w:rPr>
          <w:lang w:val="es-ES_tradnl"/>
        </w:rPr>
        <w:t>c</w:t>
      </w:r>
      <w:r w:rsidRPr="00E407F9">
        <w:rPr>
          <w:lang w:val="es-ES_tradnl"/>
        </w:rPr>
        <w:t>)</w:t>
      </w:r>
      <w:r w:rsidRPr="00E407F9">
        <w:rPr>
          <w:lang w:val="es-ES_tradnl"/>
        </w:rPr>
        <w:tab/>
        <w:t>Reconocimiento médico</w:t>
      </w:r>
      <w:r w:rsidR="00996FDF" w:rsidRPr="00E407F9">
        <w:rPr>
          <w:lang w:val="es-ES_tradnl"/>
        </w:rPr>
        <w:t xml:space="preserve"> y asistencia médica durante </w:t>
      </w:r>
      <w:r w:rsidR="005A79D6">
        <w:rPr>
          <w:lang w:val="es-ES_tradnl"/>
        </w:rPr>
        <w:t xml:space="preserve">la </w:t>
      </w:r>
      <w:r w:rsidR="00996FDF" w:rsidRPr="00E407F9">
        <w:rPr>
          <w:lang w:val="es-ES_tradnl"/>
        </w:rPr>
        <w:t>detención policial</w:t>
      </w:r>
    </w:p>
    <w:p w:rsidR="003358C4" w:rsidRPr="00E407F9" w:rsidRDefault="00764EC2" w:rsidP="00CC0F1F">
      <w:pPr>
        <w:pStyle w:val="SingleTxtG"/>
        <w:rPr>
          <w:lang w:val="es-ES_tradnl"/>
        </w:rPr>
      </w:pPr>
      <w:r>
        <w:rPr>
          <w:lang w:val="es-ES_tradnl"/>
        </w:rPr>
        <w:t>2</w:t>
      </w:r>
      <w:r w:rsidR="000C4068">
        <w:rPr>
          <w:lang w:val="es-ES_tradnl"/>
        </w:rPr>
        <w:t>2</w:t>
      </w:r>
      <w:r w:rsidR="00FA10B3">
        <w:rPr>
          <w:lang w:val="es-ES_tradnl"/>
        </w:rPr>
        <w:t>.</w:t>
      </w:r>
      <w:r w:rsidR="00FA10B3">
        <w:rPr>
          <w:lang w:val="es-ES_tradnl"/>
        </w:rPr>
        <w:tab/>
      </w:r>
      <w:r w:rsidR="003358C4" w:rsidRPr="00E407F9">
        <w:rPr>
          <w:lang w:val="es-ES_tradnl"/>
        </w:rPr>
        <w:t xml:space="preserve">Algunos detenidos entrevistados por el SPT </w:t>
      </w:r>
      <w:r w:rsidR="005D0F83" w:rsidRPr="00E407F9">
        <w:rPr>
          <w:lang w:val="es-ES_tradnl"/>
        </w:rPr>
        <w:t>alegaron</w:t>
      </w:r>
      <w:r w:rsidR="003358C4" w:rsidRPr="00E407F9">
        <w:rPr>
          <w:lang w:val="es-ES_tradnl"/>
        </w:rPr>
        <w:t xml:space="preserve"> que no habían sido sometidos a un reconocimiento médico después de su detención. </w:t>
      </w:r>
      <w:r w:rsidR="00BC17C4">
        <w:rPr>
          <w:lang w:val="es-ES_tradnl"/>
        </w:rPr>
        <w:t>Otros manifestaron</w:t>
      </w:r>
      <w:r w:rsidR="003358C4" w:rsidRPr="00E407F9">
        <w:rPr>
          <w:lang w:val="es-ES_tradnl"/>
        </w:rPr>
        <w:t xml:space="preserve"> que fueron examinados por un médico de manera superficial</w:t>
      </w:r>
      <w:r w:rsidR="00BC17C4">
        <w:rPr>
          <w:lang w:val="es-ES_tradnl"/>
        </w:rPr>
        <w:t xml:space="preserve"> y</w:t>
      </w:r>
      <w:r w:rsidR="003358C4" w:rsidRPr="00E407F9">
        <w:rPr>
          <w:lang w:val="es-ES_tradnl"/>
        </w:rPr>
        <w:t xml:space="preserve"> en presencia de</w:t>
      </w:r>
      <w:r w:rsidR="00BC17C4">
        <w:rPr>
          <w:lang w:val="es-ES_tradnl"/>
        </w:rPr>
        <w:t>l</w:t>
      </w:r>
      <w:r w:rsidR="003358C4" w:rsidRPr="00E407F9">
        <w:rPr>
          <w:lang w:val="es-ES_tradnl"/>
        </w:rPr>
        <w:t xml:space="preserve"> personal policial y que los resultados del reconocimiento fueron transmitidos a la policía. </w:t>
      </w:r>
    </w:p>
    <w:p w:rsidR="00CC341F" w:rsidRDefault="00FA10B3" w:rsidP="00526BD1">
      <w:pPr>
        <w:pStyle w:val="SingleTxtG"/>
        <w:rPr>
          <w:lang w:val="es-ES_tradnl"/>
        </w:rPr>
      </w:pPr>
      <w:r>
        <w:rPr>
          <w:lang w:val="es-ES_tradnl"/>
        </w:rPr>
        <w:t>2</w:t>
      </w:r>
      <w:r w:rsidR="00BC17C4">
        <w:rPr>
          <w:lang w:val="es-ES_tradnl"/>
        </w:rPr>
        <w:t>3</w:t>
      </w:r>
      <w:r>
        <w:rPr>
          <w:lang w:val="es-ES_tradnl"/>
        </w:rPr>
        <w:t>.</w:t>
      </w:r>
      <w:r>
        <w:rPr>
          <w:lang w:val="es-ES_tradnl"/>
        </w:rPr>
        <w:tab/>
      </w:r>
      <w:r w:rsidR="00BC17C4">
        <w:rPr>
          <w:lang w:val="es-ES_tradnl"/>
        </w:rPr>
        <w:t>E</w:t>
      </w:r>
      <w:r w:rsidR="003358C4" w:rsidRPr="00E407F9">
        <w:rPr>
          <w:lang w:val="es-ES_tradnl"/>
        </w:rPr>
        <w:t xml:space="preserve">n las comisarías federales y provinciales visitadas, el SPT observó </w:t>
      </w:r>
      <w:r w:rsidR="005A79D6">
        <w:rPr>
          <w:lang w:val="es-ES_tradnl"/>
        </w:rPr>
        <w:t xml:space="preserve">importantes </w:t>
      </w:r>
      <w:r w:rsidR="003358C4" w:rsidRPr="00E407F9">
        <w:rPr>
          <w:lang w:val="es-ES_tradnl"/>
        </w:rPr>
        <w:t>carencia</w:t>
      </w:r>
      <w:r w:rsidR="005A79D6">
        <w:rPr>
          <w:lang w:val="es-ES_tradnl"/>
        </w:rPr>
        <w:t xml:space="preserve">s en </w:t>
      </w:r>
      <w:r w:rsidR="00BC17C4">
        <w:rPr>
          <w:lang w:val="es-ES_tradnl"/>
        </w:rPr>
        <w:t>el</w:t>
      </w:r>
      <w:r w:rsidR="003358C4" w:rsidRPr="00E407F9">
        <w:rPr>
          <w:lang w:val="es-ES_tradnl"/>
        </w:rPr>
        <w:t xml:space="preserve"> acceso a asistencia médica.</w:t>
      </w:r>
      <w:r w:rsidR="00EB2DFD">
        <w:rPr>
          <w:lang w:val="es-ES_tradnl"/>
        </w:rPr>
        <w:t xml:space="preserve"> Igualmente se observó que los equipos</w:t>
      </w:r>
      <w:r w:rsidR="002736D4">
        <w:rPr>
          <w:lang w:val="es-ES_tradnl"/>
        </w:rPr>
        <w:t xml:space="preserve"> de salud no conocen o no manejan adecuadamente principios básicos del Protocolo de Estambul, ni tienen protocolos de actuación sobre la forma de documentar </w:t>
      </w:r>
      <w:r w:rsidR="00B310E8">
        <w:rPr>
          <w:lang w:val="es-ES_tradnl"/>
        </w:rPr>
        <w:t xml:space="preserve">en sus informes médicos y psicológicos </w:t>
      </w:r>
      <w:r w:rsidR="002736D4">
        <w:rPr>
          <w:lang w:val="es-ES_tradnl"/>
        </w:rPr>
        <w:t>situaciones que pudieran implicar tortura y malos tratos.</w:t>
      </w:r>
    </w:p>
    <w:p w:rsidR="006F4DF2" w:rsidRDefault="00FA10B3" w:rsidP="00526BD1">
      <w:pPr>
        <w:pStyle w:val="SingleTxtG"/>
        <w:rPr>
          <w:sz w:val="24"/>
          <w:szCs w:val="24"/>
          <w:lang w:val="es-ES_tradnl" w:eastAsia="en-GB"/>
        </w:rPr>
      </w:pPr>
      <w:r>
        <w:rPr>
          <w:b/>
          <w:bCs/>
          <w:lang w:val="es-ES_tradnl"/>
        </w:rPr>
        <w:t>2</w:t>
      </w:r>
      <w:r w:rsidR="00F17561">
        <w:rPr>
          <w:b/>
          <w:bCs/>
          <w:lang w:val="es-ES_tradnl"/>
        </w:rPr>
        <w:t>4</w:t>
      </w:r>
      <w:r>
        <w:rPr>
          <w:b/>
          <w:bCs/>
          <w:lang w:val="es-ES_tradnl"/>
        </w:rPr>
        <w:t>.</w:t>
      </w:r>
      <w:r>
        <w:rPr>
          <w:b/>
          <w:bCs/>
          <w:lang w:val="es-ES_tradnl"/>
        </w:rPr>
        <w:tab/>
      </w:r>
      <w:r w:rsidR="006F4DF2">
        <w:rPr>
          <w:b/>
          <w:bCs/>
          <w:lang w:val="es-ES_tradnl"/>
        </w:rPr>
        <w:t xml:space="preserve">El </w:t>
      </w:r>
      <w:r w:rsidR="00F17561">
        <w:rPr>
          <w:b/>
          <w:bCs/>
          <w:lang w:val="es-ES_tradnl"/>
        </w:rPr>
        <w:t>Estado debe tomar</w:t>
      </w:r>
      <w:r w:rsidR="006F4DF2">
        <w:rPr>
          <w:b/>
          <w:bCs/>
          <w:lang w:val="es-ES_tradnl"/>
        </w:rPr>
        <w:t xml:space="preserve"> medidas adecuadas para garantizar </w:t>
      </w:r>
      <w:r w:rsidR="00F17561">
        <w:rPr>
          <w:b/>
          <w:bCs/>
          <w:lang w:val="es-ES_tradnl"/>
        </w:rPr>
        <w:t xml:space="preserve">el pronto acceso de </w:t>
      </w:r>
      <w:r w:rsidR="006F4DF2">
        <w:rPr>
          <w:b/>
          <w:bCs/>
          <w:lang w:val="es-ES_tradnl"/>
        </w:rPr>
        <w:t xml:space="preserve">toda persona detenida a un examen médico </w:t>
      </w:r>
      <w:r w:rsidR="00ED499A">
        <w:rPr>
          <w:b/>
          <w:bCs/>
          <w:lang w:val="es-ES_tradnl"/>
        </w:rPr>
        <w:t xml:space="preserve">gratuito </w:t>
      </w:r>
      <w:r w:rsidR="006F4DF2">
        <w:rPr>
          <w:b/>
          <w:bCs/>
          <w:lang w:val="es-ES_tradnl"/>
        </w:rPr>
        <w:t xml:space="preserve">y que los médicos actúen en condiciones de independencia y reciban capacitación en materia de examen y documentación de posibles casos de tortura o malos tratos, en línea con lo establecido en el Protocolo de Estambul. </w:t>
      </w:r>
      <w:r w:rsidR="00F17561">
        <w:rPr>
          <w:b/>
          <w:bCs/>
          <w:lang w:val="es-ES_tradnl"/>
        </w:rPr>
        <w:t xml:space="preserve">Debe </w:t>
      </w:r>
      <w:r w:rsidR="006F4DF2">
        <w:rPr>
          <w:b/>
          <w:bCs/>
          <w:lang w:val="es-ES_tradnl"/>
        </w:rPr>
        <w:t>dej</w:t>
      </w:r>
      <w:r w:rsidR="00F17561">
        <w:rPr>
          <w:b/>
          <w:bCs/>
          <w:lang w:val="es-ES_tradnl"/>
        </w:rPr>
        <w:t>arse</w:t>
      </w:r>
      <w:r w:rsidR="006F4DF2">
        <w:rPr>
          <w:b/>
          <w:bCs/>
          <w:lang w:val="es-ES_tradnl"/>
        </w:rPr>
        <w:t xml:space="preserve"> </w:t>
      </w:r>
      <w:r w:rsidR="006F4DF2">
        <w:rPr>
          <w:b/>
          <w:lang w:val="es-ES_tradnl"/>
        </w:rPr>
        <w:t>constancia en registros de</w:t>
      </w:r>
      <w:r w:rsidR="00F17561">
        <w:rPr>
          <w:b/>
          <w:lang w:val="es-ES_tradnl"/>
        </w:rPr>
        <w:t xml:space="preserve"> dichos exámenes</w:t>
      </w:r>
      <w:r w:rsidR="006F4DF2">
        <w:rPr>
          <w:b/>
          <w:lang w:val="es-ES_tradnl"/>
        </w:rPr>
        <w:t xml:space="preserve">, de la identidad del médico </w:t>
      </w:r>
      <w:r w:rsidR="00F17561">
        <w:rPr>
          <w:b/>
          <w:lang w:val="es-ES_tradnl"/>
        </w:rPr>
        <w:t xml:space="preserve">que los realizó </w:t>
      </w:r>
      <w:r w:rsidR="006F4DF2">
        <w:rPr>
          <w:b/>
          <w:lang w:val="es-ES_tradnl"/>
        </w:rPr>
        <w:t>y de los result</w:t>
      </w:r>
      <w:r w:rsidR="007E763A">
        <w:rPr>
          <w:b/>
          <w:lang w:val="es-ES_tradnl"/>
        </w:rPr>
        <w:t>ados</w:t>
      </w:r>
      <w:r w:rsidR="006F4DF2">
        <w:rPr>
          <w:rStyle w:val="FootnoteReference"/>
          <w:b/>
          <w:lang w:val="es-ES_tradnl"/>
        </w:rPr>
        <w:footnoteReference w:id="12"/>
      </w:r>
      <w:r w:rsidR="006F4DF2">
        <w:rPr>
          <w:b/>
          <w:lang w:val="es-ES_tradnl"/>
        </w:rPr>
        <w:t>. Debe instrumentarse el Protocolo de Estambul como un medio para la elaboración de informes médico-psicológicos y la prevención de la tortura.</w:t>
      </w:r>
      <w:r w:rsidR="006F4DF2" w:rsidRPr="00526BD1">
        <w:rPr>
          <w:sz w:val="24"/>
          <w:szCs w:val="24"/>
          <w:lang w:val="es-ES_tradnl" w:eastAsia="en-GB"/>
        </w:rPr>
        <w:t xml:space="preserve"> </w:t>
      </w:r>
    </w:p>
    <w:p w:rsidR="00CC0F1F" w:rsidRPr="00E407F9" w:rsidRDefault="00FA10B3" w:rsidP="003358C4">
      <w:pPr>
        <w:pStyle w:val="SingleTxtG"/>
        <w:rPr>
          <w:lang w:val="es-ES_tradnl"/>
        </w:rPr>
      </w:pPr>
      <w:r>
        <w:rPr>
          <w:b/>
          <w:lang w:val="es-ES_tradnl"/>
        </w:rPr>
        <w:t>2</w:t>
      </w:r>
      <w:r w:rsidR="00F17561">
        <w:rPr>
          <w:b/>
          <w:lang w:val="es-ES_tradnl"/>
        </w:rPr>
        <w:t>5</w:t>
      </w:r>
      <w:r>
        <w:rPr>
          <w:b/>
          <w:lang w:val="es-ES_tradnl"/>
        </w:rPr>
        <w:t>.</w:t>
      </w:r>
      <w:r>
        <w:rPr>
          <w:b/>
          <w:lang w:val="es-ES_tradnl"/>
        </w:rPr>
        <w:tab/>
      </w:r>
      <w:r w:rsidR="007E63FE" w:rsidRPr="00E407F9">
        <w:rPr>
          <w:b/>
          <w:lang w:val="es-ES_tradnl"/>
        </w:rPr>
        <w:t xml:space="preserve">El </w:t>
      </w:r>
      <w:r w:rsidR="00F17561">
        <w:rPr>
          <w:b/>
          <w:lang w:val="es-ES_tradnl"/>
        </w:rPr>
        <w:t xml:space="preserve">Estado debe </w:t>
      </w:r>
      <w:r w:rsidR="007E63FE" w:rsidRPr="00E407F9">
        <w:rPr>
          <w:b/>
          <w:lang w:val="es-ES_tradnl"/>
        </w:rPr>
        <w:t>estable</w:t>
      </w:r>
      <w:r w:rsidR="00F17561">
        <w:rPr>
          <w:b/>
          <w:lang w:val="es-ES_tradnl"/>
        </w:rPr>
        <w:t>cer</w:t>
      </w:r>
      <w:r w:rsidR="007E63FE" w:rsidRPr="00E407F9">
        <w:rPr>
          <w:b/>
          <w:lang w:val="es-ES_tradnl"/>
        </w:rPr>
        <w:t xml:space="preserve"> un sistema que garantice a las personas en detención policial </w:t>
      </w:r>
      <w:r w:rsidR="00ED499A">
        <w:rPr>
          <w:b/>
          <w:lang w:val="es-ES_tradnl"/>
        </w:rPr>
        <w:t xml:space="preserve">que lo necesiten, </w:t>
      </w:r>
      <w:r w:rsidR="007E63FE" w:rsidRPr="00E407F9">
        <w:rPr>
          <w:b/>
          <w:lang w:val="es-ES_tradnl"/>
        </w:rPr>
        <w:t>un acceso rápido y gratuito a  tratamiento médico.</w:t>
      </w:r>
    </w:p>
    <w:p w:rsidR="00CC0F1F" w:rsidRPr="00E407F9" w:rsidRDefault="00CC0F1F" w:rsidP="00CC0F1F">
      <w:pPr>
        <w:pStyle w:val="H4G"/>
        <w:rPr>
          <w:lang w:val="es-ES_tradnl"/>
        </w:rPr>
      </w:pPr>
      <w:r w:rsidRPr="00E407F9">
        <w:rPr>
          <w:lang w:val="es-ES_tradnl"/>
        </w:rPr>
        <w:tab/>
      </w:r>
      <w:r w:rsidR="002D5CE5">
        <w:rPr>
          <w:lang w:val="es-ES_tradnl"/>
        </w:rPr>
        <w:t>d</w:t>
      </w:r>
      <w:r w:rsidRPr="00E407F9">
        <w:rPr>
          <w:lang w:val="es-ES_tradnl"/>
        </w:rPr>
        <w:t>)</w:t>
      </w:r>
      <w:r w:rsidRPr="00E407F9">
        <w:rPr>
          <w:lang w:val="es-ES_tradnl"/>
        </w:rPr>
        <w:tab/>
        <w:t>Dotación de personal</w:t>
      </w:r>
    </w:p>
    <w:p w:rsidR="00CC0F1F" w:rsidRPr="00E407F9" w:rsidRDefault="00764EC2" w:rsidP="00CC0F1F">
      <w:pPr>
        <w:pStyle w:val="SingleTxtG"/>
        <w:rPr>
          <w:lang w:val="es-ES_tradnl"/>
        </w:rPr>
      </w:pPr>
      <w:r>
        <w:rPr>
          <w:lang w:val="es-ES_tradnl"/>
        </w:rPr>
        <w:t>2</w:t>
      </w:r>
      <w:r w:rsidR="00F17561">
        <w:rPr>
          <w:lang w:val="es-ES_tradnl"/>
        </w:rPr>
        <w:t>6</w:t>
      </w:r>
      <w:r w:rsidR="00FA10B3">
        <w:rPr>
          <w:lang w:val="es-ES_tradnl"/>
        </w:rPr>
        <w:t>.</w:t>
      </w:r>
      <w:r w:rsidR="00FA10B3">
        <w:rPr>
          <w:lang w:val="es-ES_tradnl"/>
        </w:rPr>
        <w:tab/>
      </w:r>
      <w:r w:rsidR="00CC0F1F" w:rsidRPr="00E407F9">
        <w:rPr>
          <w:lang w:val="es-ES_tradnl"/>
        </w:rPr>
        <w:t>El Subcomité</w:t>
      </w:r>
      <w:r w:rsidR="00A01F63" w:rsidRPr="00E407F9">
        <w:rPr>
          <w:lang w:val="es-ES_tradnl"/>
        </w:rPr>
        <w:t xml:space="preserve"> se entrevistó con personal </w:t>
      </w:r>
      <w:r w:rsidR="00484146" w:rsidRPr="00E407F9">
        <w:rPr>
          <w:lang w:val="es-ES_tradnl"/>
        </w:rPr>
        <w:t xml:space="preserve">de la Policía Federal Argentina </w:t>
      </w:r>
      <w:r w:rsidR="00A01F63" w:rsidRPr="00E407F9">
        <w:rPr>
          <w:lang w:val="es-ES_tradnl"/>
        </w:rPr>
        <w:t xml:space="preserve">y </w:t>
      </w:r>
      <w:r w:rsidR="00484146" w:rsidRPr="00E407F9">
        <w:rPr>
          <w:lang w:val="es-ES_tradnl"/>
        </w:rPr>
        <w:t>la Policía Bonaerense</w:t>
      </w:r>
      <w:r w:rsidR="003471ED" w:rsidRPr="00E407F9">
        <w:rPr>
          <w:lang w:val="es-ES_tradnl"/>
        </w:rPr>
        <w:t xml:space="preserve"> durante </w:t>
      </w:r>
      <w:r w:rsidR="00F17561">
        <w:rPr>
          <w:lang w:val="es-ES_tradnl"/>
        </w:rPr>
        <w:t>su</w:t>
      </w:r>
      <w:r w:rsidR="003471ED" w:rsidRPr="00E407F9">
        <w:rPr>
          <w:lang w:val="es-ES_tradnl"/>
        </w:rPr>
        <w:t>s visitas a comisarías</w:t>
      </w:r>
      <w:r w:rsidR="00F27697" w:rsidRPr="00E407F9">
        <w:rPr>
          <w:lang w:val="es-ES_tradnl"/>
        </w:rPr>
        <w:t xml:space="preserve"> y recibió quejas sobre </w:t>
      </w:r>
      <w:r w:rsidR="00CC0F1F" w:rsidRPr="00E407F9">
        <w:rPr>
          <w:lang w:val="es-ES_tradnl"/>
        </w:rPr>
        <w:t>los problemas asociados a la falta de personal</w:t>
      </w:r>
      <w:r w:rsidR="002301DD" w:rsidRPr="00E407F9">
        <w:rPr>
          <w:lang w:val="es-ES_tradnl"/>
        </w:rPr>
        <w:t xml:space="preserve"> y presupuesto en ambas jurisdicciones</w:t>
      </w:r>
      <w:r w:rsidR="002736D4">
        <w:rPr>
          <w:lang w:val="es-ES_tradnl"/>
        </w:rPr>
        <w:t xml:space="preserve">, así como de condiciones </w:t>
      </w:r>
      <w:r w:rsidR="006C3020">
        <w:rPr>
          <w:lang w:val="es-ES_tradnl"/>
        </w:rPr>
        <w:t>materiales de trabajo deficientes.</w:t>
      </w:r>
    </w:p>
    <w:p w:rsidR="00CC0F1F" w:rsidRPr="00E407F9" w:rsidRDefault="00764EC2" w:rsidP="00CC0F1F">
      <w:pPr>
        <w:pStyle w:val="SingleTxtG"/>
        <w:rPr>
          <w:b/>
          <w:lang w:val="es-ES_tradnl"/>
        </w:rPr>
      </w:pPr>
      <w:r>
        <w:rPr>
          <w:b/>
          <w:lang w:val="es-ES_tradnl"/>
        </w:rPr>
        <w:t>2</w:t>
      </w:r>
      <w:r w:rsidR="00F17561">
        <w:rPr>
          <w:b/>
          <w:lang w:val="es-ES_tradnl"/>
        </w:rPr>
        <w:t>7</w:t>
      </w:r>
      <w:r w:rsidR="00FA10B3">
        <w:rPr>
          <w:b/>
          <w:lang w:val="es-ES_tradnl"/>
        </w:rPr>
        <w:t>.</w:t>
      </w:r>
      <w:r w:rsidR="00FA10B3">
        <w:rPr>
          <w:b/>
          <w:lang w:val="es-ES_tradnl"/>
        </w:rPr>
        <w:tab/>
      </w:r>
      <w:r w:rsidR="00CC0F1F" w:rsidRPr="00E407F9">
        <w:rPr>
          <w:b/>
          <w:lang w:val="es-ES_tradnl"/>
        </w:rPr>
        <w:t>El Estado parte</w:t>
      </w:r>
      <w:r w:rsidR="00F17561">
        <w:rPr>
          <w:b/>
          <w:lang w:val="es-ES_tradnl"/>
        </w:rPr>
        <w:t xml:space="preserve"> debe velar</w:t>
      </w:r>
      <w:r w:rsidR="00CC0F1F" w:rsidRPr="00E407F9">
        <w:rPr>
          <w:b/>
          <w:lang w:val="es-ES_tradnl"/>
        </w:rPr>
        <w:t xml:space="preserve"> por que </w:t>
      </w:r>
      <w:r w:rsidR="004F1C13">
        <w:rPr>
          <w:b/>
          <w:lang w:val="es-ES_tradnl"/>
        </w:rPr>
        <w:t>el</w:t>
      </w:r>
      <w:r w:rsidR="00CC0F1F" w:rsidRPr="00E407F9">
        <w:rPr>
          <w:b/>
          <w:lang w:val="es-ES_tradnl"/>
        </w:rPr>
        <w:t xml:space="preserve"> presupuest</w:t>
      </w:r>
      <w:r w:rsidR="004F1C13">
        <w:rPr>
          <w:b/>
          <w:lang w:val="es-ES_tradnl"/>
        </w:rPr>
        <w:t>o</w:t>
      </w:r>
      <w:r w:rsidR="00CC0F1F" w:rsidRPr="00E407F9">
        <w:rPr>
          <w:b/>
          <w:lang w:val="es-ES_tradnl"/>
        </w:rPr>
        <w:t xml:space="preserve"> destinad</w:t>
      </w:r>
      <w:r w:rsidR="004F1C13">
        <w:rPr>
          <w:b/>
          <w:lang w:val="es-ES_tradnl"/>
        </w:rPr>
        <w:t>o</w:t>
      </w:r>
      <w:r w:rsidR="00CC0F1F" w:rsidRPr="00E407F9">
        <w:rPr>
          <w:b/>
          <w:lang w:val="es-ES_tradnl"/>
        </w:rPr>
        <w:t xml:space="preserve"> a la</w:t>
      </w:r>
      <w:r w:rsidR="004F1C13">
        <w:rPr>
          <w:b/>
          <w:lang w:val="es-ES_tradnl"/>
        </w:rPr>
        <w:t>s</w:t>
      </w:r>
      <w:r w:rsidR="00CC0F1F" w:rsidRPr="00E407F9">
        <w:rPr>
          <w:b/>
          <w:lang w:val="es-ES_tradnl"/>
        </w:rPr>
        <w:t xml:space="preserve"> policía</w:t>
      </w:r>
      <w:r w:rsidR="004F1C13">
        <w:rPr>
          <w:b/>
          <w:lang w:val="es-ES_tradnl"/>
        </w:rPr>
        <w:t>s</w:t>
      </w:r>
      <w:r w:rsidR="00CC0F1F" w:rsidRPr="00E407F9">
        <w:rPr>
          <w:b/>
          <w:lang w:val="es-ES_tradnl"/>
        </w:rPr>
        <w:t xml:space="preserve"> </w:t>
      </w:r>
      <w:r w:rsidR="003471ED" w:rsidRPr="00E407F9">
        <w:rPr>
          <w:b/>
          <w:lang w:val="es-ES_tradnl"/>
        </w:rPr>
        <w:t xml:space="preserve">federal y provinciales en todo el país </w:t>
      </w:r>
      <w:r w:rsidR="00CC0F1F" w:rsidRPr="00E407F9">
        <w:rPr>
          <w:b/>
          <w:lang w:val="es-ES_tradnl"/>
        </w:rPr>
        <w:t>sea suficiente para que esa</w:t>
      </w:r>
      <w:r w:rsidR="003471ED" w:rsidRPr="00E407F9">
        <w:rPr>
          <w:b/>
          <w:lang w:val="es-ES_tradnl"/>
        </w:rPr>
        <w:t>s</w:t>
      </w:r>
      <w:r w:rsidR="00CC0F1F" w:rsidRPr="00E407F9">
        <w:rPr>
          <w:b/>
          <w:lang w:val="es-ES_tradnl"/>
        </w:rPr>
        <w:t xml:space="preserve"> fuerza</w:t>
      </w:r>
      <w:r w:rsidR="003471ED" w:rsidRPr="00E407F9">
        <w:rPr>
          <w:b/>
          <w:lang w:val="es-ES_tradnl"/>
        </w:rPr>
        <w:t>s</w:t>
      </w:r>
      <w:r w:rsidR="00CC0F1F" w:rsidRPr="00E407F9">
        <w:rPr>
          <w:b/>
          <w:lang w:val="es-ES_tradnl"/>
        </w:rPr>
        <w:t xml:space="preserve"> esté</w:t>
      </w:r>
      <w:r w:rsidR="003471ED" w:rsidRPr="00E407F9">
        <w:rPr>
          <w:b/>
          <w:lang w:val="es-ES_tradnl"/>
        </w:rPr>
        <w:t>n</w:t>
      </w:r>
      <w:r w:rsidR="00CC0F1F" w:rsidRPr="00E407F9">
        <w:rPr>
          <w:b/>
          <w:lang w:val="es-ES_tradnl"/>
        </w:rPr>
        <w:t xml:space="preserve"> integrada</w:t>
      </w:r>
      <w:r w:rsidR="003471ED" w:rsidRPr="00E407F9">
        <w:rPr>
          <w:b/>
          <w:lang w:val="es-ES_tradnl"/>
        </w:rPr>
        <w:t>s</w:t>
      </w:r>
      <w:r w:rsidR="00CC0F1F" w:rsidRPr="00E407F9">
        <w:rPr>
          <w:b/>
          <w:lang w:val="es-ES_tradnl"/>
        </w:rPr>
        <w:t xml:space="preserve"> por personal motivado, co</w:t>
      </w:r>
      <w:r w:rsidR="00F17561">
        <w:rPr>
          <w:b/>
          <w:lang w:val="es-ES_tradnl"/>
        </w:rPr>
        <w:t xml:space="preserve">rrectamente remunerado y con </w:t>
      </w:r>
      <w:r w:rsidR="00CC0F1F" w:rsidRPr="00E407F9">
        <w:rPr>
          <w:b/>
          <w:lang w:val="es-ES_tradnl"/>
        </w:rPr>
        <w:t xml:space="preserve">una formación </w:t>
      </w:r>
      <w:r w:rsidR="004F1C13">
        <w:rPr>
          <w:b/>
          <w:lang w:val="es-ES_tradnl"/>
        </w:rPr>
        <w:t>acorde con su función y con un</w:t>
      </w:r>
      <w:r w:rsidR="00CC0F1F" w:rsidRPr="00E407F9">
        <w:rPr>
          <w:b/>
          <w:lang w:val="es-ES_tradnl"/>
        </w:rPr>
        <w:t xml:space="preserve"> enfoque de derechos humanos. Deben establecerse mecanismos internos de supervisión para garantizar </w:t>
      </w:r>
      <w:r w:rsidR="00063F8D">
        <w:rPr>
          <w:b/>
          <w:lang w:val="es-ES_tradnl"/>
        </w:rPr>
        <w:t xml:space="preserve">el cumplimiento por parte de la policía de </w:t>
      </w:r>
      <w:r w:rsidR="00CC0F1F" w:rsidRPr="00E407F9">
        <w:rPr>
          <w:b/>
          <w:lang w:val="es-ES_tradnl"/>
        </w:rPr>
        <w:t>las normas internacionales de derechos humanos</w:t>
      </w:r>
      <w:r w:rsidR="00063F8D">
        <w:rPr>
          <w:b/>
          <w:lang w:val="es-ES_tradnl"/>
        </w:rPr>
        <w:t xml:space="preserve"> pertinentes</w:t>
      </w:r>
      <w:r w:rsidR="00CC0F1F" w:rsidRPr="00E407F9">
        <w:rPr>
          <w:rStyle w:val="FootnoteReference"/>
          <w:lang w:val="es-ES_tradnl"/>
        </w:rPr>
        <w:footnoteReference w:id="13"/>
      </w:r>
      <w:r w:rsidR="00A01F63" w:rsidRPr="00E407F9">
        <w:rPr>
          <w:b/>
          <w:lang w:val="es-ES_tradnl"/>
        </w:rPr>
        <w:t>.</w:t>
      </w:r>
    </w:p>
    <w:p w:rsidR="00CC0F1F" w:rsidRPr="00E407F9" w:rsidRDefault="00CC0F1F" w:rsidP="00CC0F1F">
      <w:pPr>
        <w:pStyle w:val="H23G"/>
        <w:rPr>
          <w:lang w:val="es-ES_tradnl"/>
        </w:rPr>
      </w:pPr>
      <w:r w:rsidRPr="00E407F9">
        <w:rPr>
          <w:lang w:val="es-ES_tradnl"/>
        </w:rPr>
        <w:tab/>
        <w:t>2.</w:t>
      </w:r>
      <w:r w:rsidRPr="00E407F9">
        <w:rPr>
          <w:lang w:val="es-ES_tradnl"/>
        </w:rPr>
        <w:tab/>
        <w:t>Condiciones de detención</w:t>
      </w:r>
    </w:p>
    <w:p w:rsidR="008036B6" w:rsidRDefault="009D03CE" w:rsidP="008036B6">
      <w:pPr>
        <w:pStyle w:val="SingleTxtG"/>
        <w:rPr>
          <w:lang w:val="es-ES_tradnl"/>
        </w:rPr>
      </w:pPr>
      <w:r>
        <w:rPr>
          <w:lang w:val="es-ES_tradnl"/>
        </w:rPr>
        <w:t>28</w:t>
      </w:r>
      <w:r w:rsidR="00FA10B3">
        <w:rPr>
          <w:lang w:val="es-ES_tradnl"/>
        </w:rPr>
        <w:t>.</w:t>
      </w:r>
      <w:r w:rsidR="00FA10B3">
        <w:rPr>
          <w:lang w:val="es-ES_tradnl"/>
        </w:rPr>
        <w:tab/>
      </w:r>
      <w:r w:rsidR="0031505C">
        <w:rPr>
          <w:lang w:val="es-ES_tradnl"/>
        </w:rPr>
        <w:t>E</w:t>
      </w:r>
      <w:r w:rsidR="00CF07FC" w:rsidRPr="00E407F9">
        <w:rPr>
          <w:lang w:val="es-ES_tradnl"/>
        </w:rPr>
        <w:t xml:space="preserve">l SPT </w:t>
      </w:r>
      <w:r w:rsidR="00386B06" w:rsidRPr="00E407F9">
        <w:rPr>
          <w:lang w:val="es-ES_tradnl"/>
        </w:rPr>
        <w:t xml:space="preserve">pudo constatar </w:t>
      </w:r>
      <w:r w:rsidR="0031505C">
        <w:rPr>
          <w:lang w:val="es-ES_tradnl"/>
        </w:rPr>
        <w:t xml:space="preserve">la existencia de </w:t>
      </w:r>
      <w:r w:rsidR="00386B06" w:rsidRPr="00E407F9">
        <w:rPr>
          <w:lang w:val="es-ES_tradnl"/>
        </w:rPr>
        <w:t>condiciones deplorables e</w:t>
      </w:r>
      <w:r w:rsidR="00AD6948" w:rsidRPr="00E407F9">
        <w:rPr>
          <w:lang w:val="es-ES_tradnl"/>
        </w:rPr>
        <w:t>n</w:t>
      </w:r>
      <w:r w:rsidR="00386B06" w:rsidRPr="00E407F9">
        <w:rPr>
          <w:lang w:val="es-ES_tradnl"/>
        </w:rPr>
        <w:t xml:space="preserve"> las celdas </w:t>
      </w:r>
      <w:r w:rsidR="00AD6948" w:rsidRPr="00E407F9">
        <w:rPr>
          <w:lang w:val="es-ES_tradnl"/>
        </w:rPr>
        <w:t>d</w:t>
      </w:r>
      <w:r w:rsidR="00386B06" w:rsidRPr="00E407F9">
        <w:rPr>
          <w:lang w:val="es-ES_tradnl"/>
        </w:rPr>
        <w:t>e varias comisarías provinciales y federales</w:t>
      </w:r>
      <w:r w:rsidR="00E21A72" w:rsidRPr="00E407F9">
        <w:rPr>
          <w:lang w:val="es-ES_tradnl"/>
        </w:rPr>
        <w:t xml:space="preserve"> visitadas</w:t>
      </w:r>
      <w:r w:rsidR="00386B06" w:rsidRPr="00E407F9">
        <w:rPr>
          <w:lang w:val="es-ES_tradnl"/>
        </w:rPr>
        <w:t xml:space="preserve">. </w:t>
      </w:r>
      <w:r w:rsidR="0031505C">
        <w:rPr>
          <w:lang w:val="es-ES_tradnl"/>
        </w:rPr>
        <w:t>Por ejemplo, l</w:t>
      </w:r>
      <w:r w:rsidR="00AD6948" w:rsidRPr="00E407F9">
        <w:rPr>
          <w:lang w:val="es-ES_tradnl"/>
        </w:rPr>
        <w:t xml:space="preserve">as celdas de las comisarías federales 3ª y 15ª </w:t>
      </w:r>
      <w:r w:rsidR="0031505C">
        <w:rPr>
          <w:lang w:val="es-ES_tradnl"/>
        </w:rPr>
        <w:t xml:space="preserve">de la ciudad de Buenos Aires </w:t>
      </w:r>
      <w:r w:rsidR="00AD6948" w:rsidRPr="00E407F9">
        <w:rPr>
          <w:lang w:val="es-ES_tradnl"/>
        </w:rPr>
        <w:t xml:space="preserve">carecían de luz y ventilación, y no disponían de ropa de cama o </w:t>
      </w:r>
      <w:r w:rsidR="00010745">
        <w:rPr>
          <w:lang w:val="es-ES_tradnl"/>
        </w:rPr>
        <w:t>é</w:t>
      </w:r>
      <w:r w:rsidR="00AD6948" w:rsidRPr="00E407F9">
        <w:rPr>
          <w:lang w:val="es-ES_tradnl"/>
        </w:rPr>
        <w:t xml:space="preserve">sta era </w:t>
      </w:r>
      <w:r w:rsidR="00A124AE">
        <w:rPr>
          <w:lang w:val="es-ES_tradnl"/>
        </w:rPr>
        <w:t xml:space="preserve">totalmente </w:t>
      </w:r>
      <w:r w:rsidR="00AD6948" w:rsidRPr="00E407F9">
        <w:rPr>
          <w:lang w:val="es-ES_tradnl"/>
        </w:rPr>
        <w:t>inadecuada. En la comisaría provincial</w:t>
      </w:r>
      <w:r w:rsidR="0031505C">
        <w:rPr>
          <w:lang w:val="es-ES_tradnl"/>
        </w:rPr>
        <w:t xml:space="preserve"> 9ª de</w:t>
      </w:r>
      <w:r w:rsidR="00AD6948" w:rsidRPr="00E407F9">
        <w:rPr>
          <w:lang w:val="es-ES_tradnl"/>
        </w:rPr>
        <w:t xml:space="preserve"> Lomas de Zamora, </w:t>
      </w:r>
      <w:r w:rsidR="0022545C" w:rsidRPr="00E407F9">
        <w:rPr>
          <w:lang w:val="es-ES_tradnl"/>
        </w:rPr>
        <w:t xml:space="preserve">las condiciones materiales eran </w:t>
      </w:r>
      <w:r w:rsidR="001A310A">
        <w:rPr>
          <w:lang w:val="es-ES_tradnl"/>
        </w:rPr>
        <w:t>desastrosas</w:t>
      </w:r>
      <w:r w:rsidR="0022545C" w:rsidRPr="00E407F9">
        <w:rPr>
          <w:lang w:val="es-ES_tradnl"/>
        </w:rPr>
        <w:t xml:space="preserve"> y </w:t>
      </w:r>
      <w:r w:rsidR="00AD6948" w:rsidRPr="00E407F9">
        <w:rPr>
          <w:lang w:val="es-ES_tradnl"/>
        </w:rPr>
        <w:t xml:space="preserve">el </w:t>
      </w:r>
      <w:r w:rsidR="0022545C" w:rsidRPr="00E407F9">
        <w:rPr>
          <w:lang w:val="es-ES_tradnl"/>
        </w:rPr>
        <w:t xml:space="preserve"> </w:t>
      </w:r>
      <w:r w:rsidR="006F1536" w:rsidRPr="00E407F9">
        <w:rPr>
          <w:lang w:val="es-ES_tradnl"/>
        </w:rPr>
        <w:t>nivel</w:t>
      </w:r>
      <w:r w:rsidR="0022545C" w:rsidRPr="00E407F9">
        <w:rPr>
          <w:lang w:val="es-ES_tradnl"/>
        </w:rPr>
        <w:t xml:space="preserve"> de hacinamiento preocupante. En la comisaría provincial </w:t>
      </w:r>
      <w:r w:rsidR="0031505C">
        <w:rPr>
          <w:lang w:val="es-ES_tradnl"/>
        </w:rPr>
        <w:t xml:space="preserve">5ª de </w:t>
      </w:r>
      <w:r w:rsidR="0022545C" w:rsidRPr="00E407F9">
        <w:rPr>
          <w:lang w:val="es-ES_tradnl"/>
        </w:rPr>
        <w:t xml:space="preserve">Lomas de Zamora, el SPT fue informado por el personal policial </w:t>
      </w:r>
      <w:r w:rsidR="001A310A">
        <w:rPr>
          <w:lang w:val="es-ES_tradnl"/>
        </w:rPr>
        <w:t xml:space="preserve">de </w:t>
      </w:r>
      <w:r w:rsidR="0022545C" w:rsidRPr="00E407F9">
        <w:rPr>
          <w:lang w:val="es-ES_tradnl"/>
        </w:rPr>
        <w:t xml:space="preserve">que </w:t>
      </w:r>
      <w:r w:rsidR="00A124AE">
        <w:rPr>
          <w:lang w:val="es-ES_tradnl"/>
        </w:rPr>
        <w:t xml:space="preserve">esta comisaría no estaba </w:t>
      </w:r>
      <w:r w:rsidR="0022545C" w:rsidRPr="00E407F9">
        <w:rPr>
          <w:lang w:val="es-ES_tradnl"/>
        </w:rPr>
        <w:t xml:space="preserve">autorizada a albergar detenidos. </w:t>
      </w:r>
      <w:r w:rsidR="008036B6">
        <w:rPr>
          <w:lang w:val="es-ES_tradnl"/>
        </w:rPr>
        <w:t>El SPT visitó l</w:t>
      </w:r>
      <w:r w:rsidR="00A124AE">
        <w:rPr>
          <w:lang w:val="es-ES_tradnl"/>
        </w:rPr>
        <w:t>os calabozo</w:t>
      </w:r>
      <w:r w:rsidR="0022545C" w:rsidRPr="00E407F9">
        <w:rPr>
          <w:lang w:val="es-ES_tradnl"/>
        </w:rPr>
        <w:t xml:space="preserve">s </w:t>
      </w:r>
      <w:r w:rsidR="008036B6">
        <w:rPr>
          <w:lang w:val="es-ES_tradnl"/>
        </w:rPr>
        <w:t xml:space="preserve">y constató que </w:t>
      </w:r>
      <w:r w:rsidR="0022545C" w:rsidRPr="00E407F9">
        <w:rPr>
          <w:lang w:val="es-ES_tradnl"/>
        </w:rPr>
        <w:t>eran completamente inadecuad</w:t>
      </w:r>
      <w:r w:rsidR="00A124AE">
        <w:rPr>
          <w:lang w:val="es-ES_tradnl"/>
        </w:rPr>
        <w:t>o</w:t>
      </w:r>
      <w:r w:rsidR="0022545C" w:rsidRPr="00E407F9">
        <w:rPr>
          <w:lang w:val="es-ES_tradnl"/>
        </w:rPr>
        <w:t xml:space="preserve">s para </w:t>
      </w:r>
      <w:r w:rsidR="006F1536" w:rsidRPr="00E407F9">
        <w:rPr>
          <w:lang w:val="es-ES_tradnl"/>
        </w:rPr>
        <w:t>alojar</w:t>
      </w:r>
      <w:r w:rsidR="0022545C" w:rsidRPr="00E407F9">
        <w:rPr>
          <w:lang w:val="es-ES_tradnl"/>
        </w:rPr>
        <w:t xml:space="preserve"> </w:t>
      </w:r>
      <w:r w:rsidR="008036B6">
        <w:rPr>
          <w:lang w:val="es-ES_tradnl"/>
        </w:rPr>
        <w:t xml:space="preserve">detenidos. Sin embargo, al revisar  los registros observó la presencia de detenidos </w:t>
      </w:r>
      <w:r w:rsidR="0022545C" w:rsidRPr="00E407F9">
        <w:rPr>
          <w:lang w:val="es-ES_tradnl"/>
        </w:rPr>
        <w:t xml:space="preserve">por varias horas </w:t>
      </w:r>
      <w:r w:rsidR="008036B6">
        <w:rPr>
          <w:lang w:val="es-ES_tradnl"/>
        </w:rPr>
        <w:t>e incluso</w:t>
      </w:r>
      <w:r w:rsidR="0022545C" w:rsidRPr="00E407F9">
        <w:rPr>
          <w:lang w:val="es-ES_tradnl"/>
        </w:rPr>
        <w:t xml:space="preserve"> días</w:t>
      </w:r>
      <w:r w:rsidR="008036B6">
        <w:rPr>
          <w:lang w:val="es-ES_tradnl"/>
        </w:rPr>
        <w:t xml:space="preserve"> en la comisaría</w:t>
      </w:r>
      <w:r w:rsidR="0022545C" w:rsidRPr="00E407F9">
        <w:rPr>
          <w:lang w:val="es-ES_tradnl"/>
        </w:rPr>
        <w:t xml:space="preserve">. </w:t>
      </w:r>
      <w:r w:rsidR="001A310A">
        <w:rPr>
          <w:lang w:val="es-ES_tradnl"/>
        </w:rPr>
        <w:t>Esta situación se observó en otras comisarías visitadas.</w:t>
      </w:r>
    </w:p>
    <w:p w:rsidR="006F0350" w:rsidRDefault="009D03CE" w:rsidP="00CC0F1F">
      <w:pPr>
        <w:pStyle w:val="SingleTxtG"/>
        <w:rPr>
          <w:lang w:val="es-ES_tradnl"/>
        </w:rPr>
      </w:pPr>
      <w:r>
        <w:t>29</w:t>
      </w:r>
      <w:r w:rsidR="00FA10B3">
        <w:t>.</w:t>
      </w:r>
      <w:r w:rsidR="00FA10B3">
        <w:tab/>
      </w:r>
      <w:r w:rsidR="008036B6">
        <w:t>E</w:t>
      </w:r>
      <w:r w:rsidR="00B705E5">
        <w:t>n vari</w:t>
      </w:r>
      <w:r w:rsidR="001A310A">
        <w:t>a</w:t>
      </w:r>
      <w:r w:rsidR="00B705E5">
        <w:t xml:space="preserve">s </w:t>
      </w:r>
      <w:r w:rsidR="001A310A">
        <w:t xml:space="preserve">comisarías </w:t>
      </w:r>
      <w:r w:rsidR="00B705E5">
        <w:t xml:space="preserve">se constató </w:t>
      </w:r>
      <w:r w:rsidR="001A310A">
        <w:t>el limitado</w:t>
      </w:r>
      <w:r w:rsidR="00B705E5">
        <w:t xml:space="preserve"> acceso a san</w:t>
      </w:r>
      <w:r w:rsidR="00984799">
        <w:t>itarios e insuficiente</w:t>
      </w:r>
      <w:r w:rsidR="00B705E5">
        <w:t xml:space="preserve"> ventilación y calefacción.</w:t>
      </w:r>
      <w:r w:rsidR="00984799">
        <w:t xml:space="preserve"> </w:t>
      </w:r>
      <w:r w:rsidR="006F0350">
        <w:t xml:space="preserve">En todas las comisarías visitadas </w:t>
      </w:r>
      <w:r w:rsidR="00FE68F3">
        <w:rPr>
          <w:lang w:val="es-ES_tradnl"/>
        </w:rPr>
        <w:t xml:space="preserve">donde había detenidos </w:t>
      </w:r>
      <w:r w:rsidR="006F0350">
        <w:rPr>
          <w:lang w:val="es-ES_tradnl"/>
        </w:rPr>
        <w:t xml:space="preserve">el SPT recibió quejas </w:t>
      </w:r>
      <w:r w:rsidR="006F1536" w:rsidRPr="00E407F9">
        <w:rPr>
          <w:lang w:val="es-ES_tradnl"/>
        </w:rPr>
        <w:t xml:space="preserve">acerca de la falta de alimentos, y de la falta de acceso al aire libre y a ejercicio o actividades en el caso de detención policial prolongada. </w:t>
      </w:r>
    </w:p>
    <w:p w:rsidR="008C076C" w:rsidRDefault="00FA10B3" w:rsidP="00CC0F1F">
      <w:pPr>
        <w:pStyle w:val="SingleTxtG"/>
        <w:rPr>
          <w:lang w:val="es-ES_tradnl"/>
        </w:rPr>
      </w:pPr>
      <w:r>
        <w:rPr>
          <w:lang w:val="es-ES_tradnl"/>
        </w:rPr>
        <w:t>3</w:t>
      </w:r>
      <w:r w:rsidR="00D621A8">
        <w:rPr>
          <w:lang w:val="es-ES_tradnl"/>
        </w:rPr>
        <w:t>0</w:t>
      </w:r>
      <w:r>
        <w:rPr>
          <w:lang w:val="es-ES_tradnl"/>
        </w:rPr>
        <w:t>.</w:t>
      </w:r>
      <w:r>
        <w:rPr>
          <w:lang w:val="es-ES_tradnl"/>
        </w:rPr>
        <w:tab/>
      </w:r>
      <w:r w:rsidR="008C076C">
        <w:rPr>
          <w:lang w:val="es-ES_tradnl"/>
        </w:rPr>
        <w:t xml:space="preserve">En contraste con las situaciones </w:t>
      </w:r>
      <w:r w:rsidR="00911FF4">
        <w:rPr>
          <w:lang w:val="es-ES_tradnl"/>
        </w:rPr>
        <w:t>descritas</w:t>
      </w:r>
      <w:r w:rsidR="008C076C">
        <w:rPr>
          <w:lang w:val="es-ES_tradnl"/>
        </w:rPr>
        <w:t xml:space="preserve"> el SPT estim</w:t>
      </w:r>
      <w:r w:rsidR="006C3020">
        <w:rPr>
          <w:lang w:val="es-ES_tradnl"/>
        </w:rPr>
        <w:t>ó</w:t>
      </w:r>
      <w:r w:rsidR="008C076C">
        <w:rPr>
          <w:lang w:val="es-ES_tradnl"/>
        </w:rPr>
        <w:t xml:space="preserve"> adecuadas las condiciones de detención en la Alca</w:t>
      </w:r>
      <w:r w:rsidR="006C2AD7">
        <w:rPr>
          <w:lang w:val="es-ES_tradnl"/>
        </w:rPr>
        <w:t>i</w:t>
      </w:r>
      <w:r w:rsidR="008C076C">
        <w:rPr>
          <w:lang w:val="es-ES_tradnl"/>
        </w:rPr>
        <w:t>día Departamental Roberto Pettinato de La Plata.</w:t>
      </w:r>
    </w:p>
    <w:p w:rsidR="00CC0F1F" w:rsidRPr="00E407F9" w:rsidRDefault="00FA10B3" w:rsidP="00CC0F1F">
      <w:pPr>
        <w:pStyle w:val="SingleTxtG"/>
        <w:rPr>
          <w:b/>
          <w:lang w:val="es-ES_tradnl"/>
        </w:rPr>
      </w:pPr>
      <w:r>
        <w:rPr>
          <w:b/>
          <w:lang w:val="es-ES_tradnl"/>
        </w:rPr>
        <w:t>3</w:t>
      </w:r>
      <w:r w:rsidR="00D621A8">
        <w:rPr>
          <w:b/>
          <w:lang w:val="es-ES_tradnl"/>
        </w:rPr>
        <w:t>1</w:t>
      </w:r>
      <w:r>
        <w:rPr>
          <w:b/>
          <w:lang w:val="es-ES_tradnl"/>
        </w:rPr>
        <w:t>.</w:t>
      </w:r>
      <w:r>
        <w:rPr>
          <w:b/>
          <w:lang w:val="es-ES_tradnl"/>
        </w:rPr>
        <w:tab/>
      </w:r>
      <w:r w:rsidR="00CC0F1F" w:rsidRPr="00E407F9">
        <w:rPr>
          <w:b/>
          <w:lang w:val="es-ES_tradnl"/>
        </w:rPr>
        <w:t xml:space="preserve">El Subcomité recomienda al Estado parte </w:t>
      </w:r>
      <w:r w:rsidR="00D621A8">
        <w:rPr>
          <w:b/>
          <w:lang w:val="es-ES_tradnl"/>
        </w:rPr>
        <w:t xml:space="preserve">la realización de </w:t>
      </w:r>
      <w:r w:rsidR="00CC0F1F" w:rsidRPr="00E407F9">
        <w:rPr>
          <w:b/>
          <w:lang w:val="es-ES_tradnl"/>
        </w:rPr>
        <w:t xml:space="preserve">una auditoría a nivel </w:t>
      </w:r>
      <w:r w:rsidR="00DD716E" w:rsidRPr="00E407F9">
        <w:rPr>
          <w:b/>
          <w:lang w:val="es-ES_tradnl"/>
        </w:rPr>
        <w:t xml:space="preserve">federal y provincial </w:t>
      </w:r>
      <w:r w:rsidR="00CC0F1F" w:rsidRPr="00E407F9">
        <w:rPr>
          <w:b/>
          <w:lang w:val="es-ES_tradnl"/>
        </w:rPr>
        <w:t>sobre las condiciones materiales de los centros policial</w:t>
      </w:r>
      <w:r w:rsidR="00A124AE">
        <w:rPr>
          <w:b/>
          <w:lang w:val="es-ES_tradnl"/>
        </w:rPr>
        <w:t>es que efectivamente albergan detenidos</w:t>
      </w:r>
      <w:r w:rsidR="00CC0F1F" w:rsidRPr="00E407F9">
        <w:rPr>
          <w:b/>
          <w:lang w:val="es-ES_tradnl"/>
        </w:rPr>
        <w:t xml:space="preserve"> y </w:t>
      </w:r>
      <w:r w:rsidR="00D621A8">
        <w:rPr>
          <w:b/>
          <w:lang w:val="es-ES_tradnl"/>
        </w:rPr>
        <w:t xml:space="preserve">el </w:t>
      </w:r>
      <w:r w:rsidR="00CC0F1F" w:rsidRPr="00E407F9">
        <w:rPr>
          <w:b/>
          <w:lang w:val="es-ES_tradnl"/>
        </w:rPr>
        <w:t>estable</w:t>
      </w:r>
      <w:r w:rsidR="00D621A8">
        <w:rPr>
          <w:b/>
          <w:lang w:val="es-ES_tradnl"/>
        </w:rPr>
        <w:t>cimiento de</w:t>
      </w:r>
      <w:r w:rsidR="00CC0F1F" w:rsidRPr="00E407F9">
        <w:rPr>
          <w:b/>
          <w:lang w:val="es-ES_tradnl"/>
        </w:rPr>
        <w:t xml:space="preserve"> un plan de acción para limpiarlos</w:t>
      </w:r>
      <w:r w:rsidR="00FE68F3">
        <w:rPr>
          <w:b/>
          <w:lang w:val="es-ES_tradnl"/>
        </w:rPr>
        <w:t xml:space="preserve"> y</w:t>
      </w:r>
      <w:r w:rsidR="00CC0F1F" w:rsidRPr="00E407F9">
        <w:rPr>
          <w:b/>
          <w:lang w:val="es-ES_tradnl"/>
        </w:rPr>
        <w:t xml:space="preserve"> renovarlos </w:t>
      </w:r>
      <w:r w:rsidR="006F1536" w:rsidRPr="00E407F9">
        <w:rPr>
          <w:b/>
          <w:lang w:val="es-ES_tradnl"/>
        </w:rPr>
        <w:t xml:space="preserve">cuando </w:t>
      </w:r>
      <w:r w:rsidR="00A124AE">
        <w:rPr>
          <w:b/>
          <w:lang w:val="es-ES_tradnl"/>
        </w:rPr>
        <w:t>las condiciones de los mismos lo requi</w:t>
      </w:r>
      <w:r w:rsidR="006C3020">
        <w:rPr>
          <w:b/>
          <w:lang w:val="es-ES_tradnl"/>
        </w:rPr>
        <w:t>e</w:t>
      </w:r>
      <w:r w:rsidR="00A124AE">
        <w:rPr>
          <w:b/>
          <w:lang w:val="es-ES_tradnl"/>
        </w:rPr>
        <w:t>ran</w:t>
      </w:r>
      <w:r w:rsidR="00CC0F1F" w:rsidRPr="00E407F9">
        <w:rPr>
          <w:b/>
          <w:lang w:val="es-ES_tradnl"/>
        </w:rPr>
        <w:t xml:space="preserve">. El Estado parte debe tomar las medidas necesarias para que las condiciones de detención en las dependencias policiales se ajusten a las normas internacionales y </w:t>
      </w:r>
      <w:r w:rsidR="00FE68F3">
        <w:rPr>
          <w:b/>
          <w:lang w:val="es-ES_tradnl"/>
        </w:rPr>
        <w:t xml:space="preserve">respondan a </w:t>
      </w:r>
      <w:r w:rsidR="00CC0F1F" w:rsidRPr="00E407F9">
        <w:rPr>
          <w:b/>
          <w:lang w:val="es-ES_tradnl"/>
        </w:rPr>
        <w:t xml:space="preserve">las necesidades básicas de las </w:t>
      </w:r>
      <w:r w:rsidR="00466A0B">
        <w:rPr>
          <w:b/>
          <w:lang w:val="es-ES_tradnl"/>
        </w:rPr>
        <w:t>PPL</w:t>
      </w:r>
      <w:r w:rsidR="00CC0F1F" w:rsidRPr="00E407F9">
        <w:rPr>
          <w:b/>
          <w:lang w:val="es-ES_tradnl"/>
        </w:rPr>
        <w:t xml:space="preserve"> </w:t>
      </w:r>
      <w:r w:rsidR="00FE68F3">
        <w:rPr>
          <w:b/>
          <w:lang w:val="es-ES_tradnl"/>
        </w:rPr>
        <w:t>en lo relativo</w:t>
      </w:r>
      <w:r w:rsidR="00CC0F1F" w:rsidRPr="00E407F9">
        <w:rPr>
          <w:b/>
          <w:lang w:val="es-ES_tradnl"/>
        </w:rPr>
        <w:t xml:space="preserve"> a saneamiento, ropa de cama,  alimentos, agua y la posibilidad de hacer ejercicio. </w:t>
      </w:r>
      <w:r w:rsidR="007B0DC2" w:rsidRPr="003E3034">
        <w:rPr>
          <w:b/>
          <w:lang w:val="es-ES_tradnl"/>
        </w:rPr>
        <w:t>El SPT</w:t>
      </w:r>
      <w:r w:rsidR="004D4EDD" w:rsidRPr="003E3034">
        <w:rPr>
          <w:b/>
          <w:lang w:val="es-ES_tradnl"/>
        </w:rPr>
        <w:t xml:space="preserve"> </w:t>
      </w:r>
      <w:r w:rsidR="007B0DC2" w:rsidRPr="004E10E3">
        <w:rPr>
          <w:b/>
          <w:lang w:val="es-ES_tradnl"/>
        </w:rPr>
        <w:t xml:space="preserve"> toma nota de los planes del Gobierno </w:t>
      </w:r>
      <w:r w:rsidR="007B0DC2" w:rsidRPr="003E3034">
        <w:rPr>
          <w:b/>
          <w:lang w:val="es-ES_tradnl"/>
        </w:rPr>
        <w:t xml:space="preserve">provincial de </w:t>
      </w:r>
      <w:r w:rsidR="005E04BF" w:rsidRPr="00A82791">
        <w:rPr>
          <w:b/>
          <w:lang w:val="es-ES_tradnl"/>
        </w:rPr>
        <w:t xml:space="preserve">construir </w:t>
      </w:r>
      <w:r w:rsidR="005E04BF" w:rsidRPr="003E3034">
        <w:rPr>
          <w:b/>
          <w:lang w:val="es-ES_tradnl"/>
        </w:rPr>
        <w:t>alcaidías</w:t>
      </w:r>
      <w:r w:rsidR="005E04BF" w:rsidRPr="00A82791">
        <w:rPr>
          <w:b/>
          <w:lang w:val="es-ES_tradnl"/>
        </w:rPr>
        <w:t xml:space="preserve"> adicionales</w:t>
      </w:r>
      <w:r w:rsidR="004D4EDD" w:rsidRPr="00A82791">
        <w:rPr>
          <w:b/>
          <w:lang w:val="es-ES_tradnl"/>
        </w:rPr>
        <w:t xml:space="preserve"> </w:t>
      </w:r>
      <w:r w:rsidR="004E10E3">
        <w:rPr>
          <w:b/>
          <w:lang w:val="es-ES_tradnl"/>
        </w:rPr>
        <w:t xml:space="preserve">a las ya existentes </w:t>
      </w:r>
      <w:r w:rsidR="004D4EDD" w:rsidRPr="003E3034">
        <w:rPr>
          <w:b/>
          <w:lang w:val="es-ES_tradnl"/>
        </w:rPr>
        <w:t>en el marco de un proyecto de cooperación con el ILANUD que pretende ir más allá de una propuesta piloto</w:t>
      </w:r>
      <w:r w:rsidR="004E10E3">
        <w:rPr>
          <w:b/>
          <w:lang w:val="es-ES_tradnl"/>
        </w:rPr>
        <w:t>. Ello</w:t>
      </w:r>
      <w:r w:rsidR="005E04BF" w:rsidRPr="003E3034">
        <w:rPr>
          <w:b/>
          <w:lang w:val="es-ES_tradnl"/>
        </w:rPr>
        <w:t xml:space="preserve"> permitiría </w:t>
      </w:r>
      <w:r w:rsidR="004E10E3">
        <w:rPr>
          <w:b/>
          <w:lang w:val="es-ES_tradnl"/>
        </w:rPr>
        <w:t xml:space="preserve">ir </w:t>
      </w:r>
      <w:r w:rsidR="005E04BF" w:rsidRPr="003E3034">
        <w:rPr>
          <w:b/>
          <w:lang w:val="es-ES_tradnl"/>
        </w:rPr>
        <w:t>elimina</w:t>
      </w:r>
      <w:r w:rsidR="004E10E3">
        <w:rPr>
          <w:b/>
          <w:lang w:val="es-ES_tradnl"/>
        </w:rPr>
        <w:t>ndo</w:t>
      </w:r>
      <w:r w:rsidR="005E04BF" w:rsidRPr="003E3034">
        <w:rPr>
          <w:b/>
          <w:lang w:val="es-ES_tradnl"/>
        </w:rPr>
        <w:t xml:space="preserve"> la detención en </w:t>
      </w:r>
      <w:r w:rsidR="004E10E3">
        <w:rPr>
          <w:b/>
          <w:lang w:val="es-ES_tradnl"/>
        </w:rPr>
        <w:t xml:space="preserve">las actuales </w:t>
      </w:r>
      <w:r w:rsidR="005E04BF" w:rsidRPr="003E3034">
        <w:rPr>
          <w:b/>
          <w:lang w:val="es-ES_tradnl"/>
        </w:rPr>
        <w:t>comisarías</w:t>
      </w:r>
      <w:r w:rsidR="004D4EDD" w:rsidRPr="003E3034">
        <w:rPr>
          <w:b/>
          <w:lang w:val="es-ES_tradnl"/>
        </w:rPr>
        <w:t xml:space="preserve"> </w:t>
      </w:r>
      <w:r w:rsidR="004E10E3">
        <w:rPr>
          <w:b/>
          <w:lang w:val="es-ES_tradnl"/>
        </w:rPr>
        <w:t>y</w:t>
      </w:r>
      <w:r w:rsidR="004D4EDD" w:rsidRPr="003E3034">
        <w:rPr>
          <w:b/>
          <w:lang w:val="es-ES_tradnl"/>
        </w:rPr>
        <w:t xml:space="preserve"> brindar un servicio integrado de acceso a la justicia incluida la defensa pública, servicios médicos</w:t>
      </w:r>
      <w:r w:rsidR="00BA7B61" w:rsidRPr="003E3034">
        <w:rPr>
          <w:b/>
          <w:lang w:val="es-ES_tradnl"/>
        </w:rPr>
        <w:t xml:space="preserve">, </w:t>
      </w:r>
      <w:r w:rsidR="004E10E3">
        <w:rPr>
          <w:b/>
          <w:lang w:val="es-ES_tradnl"/>
        </w:rPr>
        <w:t xml:space="preserve">etc., además de </w:t>
      </w:r>
      <w:r w:rsidR="00BA7B61" w:rsidRPr="003E3034">
        <w:rPr>
          <w:b/>
          <w:lang w:val="es-ES_tradnl"/>
        </w:rPr>
        <w:t>mejores condiciones físicas</w:t>
      </w:r>
      <w:r w:rsidR="004E10E3">
        <w:rPr>
          <w:b/>
          <w:lang w:val="es-ES_tradnl"/>
        </w:rPr>
        <w:t xml:space="preserve">. El SPT felicita al Gobierno provincial por esta iniciativa, susceptible de </w:t>
      </w:r>
      <w:r w:rsidR="00BA7B61" w:rsidRPr="003E3034">
        <w:rPr>
          <w:b/>
          <w:lang w:val="es-ES_tradnl"/>
        </w:rPr>
        <w:t xml:space="preserve"> redunda</w:t>
      </w:r>
      <w:r w:rsidR="004E10E3">
        <w:rPr>
          <w:b/>
          <w:lang w:val="es-ES_tradnl"/>
        </w:rPr>
        <w:t>r</w:t>
      </w:r>
      <w:r w:rsidR="00BA7B61" w:rsidRPr="003E3034">
        <w:rPr>
          <w:b/>
          <w:lang w:val="es-ES_tradnl"/>
        </w:rPr>
        <w:t xml:space="preserve"> en una reducción de los riesgos de detenciones fuera del margen procesal legal, </w:t>
      </w:r>
      <w:r w:rsidR="004E10E3">
        <w:rPr>
          <w:b/>
          <w:lang w:val="es-ES_tradnl"/>
        </w:rPr>
        <w:t xml:space="preserve">y en la prevención </w:t>
      </w:r>
      <w:r w:rsidR="00BA7B61" w:rsidRPr="003E3034">
        <w:rPr>
          <w:b/>
          <w:lang w:val="es-ES_tradnl"/>
        </w:rPr>
        <w:t xml:space="preserve"> de tortura y malos tratos.</w:t>
      </w:r>
    </w:p>
    <w:p w:rsidR="00C42C22" w:rsidRPr="00E407F9" w:rsidRDefault="00FA10B3" w:rsidP="00E03D92">
      <w:pPr>
        <w:pStyle w:val="SingleTxtG"/>
        <w:rPr>
          <w:b/>
          <w:lang w:val="es-ES_tradnl"/>
        </w:rPr>
      </w:pPr>
      <w:r>
        <w:rPr>
          <w:b/>
          <w:lang w:val="es-ES_tradnl"/>
        </w:rPr>
        <w:t>3</w:t>
      </w:r>
      <w:r w:rsidR="00D621A8">
        <w:rPr>
          <w:b/>
          <w:lang w:val="es-ES_tradnl"/>
        </w:rPr>
        <w:t>2</w:t>
      </w:r>
      <w:r>
        <w:rPr>
          <w:b/>
          <w:lang w:val="es-ES_tradnl"/>
        </w:rPr>
        <w:t>.</w:t>
      </w:r>
      <w:r>
        <w:rPr>
          <w:b/>
          <w:lang w:val="es-ES_tradnl"/>
        </w:rPr>
        <w:tab/>
      </w:r>
      <w:r w:rsidR="00F07E17">
        <w:rPr>
          <w:b/>
          <w:lang w:val="es-ES_tradnl"/>
        </w:rPr>
        <w:t>El SPT considera que</w:t>
      </w:r>
      <w:r w:rsidR="00DD3A5B">
        <w:rPr>
          <w:b/>
          <w:lang w:val="es-ES_tradnl"/>
        </w:rPr>
        <w:t>, debido a su estado,</w:t>
      </w:r>
      <w:r w:rsidR="006F1536" w:rsidRPr="00E407F9">
        <w:rPr>
          <w:b/>
          <w:lang w:val="es-ES_tradnl"/>
        </w:rPr>
        <w:t xml:space="preserve"> las Comisarías</w:t>
      </w:r>
      <w:r w:rsidR="00F07E17">
        <w:rPr>
          <w:b/>
          <w:lang w:val="es-ES_tradnl"/>
        </w:rPr>
        <w:t xml:space="preserve"> 5ª y 9ª de</w:t>
      </w:r>
      <w:r w:rsidR="006F1536" w:rsidRPr="00E407F9">
        <w:rPr>
          <w:b/>
          <w:lang w:val="es-ES_tradnl"/>
        </w:rPr>
        <w:t xml:space="preserve"> Lomas de Zamora  deben ser clausura</w:t>
      </w:r>
      <w:r w:rsidR="005C6A2D" w:rsidRPr="00E407F9">
        <w:rPr>
          <w:b/>
          <w:lang w:val="es-ES_tradnl"/>
        </w:rPr>
        <w:t>das o completamente remodeladas.</w:t>
      </w:r>
      <w:r>
        <w:rPr>
          <w:lang w:val="es-ES_tradnl"/>
        </w:rPr>
        <w:tab/>
      </w:r>
    </w:p>
    <w:p w:rsidR="00CC0F1F" w:rsidRPr="00E407F9" w:rsidRDefault="00CC0F1F" w:rsidP="00CC0F1F">
      <w:pPr>
        <w:pStyle w:val="H23G"/>
        <w:rPr>
          <w:lang w:val="es-ES_tradnl"/>
        </w:rPr>
      </w:pPr>
      <w:r w:rsidRPr="00E407F9">
        <w:rPr>
          <w:lang w:val="es-ES_tradnl"/>
        </w:rPr>
        <w:tab/>
        <w:t>3.</w:t>
      </w:r>
      <w:r w:rsidRPr="00E407F9">
        <w:rPr>
          <w:lang w:val="es-ES_tradnl"/>
        </w:rPr>
        <w:tab/>
        <w:t>Tortura y malos tratos</w:t>
      </w:r>
    </w:p>
    <w:p w:rsidR="00154A1B" w:rsidRDefault="00FA10B3" w:rsidP="008B41FC">
      <w:pPr>
        <w:pStyle w:val="SingleTxtG"/>
        <w:rPr>
          <w:lang w:val="es-ES_tradnl"/>
        </w:rPr>
      </w:pPr>
      <w:r>
        <w:rPr>
          <w:lang w:val="es-ES_tradnl"/>
        </w:rPr>
        <w:t>3</w:t>
      </w:r>
      <w:r w:rsidR="00E03D92">
        <w:rPr>
          <w:lang w:val="es-ES_tradnl"/>
        </w:rPr>
        <w:t>3</w:t>
      </w:r>
      <w:r>
        <w:rPr>
          <w:lang w:val="es-ES_tradnl"/>
        </w:rPr>
        <w:t>.</w:t>
      </w:r>
      <w:r>
        <w:rPr>
          <w:lang w:val="es-ES_tradnl"/>
        </w:rPr>
        <w:tab/>
      </w:r>
      <w:r w:rsidR="00CC6DB6" w:rsidRPr="00E407F9">
        <w:rPr>
          <w:lang w:val="es-ES_tradnl"/>
        </w:rPr>
        <w:t xml:space="preserve">El SPT recibió denuncias reiteradas y concordantes de brutalidad policial </w:t>
      </w:r>
      <w:r w:rsidR="00D05AEA">
        <w:rPr>
          <w:lang w:val="es-ES_tradnl"/>
        </w:rPr>
        <w:t xml:space="preserve">durante la detención o </w:t>
      </w:r>
      <w:r w:rsidR="00CC6DB6" w:rsidRPr="00E407F9">
        <w:rPr>
          <w:lang w:val="es-ES_tradnl"/>
        </w:rPr>
        <w:t>en el momento de</w:t>
      </w:r>
      <w:r w:rsidR="00D05AEA">
        <w:rPr>
          <w:lang w:val="es-ES_tradnl"/>
        </w:rPr>
        <w:t xml:space="preserve"> realizarse la misma,</w:t>
      </w:r>
      <w:r w:rsidR="00CC6DB6" w:rsidRPr="00E407F9">
        <w:rPr>
          <w:lang w:val="es-ES_tradnl"/>
        </w:rPr>
        <w:t xml:space="preserve"> por los distintos cuerpos de seguridad, incluidos la Policía Federal Argentina, la Gendarmería y la Policía Bonaerense. Muchas personas entrevistadas</w:t>
      </w:r>
      <w:r w:rsidR="00D05AEA">
        <w:rPr>
          <w:lang w:val="es-ES_tradnl"/>
        </w:rPr>
        <w:t>, tanto jóvenes como adultos e incluso mujeres embarazadas,</w:t>
      </w:r>
      <w:r w:rsidR="00CC6DB6" w:rsidRPr="00E407F9">
        <w:rPr>
          <w:lang w:val="es-ES_tradnl"/>
        </w:rPr>
        <w:t xml:space="preserve"> manifestaron que las palizas y la brutalidad policial son “normales”</w:t>
      </w:r>
      <w:r w:rsidR="00D05AEA">
        <w:rPr>
          <w:lang w:val="es-ES_tradnl"/>
        </w:rPr>
        <w:t>, a menudo para controlar al detenido</w:t>
      </w:r>
      <w:r w:rsidR="00A52881">
        <w:rPr>
          <w:lang w:val="es-ES_tradnl"/>
        </w:rPr>
        <w:t>,</w:t>
      </w:r>
      <w:r w:rsidR="00D05AEA">
        <w:rPr>
          <w:lang w:val="es-ES_tradnl"/>
        </w:rPr>
        <w:t xml:space="preserve"> forzar confesiones</w:t>
      </w:r>
      <w:r w:rsidR="00A52881">
        <w:rPr>
          <w:lang w:val="es-ES_tradnl"/>
        </w:rPr>
        <w:t xml:space="preserve"> o como represalia por haberse quejado de las condiciones de detención</w:t>
      </w:r>
      <w:r w:rsidR="00CC6DB6" w:rsidRPr="00E407F9">
        <w:rPr>
          <w:lang w:val="es-ES_tradnl"/>
        </w:rPr>
        <w:t>. Ello incluía golpes y patadas en la cabeza, pecho y otras partes del cuerpo, utilizando las manos, bastones de goma</w:t>
      </w:r>
      <w:r w:rsidR="00761F84">
        <w:rPr>
          <w:lang w:val="es-ES_tradnl"/>
        </w:rPr>
        <w:t>, piedras</w:t>
      </w:r>
      <w:r w:rsidR="00CC6DB6" w:rsidRPr="00E407F9">
        <w:rPr>
          <w:lang w:val="es-ES_tradnl"/>
        </w:rPr>
        <w:t xml:space="preserve"> o la culata del arma. Estos golpes se darían incluso cuando las personas  est</w:t>
      </w:r>
      <w:r w:rsidR="00D05AEA">
        <w:rPr>
          <w:lang w:val="es-ES_tradnl"/>
        </w:rPr>
        <w:t>án</w:t>
      </w:r>
      <w:r w:rsidR="00CC6DB6" w:rsidRPr="00E407F9">
        <w:rPr>
          <w:lang w:val="es-ES_tradnl"/>
        </w:rPr>
        <w:t xml:space="preserve"> esposadas. </w:t>
      </w:r>
      <w:r w:rsidR="00D05AEA">
        <w:rPr>
          <w:lang w:val="es-ES_tradnl"/>
        </w:rPr>
        <w:t>Algunos testimonios dieron cuenta  del uso del llamado “submarino”, quemaduras con cigarrillos e incluso la amputación de dedos</w:t>
      </w:r>
      <w:r w:rsidR="005E527E">
        <w:rPr>
          <w:lang w:val="es-ES_tradnl"/>
        </w:rPr>
        <w:t xml:space="preserve">. </w:t>
      </w:r>
      <w:r w:rsidR="00CC6DB6" w:rsidRPr="00E407F9">
        <w:rPr>
          <w:lang w:val="es-ES_tradnl"/>
        </w:rPr>
        <w:t xml:space="preserve">El SPT también recibió denuncias </w:t>
      </w:r>
      <w:r w:rsidR="005E527E">
        <w:rPr>
          <w:lang w:val="es-ES_tradnl"/>
        </w:rPr>
        <w:t>sobre</w:t>
      </w:r>
      <w:r w:rsidR="00484146" w:rsidRPr="00E407F9">
        <w:rPr>
          <w:lang w:val="es-ES_tradnl"/>
        </w:rPr>
        <w:t xml:space="preserve"> uso desproporcionado de armas </w:t>
      </w:r>
      <w:r w:rsidR="00010745">
        <w:rPr>
          <w:lang w:val="es-ES_tradnl"/>
        </w:rPr>
        <w:t xml:space="preserve">de fuego </w:t>
      </w:r>
      <w:r w:rsidR="00484146" w:rsidRPr="00E407F9">
        <w:rPr>
          <w:lang w:val="es-ES_tradnl"/>
        </w:rPr>
        <w:t>por las fuerzas policiales</w:t>
      </w:r>
      <w:r w:rsidR="003F76ED" w:rsidRPr="00E407F9">
        <w:rPr>
          <w:lang w:val="es-ES_tradnl"/>
        </w:rPr>
        <w:t xml:space="preserve"> en el momento de la detención</w:t>
      </w:r>
      <w:r w:rsidR="00FB54DC">
        <w:rPr>
          <w:lang w:val="es-ES_tradnl"/>
        </w:rPr>
        <w:t>, sobre denegación de acceso a sanitarios y sob</w:t>
      </w:r>
      <w:r w:rsidR="00584860">
        <w:rPr>
          <w:lang w:val="es-ES_tradnl"/>
        </w:rPr>
        <w:t>r</w:t>
      </w:r>
      <w:r w:rsidR="00FB54DC">
        <w:rPr>
          <w:lang w:val="es-ES_tradnl"/>
        </w:rPr>
        <w:t>e denegación de atención médica.</w:t>
      </w:r>
      <w:r w:rsidR="00D56337">
        <w:rPr>
          <w:lang w:val="es-ES_tradnl"/>
        </w:rPr>
        <w:t xml:space="preserve"> </w:t>
      </w:r>
      <w:r w:rsidR="006664F6">
        <w:rPr>
          <w:lang w:val="es-ES_tradnl"/>
        </w:rPr>
        <w:t>E</w:t>
      </w:r>
      <w:r w:rsidR="00D56337">
        <w:rPr>
          <w:lang w:val="es-ES_tradnl"/>
        </w:rPr>
        <w:t>l SPT tuv</w:t>
      </w:r>
      <w:r w:rsidR="006664F6">
        <w:rPr>
          <w:lang w:val="es-ES_tradnl"/>
        </w:rPr>
        <w:t>o</w:t>
      </w:r>
      <w:r w:rsidR="00D56337">
        <w:rPr>
          <w:lang w:val="es-ES_tradnl"/>
        </w:rPr>
        <w:t xml:space="preserve"> la oportunidad de  entrevistar a algun</w:t>
      </w:r>
      <w:r w:rsidR="006664F6">
        <w:rPr>
          <w:lang w:val="es-ES_tradnl"/>
        </w:rPr>
        <w:t xml:space="preserve">os detenidos que habían sufrido </w:t>
      </w:r>
      <w:r w:rsidR="00D56337">
        <w:rPr>
          <w:lang w:val="es-ES_tradnl"/>
        </w:rPr>
        <w:t xml:space="preserve"> golpes, en cuenta una mujer </w:t>
      </w:r>
      <w:r w:rsidR="00D56337" w:rsidRPr="00D06D98">
        <w:rPr>
          <w:lang w:val="es-ES_tradnl"/>
        </w:rPr>
        <w:t xml:space="preserve">embarazada en la </w:t>
      </w:r>
      <w:r w:rsidR="00756ED3" w:rsidRPr="00766910">
        <w:rPr>
          <w:lang w:val="es-ES_tradnl"/>
        </w:rPr>
        <w:t>Comisaría de la Mujer y de la Familia en La Plata</w:t>
      </w:r>
      <w:r w:rsidR="006664F6">
        <w:rPr>
          <w:lang w:val="es-ES_tradnl"/>
        </w:rPr>
        <w:t>.</w:t>
      </w:r>
      <w:r w:rsidR="00D56337" w:rsidRPr="00766910">
        <w:rPr>
          <w:lang w:val="es-ES_tradnl"/>
        </w:rPr>
        <w:t xml:space="preserve">  A pesar de </w:t>
      </w:r>
      <w:r w:rsidR="00387D0F" w:rsidRPr="00766910">
        <w:rPr>
          <w:lang w:val="es-ES_tradnl"/>
        </w:rPr>
        <w:t>toda</w:t>
      </w:r>
      <w:r w:rsidR="00D56337" w:rsidRPr="00766910">
        <w:rPr>
          <w:lang w:val="es-ES_tradnl"/>
        </w:rPr>
        <w:t xml:space="preserve"> es</w:t>
      </w:r>
      <w:r w:rsidR="00387D0F" w:rsidRPr="00766910">
        <w:rPr>
          <w:lang w:val="es-ES_tradnl"/>
        </w:rPr>
        <w:t>a información</w:t>
      </w:r>
      <w:r w:rsidR="00387D0F">
        <w:rPr>
          <w:lang w:val="es-ES_tradnl"/>
        </w:rPr>
        <w:t>, y aún cuando hay muchos casos de tortura y malos tratos documentados en las bases de datos de Registros levantados por</w:t>
      </w:r>
      <w:r w:rsidR="00D06D98">
        <w:rPr>
          <w:lang w:val="es-ES_tradnl"/>
        </w:rPr>
        <w:t xml:space="preserve"> instituciones federales y provinciales </w:t>
      </w:r>
      <w:r w:rsidR="00D06D98" w:rsidRPr="00B13C84">
        <w:rPr>
          <w:lang w:val="es-ES_tradnl"/>
        </w:rPr>
        <w:t>(</w:t>
      </w:r>
      <w:r w:rsidR="00D06D98" w:rsidRPr="00B13C84">
        <w:rPr>
          <w:i/>
          <w:lang w:val="es-ES_tradnl"/>
        </w:rPr>
        <w:t>infra</w:t>
      </w:r>
      <w:r w:rsidR="00D06D98" w:rsidRPr="00B13C84">
        <w:rPr>
          <w:lang w:val="es-ES_tradnl"/>
        </w:rPr>
        <w:t xml:space="preserve"> párr.</w:t>
      </w:r>
      <w:r w:rsidR="00B13C84" w:rsidRPr="00B13C84">
        <w:rPr>
          <w:lang w:val="es-ES_tradnl"/>
        </w:rPr>
        <w:t xml:space="preserve"> 103)</w:t>
      </w:r>
      <w:r w:rsidR="00D06D98" w:rsidRPr="00B13C84">
        <w:rPr>
          <w:lang w:val="es-ES_tradnl"/>
        </w:rPr>
        <w:t xml:space="preserve">, </w:t>
      </w:r>
      <w:r w:rsidR="00387D0F" w:rsidRPr="00B13C84">
        <w:rPr>
          <w:lang w:val="es-ES_tradnl"/>
        </w:rPr>
        <w:t xml:space="preserve">no hay correspondencia  entre esos hallazgos </w:t>
      </w:r>
      <w:r w:rsidR="006664F6" w:rsidRPr="00B13C84">
        <w:rPr>
          <w:lang w:val="es-ES_tradnl"/>
        </w:rPr>
        <w:t>y</w:t>
      </w:r>
      <w:r w:rsidR="00387D0F" w:rsidRPr="00B13C84">
        <w:rPr>
          <w:lang w:val="es-ES_tradnl"/>
        </w:rPr>
        <w:t xml:space="preserve"> las pocas investigaciones</w:t>
      </w:r>
      <w:r w:rsidR="00387D0F" w:rsidRPr="006664F6">
        <w:rPr>
          <w:lang w:val="es-ES_tradnl"/>
        </w:rPr>
        <w:t xml:space="preserve"> tramitadas por los correspondientes Ministerios Públic</w:t>
      </w:r>
      <w:r w:rsidR="004D4EDD" w:rsidRPr="006664F6">
        <w:rPr>
          <w:lang w:val="es-ES_tradnl"/>
        </w:rPr>
        <w:t>os Fiscales.</w:t>
      </w:r>
    </w:p>
    <w:p w:rsidR="00CC0F1F" w:rsidRDefault="00FA10B3" w:rsidP="00CC0F1F">
      <w:pPr>
        <w:pStyle w:val="SingleTxtG"/>
        <w:rPr>
          <w:b/>
          <w:lang w:val="es-ES_tradnl"/>
        </w:rPr>
      </w:pPr>
      <w:r>
        <w:rPr>
          <w:b/>
          <w:lang w:val="es-ES_tradnl"/>
        </w:rPr>
        <w:t>3</w:t>
      </w:r>
      <w:r w:rsidR="00E03D92">
        <w:rPr>
          <w:b/>
          <w:lang w:val="es-ES_tradnl"/>
        </w:rPr>
        <w:t>4</w:t>
      </w:r>
      <w:r>
        <w:rPr>
          <w:b/>
          <w:lang w:val="es-ES_tradnl"/>
        </w:rPr>
        <w:t>.</w:t>
      </w:r>
      <w:r>
        <w:rPr>
          <w:b/>
          <w:lang w:val="es-ES_tradnl"/>
        </w:rPr>
        <w:tab/>
      </w:r>
      <w:r w:rsidR="006664F6">
        <w:rPr>
          <w:b/>
          <w:lang w:val="es-ES_tradnl"/>
        </w:rPr>
        <w:t>L</w:t>
      </w:r>
      <w:r w:rsidR="00FB54DC" w:rsidRPr="00E407F9">
        <w:rPr>
          <w:b/>
          <w:lang w:val="es-ES_tradnl"/>
        </w:rPr>
        <w:t xml:space="preserve">as autoridades argentinas </w:t>
      </w:r>
      <w:r w:rsidR="006664F6">
        <w:rPr>
          <w:b/>
          <w:lang w:val="es-ES_tradnl"/>
        </w:rPr>
        <w:t>deben</w:t>
      </w:r>
      <w:r w:rsidR="00FB54DC" w:rsidRPr="00E407F9">
        <w:rPr>
          <w:b/>
          <w:lang w:val="es-ES_tradnl"/>
        </w:rPr>
        <w:t xml:space="preserve"> adopt</w:t>
      </w:r>
      <w:r w:rsidR="006664F6">
        <w:rPr>
          <w:b/>
          <w:lang w:val="es-ES_tradnl"/>
        </w:rPr>
        <w:t>ar</w:t>
      </w:r>
      <w:r w:rsidR="00FB54DC" w:rsidRPr="00E407F9">
        <w:rPr>
          <w:b/>
          <w:lang w:val="es-ES_tradnl"/>
        </w:rPr>
        <w:t xml:space="preserve"> medidas para prevenir</w:t>
      </w:r>
      <w:r w:rsidR="000E1D82">
        <w:rPr>
          <w:b/>
          <w:lang w:val="es-ES_tradnl"/>
        </w:rPr>
        <w:t xml:space="preserve"> eficazmente </w:t>
      </w:r>
      <w:r w:rsidR="00FB54DC" w:rsidRPr="00E407F9">
        <w:rPr>
          <w:b/>
          <w:lang w:val="es-ES_tradnl"/>
        </w:rPr>
        <w:t xml:space="preserve"> la tortura y los malos tratos</w:t>
      </w:r>
      <w:r w:rsidR="00FB54DC">
        <w:rPr>
          <w:b/>
          <w:lang w:val="es-ES_tradnl"/>
        </w:rPr>
        <w:t xml:space="preserve"> </w:t>
      </w:r>
      <w:r w:rsidR="006664F6">
        <w:rPr>
          <w:b/>
          <w:lang w:val="es-ES_tradnl"/>
        </w:rPr>
        <w:t xml:space="preserve">en establecimientos policiales </w:t>
      </w:r>
      <w:r w:rsidR="00FB54DC">
        <w:rPr>
          <w:b/>
          <w:lang w:val="es-ES_tradnl"/>
        </w:rPr>
        <w:t xml:space="preserve">y para asegurar que estas prácticas sean debidamente investigadas y sus </w:t>
      </w:r>
      <w:r w:rsidR="000E1D82">
        <w:rPr>
          <w:b/>
          <w:lang w:val="es-ES_tradnl"/>
        </w:rPr>
        <w:t>responsables</w:t>
      </w:r>
      <w:r w:rsidR="00FB54DC">
        <w:rPr>
          <w:b/>
          <w:lang w:val="es-ES_tradnl"/>
        </w:rPr>
        <w:t xml:space="preserve"> castigados</w:t>
      </w:r>
      <w:r w:rsidR="00FB54DC" w:rsidRPr="00E407F9">
        <w:rPr>
          <w:b/>
          <w:lang w:val="es-ES_tradnl"/>
        </w:rPr>
        <w:t>.</w:t>
      </w:r>
      <w:r w:rsidR="0074335C">
        <w:rPr>
          <w:b/>
          <w:lang w:val="es-ES_tradnl"/>
        </w:rPr>
        <w:t xml:space="preserve"> </w:t>
      </w:r>
      <w:r w:rsidR="006664F6">
        <w:rPr>
          <w:b/>
          <w:lang w:val="es-ES_tradnl"/>
        </w:rPr>
        <w:t>A</w:t>
      </w:r>
      <w:r w:rsidR="0074335C">
        <w:rPr>
          <w:b/>
          <w:lang w:val="es-ES_tradnl"/>
        </w:rPr>
        <w:t>demás de las eventuales denuncias penales</w:t>
      </w:r>
      <w:r w:rsidR="004D4EDD">
        <w:rPr>
          <w:b/>
          <w:lang w:val="es-ES_tradnl"/>
        </w:rPr>
        <w:t xml:space="preserve">, </w:t>
      </w:r>
      <w:r w:rsidR="0074335C">
        <w:rPr>
          <w:b/>
          <w:lang w:val="es-ES_tradnl"/>
        </w:rPr>
        <w:t xml:space="preserve">debe mejorarse el sistema de inspectoría policial con el fin de </w:t>
      </w:r>
      <w:r w:rsidR="00D56337">
        <w:rPr>
          <w:b/>
          <w:lang w:val="es-ES_tradnl"/>
        </w:rPr>
        <w:t>determinar la responsabilidad personal e institucional por casos de tortura y malos tratos</w:t>
      </w:r>
      <w:r w:rsidR="004D4EDD">
        <w:rPr>
          <w:b/>
          <w:lang w:val="es-ES_tradnl"/>
        </w:rPr>
        <w:t xml:space="preserve"> y establecer las sanciones disciplinarias correspondientes.</w:t>
      </w:r>
    </w:p>
    <w:p w:rsidR="00CC0F1F" w:rsidRPr="00E407F9" w:rsidRDefault="00CC0F1F" w:rsidP="00CC0F1F">
      <w:pPr>
        <w:pStyle w:val="H1G"/>
        <w:rPr>
          <w:lang w:val="es-ES_tradnl"/>
        </w:rPr>
      </w:pPr>
      <w:r w:rsidRPr="00E407F9">
        <w:rPr>
          <w:lang w:val="es-ES_tradnl"/>
        </w:rPr>
        <w:tab/>
      </w:r>
      <w:bookmarkStart w:id="5" w:name="_Toc332721029"/>
      <w:r w:rsidRPr="00E407F9">
        <w:rPr>
          <w:lang w:val="es-ES_tradnl"/>
        </w:rPr>
        <w:t>B.</w:t>
      </w:r>
      <w:r w:rsidRPr="00E407F9">
        <w:rPr>
          <w:lang w:val="es-ES_tradnl"/>
        </w:rPr>
        <w:tab/>
      </w:r>
      <w:r w:rsidR="00581A27" w:rsidRPr="00E407F9">
        <w:rPr>
          <w:lang w:val="es-ES_tradnl"/>
        </w:rPr>
        <w:t>Establecimientos</w:t>
      </w:r>
      <w:r w:rsidRPr="00E407F9">
        <w:rPr>
          <w:lang w:val="es-ES_tradnl"/>
        </w:rPr>
        <w:t xml:space="preserve"> penitenciari</w:t>
      </w:r>
      <w:r w:rsidR="00581A27" w:rsidRPr="00E407F9">
        <w:rPr>
          <w:lang w:val="es-ES_tradnl"/>
        </w:rPr>
        <w:t>o</w:t>
      </w:r>
      <w:r w:rsidRPr="00E407F9">
        <w:rPr>
          <w:lang w:val="es-ES_tradnl"/>
        </w:rPr>
        <w:t>s</w:t>
      </w:r>
      <w:bookmarkEnd w:id="5"/>
      <w:r w:rsidR="00F2343A" w:rsidRPr="00E407F9">
        <w:rPr>
          <w:lang w:val="es-ES_tradnl"/>
        </w:rPr>
        <w:t xml:space="preserve"> </w:t>
      </w:r>
    </w:p>
    <w:p w:rsidR="005D7E1A" w:rsidRDefault="00CC0F1F" w:rsidP="00BD4CED">
      <w:pPr>
        <w:pStyle w:val="H23G"/>
        <w:rPr>
          <w:lang w:val="es-ES_tradnl"/>
        </w:rPr>
      </w:pPr>
      <w:r w:rsidRPr="00E407F9">
        <w:rPr>
          <w:lang w:val="es-ES_tradnl"/>
        </w:rPr>
        <w:tab/>
        <w:t>1.</w:t>
      </w:r>
      <w:r w:rsidRPr="00E407F9">
        <w:rPr>
          <w:lang w:val="es-ES_tradnl"/>
        </w:rPr>
        <w:tab/>
        <w:t>Cuestiones generales</w:t>
      </w:r>
    </w:p>
    <w:p w:rsidR="00820116" w:rsidRDefault="00764EC2" w:rsidP="00820116">
      <w:pPr>
        <w:pStyle w:val="SingleTxtG"/>
      </w:pPr>
      <w:r>
        <w:t>3</w:t>
      </w:r>
      <w:r w:rsidR="00E03D92">
        <w:t>5</w:t>
      </w:r>
      <w:r w:rsidR="00FA10B3">
        <w:t>.</w:t>
      </w:r>
      <w:r w:rsidR="00FA10B3">
        <w:tab/>
      </w:r>
      <w:r w:rsidR="00820116">
        <w:t xml:space="preserve">En sus visitas a los centros el SPT tuvo la impresión de que muchas de las deficiencias en la gestión y el trato a los internos arrastran la impronta de una estructura del sistema penitenciario marcadamente militarizada y de perfil corporativo, lo que constituye un obstáculo al establecimiento de una verdadera “gobernabilidad civil” de los centros. </w:t>
      </w:r>
      <w:r w:rsidR="00552912">
        <w:t xml:space="preserve">En este sentido, toma nota de las informaciones proporcionadas por las autoridades provinciales que dan cuenta de los esfuerzos realizados en los últimos años para profundizar el proceso de desmilitarización del Servicio Penitenciario Bonaerense. </w:t>
      </w:r>
      <w:r w:rsidR="00F063AB">
        <w:t>El SPT p</w:t>
      </w:r>
      <w:r w:rsidR="00042A42">
        <w:t>udo percibir también un régimen de encierro sistemático</w:t>
      </w:r>
      <w:r w:rsidR="00F063AB">
        <w:t>,</w:t>
      </w:r>
      <w:r w:rsidR="00042A42">
        <w:t xml:space="preserve"> en que las posibilidades de muchos de los internos para compartir y socializar en grupo son bastante limitadas. </w:t>
      </w:r>
    </w:p>
    <w:p w:rsidR="00820116" w:rsidRPr="00277BE2" w:rsidRDefault="00764EC2" w:rsidP="00820116">
      <w:pPr>
        <w:pStyle w:val="SingleTxtG"/>
      </w:pPr>
      <w:r>
        <w:t>3</w:t>
      </w:r>
      <w:r w:rsidR="00E03D92">
        <w:t>6</w:t>
      </w:r>
      <w:r w:rsidR="00FA10B3">
        <w:t>.</w:t>
      </w:r>
      <w:r w:rsidR="00FA10B3">
        <w:tab/>
      </w:r>
      <w:r w:rsidR="00820116" w:rsidRPr="00DC5EE6">
        <w:rPr>
          <w:b/>
        </w:rPr>
        <w:t xml:space="preserve">El SPT hace un llamamiento para que se tomen medidas rápidas y efectivas </w:t>
      </w:r>
      <w:r w:rsidR="00820116">
        <w:rPr>
          <w:b/>
        </w:rPr>
        <w:t xml:space="preserve">encaminadas a lograr </w:t>
      </w:r>
      <w:r w:rsidR="00820116" w:rsidRPr="00DC5EE6">
        <w:rPr>
          <w:b/>
        </w:rPr>
        <w:t>la gobernabilidad civil del Servicio</w:t>
      </w:r>
      <w:r w:rsidR="00820116">
        <w:rPr>
          <w:b/>
        </w:rPr>
        <w:t>, propia de los sistemas democráticos, la cual debe tener como una de sus bases el respeto estricto a los derechos humanos de los privados de libertad.</w:t>
      </w:r>
    </w:p>
    <w:p w:rsidR="008D0CAF" w:rsidRPr="000521FE" w:rsidRDefault="000521FE" w:rsidP="000521FE">
      <w:pPr>
        <w:pStyle w:val="H4G"/>
      </w:pPr>
      <w:r>
        <w:tab/>
      </w:r>
      <w:r w:rsidR="008D0CAF" w:rsidRPr="000521FE">
        <w:t>a)</w:t>
      </w:r>
      <w:r w:rsidR="008D0CAF" w:rsidRPr="000521FE">
        <w:tab/>
        <w:t>Asignación de detenidos a los centros penitenciarios</w:t>
      </w:r>
    </w:p>
    <w:p w:rsidR="008D0CAF" w:rsidRDefault="000E1D82" w:rsidP="000521FE">
      <w:pPr>
        <w:pStyle w:val="SingleTxtG"/>
      </w:pPr>
      <w:r>
        <w:t>3</w:t>
      </w:r>
      <w:r w:rsidR="00E03D92">
        <w:t>7</w:t>
      </w:r>
      <w:r w:rsidR="00FA10B3">
        <w:t>.</w:t>
      </w:r>
      <w:r w:rsidR="00FA10B3">
        <w:tab/>
      </w:r>
      <w:r w:rsidR="008D0CAF">
        <w:t>M</w:t>
      </w:r>
      <w:r w:rsidR="008D0CAF" w:rsidRPr="008B0AB4">
        <w:t>uch</w:t>
      </w:r>
      <w:r>
        <w:t>a</w:t>
      </w:r>
      <w:r w:rsidR="008D0CAF" w:rsidRPr="008B0AB4">
        <w:t xml:space="preserve">s </w:t>
      </w:r>
      <w:r>
        <w:t>PPL</w:t>
      </w:r>
      <w:r w:rsidR="008D0CAF">
        <w:t xml:space="preserve"> se quejaron de estar </w:t>
      </w:r>
      <w:r w:rsidR="008D0CAF" w:rsidRPr="008B0AB4">
        <w:t xml:space="preserve"> encarcelad</w:t>
      </w:r>
      <w:r>
        <w:t>a</w:t>
      </w:r>
      <w:r w:rsidR="008D0CAF" w:rsidRPr="008B0AB4">
        <w:t xml:space="preserve">s </w:t>
      </w:r>
      <w:r w:rsidR="008D0CAF">
        <w:t xml:space="preserve">en centros </w:t>
      </w:r>
      <w:r w:rsidR="008D0CAF" w:rsidRPr="008B0AB4">
        <w:t xml:space="preserve">muy </w:t>
      </w:r>
      <w:r w:rsidR="008D0CAF">
        <w:t>alejados</w:t>
      </w:r>
      <w:r w:rsidR="008D0CAF" w:rsidRPr="008B0AB4">
        <w:t xml:space="preserve"> de sus familias, lo que l</w:t>
      </w:r>
      <w:r w:rsidR="008D0CAF">
        <w:t>e</w:t>
      </w:r>
      <w:r w:rsidR="008D0CAF" w:rsidRPr="008B0AB4">
        <w:t>s a</w:t>
      </w:r>
      <w:r w:rsidR="008D0CAF">
        <w:t>í</w:t>
      </w:r>
      <w:r w:rsidR="008D0CAF" w:rsidRPr="008B0AB4">
        <w:t xml:space="preserve">sla forzosamente de un elemento vital de apoyo y contención. </w:t>
      </w:r>
      <w:r w:rsidR="008D0CAF" w:rsidRPr="007207EC">
        <w:t xml:space="preserve">La realización de frecuentes traslados a lugares distantes de la provincia y puntos distintos del país afecta tanto a los internos como a sus familias, obstaculiza </w:t>
      </w:r>
      <w:r w:rsidR="008D0CAF">
        <w:t xml:space="preserve">el contacto con su tribunal y abogado y </w:t>
      </w:r>
      <w:r w:rsidR="008D0CAF" w:rsidRPr="007207EC">
        <w:t xml:space="preserve">la buena marcha de las actividades realizadas por los internos en las Unidades y puede constituir una forma de mal </w:t>
      </w:r>
      <w:r w:rsidR="008D0CAF">
        <w:t>trato. La información y quejas recibidas apunta igualmente a que los traslados son usados como una forma de castigo o represalia, y que se realizan sin informar a las familias y en condiciones degradantes</w:t>
      </w:r>
      <w:r w:rsidR="004B4876">
        <w:t xml:space="preserve"> debido al mal</w:t>
      </w:r>
      <w:r w:rsidR="008D0CAF">
        <w:t xml:space="preserve"> estado de los vehículos y las largas horas que los </w:t>
      </w:r>
      <w:r>
        <w:t>internos</w:t>
      </w:r>
      <w:r w:rsidR="008D0CAF">
        <w:t xml:space="preserve"> deben permanecer en los mismos, a veces incluso sin alimentos</w:t>
      </w:r>
      <w:r w:rsidR="008D0CAF" w:rsidRPr="00237BF5">
        <w:t xml:space="preserve">. </w:t>
      </w:r>
    </w:p>
    <w:p w:rsidR="008D0CAF" w:rsidRPr="007207EC" w:rsidRDefault="000E1D82" w:rsidP="000521FE">
      <w:pPr>
        <w:pStyle w:val="SingleTxtG"/>
        <w:rPr>
          <w:b/>
        </w:rPr>
      </w:pPr>
      <w:r>
        <w:t>3</w:t>
      </w:r>
      <w:r w:rsidR="00E03D92">
        <w:t>8</w:t>
      </w:r>
      <w:r w:rsidR="00FA10B3">
        <w:t>.</w:t>
      </w:r>
      <w:r w:rsidR="00FA10B3">
        <w:tab/>
      </w:r>
      <w:r w:rsidR="008D0CAF" w:rsidRPr="00237BF5">
        <w:t xml:space="preserve">El SPT toma nota de la información proporcionada por el Estado en el sentido de que se han emprendido una serie de acciones para mitigar la lejanía del privado de libertad </w:t>
      </w:r>
      <w:r>
        <w:t>de</w:t>
      </w:r>
      <w:r w:rsidR="008D0CAF" w:rsidRPr="00237BF5">
        <w:t xml:space="preserve"> su entorno familiar, entre las que se encuentra el Programa “60 por 7”. Además, según el Estado, el Programa de Infraestructura Edilicia encarado a partir de 2008 </w:t>
      </w:r>
      <w:r w:rsidR="008D0CAF">
        <w:t>puso énfasis en</w:t>
      </w:r>
      <w:r w:rsidR="008D0CAF" w:rsidRPr="00237BF5">
        <w:t xml:space="preserve"> la construcción de plazas en el conurbano.</w:t>
      </w:r>
    </w:p>
    <w:p w:rsidR="005D7E1A" w:rsidRPr="00E407F9" w:rsidRDefault="00E03D92" w:rsidP="000E1D82">
      <w:pPr>
        <w:pStyle w:val="SingleTxtG"/>
        <w:rPr>
          <w:lang w:val="es-ES_tradnl"/>
        </w:rPr>
      </w:pPr>
      <w:r>
        <w:rPr>
          <w:b/>
        </w:rPr>
        <w:t>39</w:t>
      </w:r>
      <w:r w:rsidR="00FA10B3">
        <w:rPr>
          <w:b/>
        </w:rPr>
        <w:t>.</w:t>
      </w:r>
      <w:r w:rsidR="00FA10B3">
        <w:rPr>
          <w:b/>
        </w:rPr>
        <w:tab/>
      </w:r>
      <w:r w:rsidR="008D0CAF" w:rsidRPr="007207EC">
        <w:rPr>
          <w:b/>
        </w:rPr>
        <w:t xml:space="preserve">El Estado Parte </w:t>
      </w:r>
      <w:r w:rsidR="000E1D82">
        <w:rPr>
          <w:b/>
        </w:rPr>
        <w:t>debe tomar</w:t>
      </w:r>
      <w:r w:rsidR="008D0CAF" w:rsidRPr="007207EC">
        <w:rPr>
          <w:b/>
        </w:rPr>
        <w:t xml:space="preserve"> medidas para asegurar que  las </w:t>
      </w:r>
      <w:r w:rsidR="008D0CAF">
        <w:rPr>
          <w:b/>
        </w:rPr>
        <w:t>PPL</w:t>
      </w:r>
      <w:r w:rsidR="008D0CAF" w:rsidRPr="007207EC">
        <w:rPr>
          <w:b/>
        </w:rPr>
        <w:t xml:space="preserve"> puedan permanecer en establecimientos penitenciarios situados en lugares cercanos a sus hogares. Para ello deberán realizarse los correspondientes estudios de viabilidad que tomen en consideración las  necesidades de espacio y de recursos que así lo permitan.</w:t>
      </w:r>
      <w:r w:rsidR="008D0CAF">
        <w:rPr>
          <w:b/>
        </w:rPr>
        <w:t xml:space="preserve"> También se deben tomar medidas para garantizar el derecho de l</w:t>
      </w:r>
      <w:r w:rsidR="000E1D82">
        <w:rPr>
          <w:b/>
        </w:rPr>
        <w:t>as PPL</w:t>
      </w:r>
      <w:r w:rsidR="008D0CAF">
        <w:rPr>
          <w:b/>
        </w:rPr>
        <w:t xml:space="preserve"> a oponerse a los traslad</w:t>
      </w:r>
      <w:r w:rsidR="000E1D82">
        <w:rPr>
          <w:b/>
        </w:rPr>
        <w:t>os y a ser oída</w:t>
      </w:r>
      <w:r w:rsidR="008D0CAF">
        <w:rPr>
          <w:b/>
        </w:rPr>
        <w:t>s a este respecto por la autoridad competente</w:t>
      </w:r>
      <w:r w:rsidR="004B4876">
        <w:rPr>
          <w:b/>
        </w:rPr>
        <w:t xml:space="preserve">, sin que ello </w:t>
      </w:r>
      <w:r w:rsidR="00920D6F">
        <w:rPr>
          <w:b/>
        </w:rPr>
        <w:t xml:space="preserve">implique un riesgo </w:t>
      </w:r>
      <w:r w:rsidR="004B4876">
        <w:rPr>
          <w:b/>
        </w:rPr>
        <w:t>de represalias.</w:t>
      </w:r>
    </w:p>
    <w:p w:rsidR="007E685C" w:rsidRPr="00E407F9" w:rsidRDefault="007E685C" w:rsidP="007E685C">
      <w:pPr>
        <w:pStyle w:val="H4G"/>
        <w:rPr>
          <w:lang w:val="es-ES_tradnl"/>
        </w:rPr>
      </w:pPr>
      <w:r>
        <w:rPr>
          <w:lang w:val="es-ES_tradnl"/>
        </w:rPr>
        <w:tab/>
      </w:r>
      <w:r w:rsidR="000E1D82">
        <w:rPr>
          <w:lang w:val="es-ES_tradnl"/>
        </w:rPr>
        <w:t>b</w:t>
      </w:r>
      <w:r w:rsidRPr="00E407F9">
        <w:rPr>
          <w:lang w:val="es-ES_tradnl"/>
        </w:rPr>
        <w:t>)</w:t>
      </w:r>
      <w:r w:rsidRPr="00E407F9">
        <w:rPr>
          <w:lang w:val="es-ES_tradnl"/>
        </w:rPr>
        <w:tab/>
      </w:r>
      <w:r>
        <w:t>Régimen inter</w:t>
      </w:r>
      <w:r w:rsidR="00A07072">
        <w:t>no</w:t>
      </w:r>
    </w:p>
    <w:p w:rsidR="003240FC" w:rsidRDefault="00FA10B3" w:rsidP="00277BE2">
      <w:pPr>
        <w:pStyle w:val="SingleTxtG"/>
      </w:pPr>
      <w:r>
        <w:rPr>
          <w:lang w:val="es-ES_tradnl"/>
        </w:rPr>
        <w:t>4</w:t>
      </w:r>
      <w:r w:rsidR="00E03D92">
        <w:rPr>
          <w:lang w:val="es-ES_tradnl"/>
        </w:rPr>
        <w:t>0</w:t>
      </w:r>
      <w:r>
        <w:rPr>
          <w:lang w:val="es-ES_tradnl"/>
        </w:rPr>
        <w:t>.</w:t>
      </w:r>
      <w:r>
        <w:rPr>
          <w:lang w:val="es-ES_tradnl"/>
        </w:rPr>
        <w:tab/>
      </w:r>
      <w:r w:rsidR="00594E3C" w:rsidRPr="00154A1B">
        <w:rPr>
          <w:lang w:val="es-ES_tradnl"/>
        </w:rPr>
        <w:t xml:space="preserve">En algunos centros visitados </w:t>
      </w:r>
      <w:r w:rsidR="007E685C" w:rsidRPr="00154A1B">
        <w:t>el</w:t>
      </w:r>
      <w:r w:rsidR="007E685C">
        <w:t xml:space="preserve"> SPT </w:t>
      </w:r>
      <w:r w:rsidR="00594E3C">
        <w:t xml:space="preserve">observó </w:t>
      </w:r>
      <w:r w:rsidR="00277BE2">
        <w:t xml:space="preserve">la subsistencia de concepciones y </w:t>
      </w:r>
      <w:r w:rsidR="00594E3C">
        <w:t>prácticas</w:t>
      </w:r>
      <w:r w:rsidR="00277BE2">
        <w:t xml:space="preserve"> que consideran</w:t>
      </w:r>
      <w:r w:rsidR="00594E3C">
        <w:t xml:space="preserve"> a</w:t>
      </w:r>
      <w:r w:rsidR="007E685C" w:rsidRPr="008B0AB4">
        <w:t xml:space="preserve"> l</w:t>
      </w:r>
      <w:r w:rsidR="000E1D82">
        <w:t>as PPL</w:t>
      </w:r>
      <w:r w:rsidR="007E685C" w:rsidRPr="008B0AB4">
        <w:t xml:space="preserve"> como personas objeto de un tratamiento progresivo</w:t>
      </w:r>
      <w:r w:rsidR="00277BE2">
        <w:t xml:space="preserve"> y con ello rebasan el contenido de la pena o medida judicial impuesta. </w:t>
      </w:r>
      <w:r w:rsidR="007E685C" w:rsidRPr="008B0AB4">
        <w:t xml:space="preserve">Ejemplo de ello </w:t>
      </w:r>
      <w:r w:rsidR="00594E3C">
        <w:t>son</w:t>
      </w:r>
      <w:r w:rsidR="007E685C" w:rsidRPr="008B0AB4">
        <w:t xml:space="preserve"> los cortes </w:t>
      </w:r>
      <w:r w:rsidR="007E685C" w:rsidRPr="005D7FC0">
        <w:t>de cabello</w:t>
      </w:r>
      <w:r w:rsidR="007E685C" w:rsidRPr="008B0AB4">
        <w:t xml:space="preserve"> en contra de la voluntad de los internos, </w:t>
      </w:r>
      <w:r w:rsidR="007E685C">
        <w:t xml:space="preserve">pabellones </w:t>
      </w:r>
      <w:r w:rsidR="002E35CE">
        <w:t>a</w:t>
      </w:r>
      <w:r w:rsidR="007E685C">
        <w:t>signados a una religión específica c</w:t>
      </w:r>
      <w:r w:rsidR="00594E3C">
        <w:t xml:space="preserve">uyos internos están autorizados a imponer </w:t>
      </w:r>
      <w:r w:rsidR="002E35CE">
        <w:t xml:space="preserve">a otros </w:t>
      </w:r>
      <w:r w:rsidR="00594E3C">
        <w:t>medidas de corrección</w:t>
      </w:r>
      <w:r w:rsidR="007E685C">
        <w:t xml:space="preserve"> </w:t>
      </w:r>
      <w:r w:rsidR="007E685C" w:rsidRPr="008B0AB4">
        <w:t>y los estudios clínico-criminológicos invasivos de la intimidad</w:t>
      </w:r>
      <w:r w:rsidR="00594E3C">
        <w:t xml:space="preserve"> </w:t>
      </w:r>
      <w:r w:rsidR="00277BE2">
        <w:t xml:space="preserve">y la libertad de conciencia </w:t>
      </w:r>
      <w:r w:rsidR="00594E3C">
        <w:t>de los internos</w:t>
      </w:r>
      <w:r w:rsidR="007E685C">
        <w:t>.</w:t>
      </w:r>
      <w:r w:rsidR="007E685C" w:rsidRPr="008B0AB4">
        <w:t xml:space="preserve"> </w:t>
      </w:r>
    </w:p>
    <w:p w:rsidR="008512B8" w:rsidRDefault="00FA10B3" w:rsidP="00277BE2">
      <w:pPr>
        <w:pStyle w:val="SingleTxtG"/>
      </w:pPr>
      <w:r>
        <w:t>4</w:t>
      </w:r>
      <w:r w:rsidR="00E03D92">
        <w:t>1</w:t>
      </w:r>
      <w:r>
        <w:t>.</w:t>
      </w:r>
      <w:r>
        <w:tab/>
      </w:r>
      <w:r w:rsidR="00344B0D">
        <w:t>El SPT toma nota de la información proporcionada por el Estado Parte de que, con posterioridad a la visita, el SPB emitió una resolución recordando expresamente la prohibición de obligar a internos a cortarse el cabello contra su voluntad, o cualquier otra medida que interfiera en las decisiones personales sobre el aspecto o apariencia, y disponiendo que la inobservancia constituirá falta grave</w:t>
      </w:r>
      <w:r w:rsidR="00344B0D" w:rsidRPr="00277BE2">
        <w:t xml:space="preserve">. </w:t>
      </w:r>
    </w:p>
    <w:p w:rsidR="00F543A6" w:rsidRDefault="00FA10B3" w:rsidP="00277BE2">
      <w:pPr>
        <w:pStyle w:val="SingleTxtG"/>
      </w:pPr>
      <w:r>
        <w:t>4</w:t>
      </w:r>
      <w:r w:rsidR="00E03D92">
        <w:t>2</w:t>
      </w:r>
      <w:r>
        <w:t>.</w:t>
      </w:r>
      <w:r>
        <w:tab/>
      </w:r>
      <w:r w:rsidR="002E35CE">
        <w:t>En el ámbito federal, el SPT fue informado de l</w:t>
      </w:r>
      <w:r w:rsidR="007E685C" w:rsidRPr="008B0AB4">
        <w:t xml:space="preserve">as evaluaciones periódicas que se realizan </w:t>
      </w:r>
      <w:r w:rsidR="007E685C">
        <w:t xml:space="preserve"> </w:t>
      </w:r>
      <w:r w:rsidR="007E685C" w:rsidRPr="008B0AB4">
        <w:t xml:space="preserve">para asignar </w:t>
      </w:r>
      <w:r w:rsidR="002E35CE">
        <w:t xml:space="preserve">a los internos </w:t>
      </w:r>
      <w:r w:rsidR="007E685C" w:rsidRPr="008B0AB4">
        <w:t>una calificación por “concepto”</w:t>
      </w:r>
      <w:r w:rsidR="002E35CE">
        <w:t xml:space="preserve"> (valoración del pronóstico de la reinserción social). Este elemento</w:t>
      </w:r>
      <w:r w:rsidR="00E81E42">
        <w:t>,</w:t>
      </w:r>
      <w:r w:rsidR="002E35CE">
        <w:t xml:space="preserve"> junto con la conducta en la prisión</w:t>
      </w:r>
      <w:r w:rsidR="00F543A6">
        <w:t>,</w:t>
      </w:r>
      <w:r w:rsidR="002E35CE">
        <w:t xml:space="preserve"> sirven de base para otorgar una calificación trimestral a cada interno, misma que tiene efectos tanto para su situación penitenciaria como para las posibilidades de externación</w:t>
      </w:r>
      <w:r w:rsidR="00344B0D">
        <w:t xml:space="preserve">, mediante las figuras de libertad condicional y libertad asistida. El SPT considera preocupante la valoración por </w:t>
      </w:r>
      <w:r w:rsidR="007B76E4">
        <w:t>“</w:t>
      </w:r>
      <w:r w:rsidR="00344B0D">
        <w:t>concepto</w:t>
      </w:r>
      <w:r w:rsidR="007B76E4">
        <w:t>”</w:t>
      </w:r>
      <w:r w:rsidR="00344B0D">
        <w:t xml:space="preserve">, ya que </w:t>
      </w:r>
      <w:r w:rsidR="00DD3A5B">
        <w:t xml:space="preserve">la misma </w:t>
      </w:r>
      <w:r w:rsidR="00344B0D">
        <w:t>atribuye consecuencias jurídicas a apreciaciones sobre el futuro desempeño de la persona.</w:t>
      </w:r>
      <w:r w:rsidR="005D7FC0">
        <w:t xml:space="preserve"> </w:t>
      </w:r>
    </w:p>
    <w:p w:rsidR="002E35CE" w:rsidRDefault="00F543A6" w:rsidP="00277BE2">
      <w:pPr>
        <w:pStyle w:val="SingleTxtG"/>
        <w:rPr>
          <w:b/>
        </w:rPr>
      </w:pPr>
      <w:r>
        <w:t>4</w:t>
      </w:r>
      <w:r w:rsidR="00E03D92">
        <w:t>3</w:t>
      </w:r>
      <w:r>
        <w:t>.</w:t>
      </w:r>
      <w:r>
        <w:tab/>
      </w:r>
      <w:r w:rsidR="008512B8" w:rsidRPr="008512B8">
        <w:rPr>
          <w:b/>
        </w:rPr>
        <w:t xml:space="preserve">El SPT </w:t>
      </w:r>
      <w:r w:rsidR="0094773B">
        <w:rPr>
          <w:b/>
        </w:rPr>
        <w:t xml:space="preserve">considera que la clasificación de los internos dentro de los centros debe realizarse en base a </w:t>
      </w:r>
      <w:r>
        <w:rPr>
          <w:b/>
        </w:rPr>
        <w:t>su</w:t>
      </w:r>
      <w:r w:rsidR="0094773B">
        <w:rPr>
          <w:b/>
        </w:rPr>
        <w:t xml:space="preserve"> conducta y no por “concepto”. El SPT </w:t>
      </w:r>
      <w:r w:rsidR="008512B8" w:rsidRPr="008512B8">
        <w:rPr>
          <w:b/>
        </w:rPr>
        <w:t xml:space="preserve">hace un llamamiento para que </w:t>
      </w:r>
      <w:r w:rsidR="00DD3A5B">
        <w:rPr>
          <w:b/>
        </w:rPr>
        <w:t>el Estado parte</w:t>
      </w:r>
      <w:r w:rsidR="008512B8" w:rsidRPr="008512B8">
        <w:rPr>
          <w:b/>
        </w:rPr>
        <w:t xml:space="preserve"> analice la compatibilidad de esta práctica criminológica con la protección de los derechos humanos de las </w:t>
      </w:r>
      <w:r w:rsidR="0094773B">
        <w:rPr>
          <w:b/>
        </w:rPr>
        <w:t>PPL</w:t>
      </w:r>
      <w:r w:rsidR="008512B8" w:rsidRPr="008512B8">
        <w:rPr>
          <w:b/>
        </w:rPr>
        <w:t>.</w:t>
      </w:r>
    </w:p>
    <w:p w:rsidR="008D0CAF" w:rsidRDefault="00356BF2" w:rsidP="00356BF2">
      <w:pPr>
        <w:pStyle w:val="H4G"/>
      </w:pPr>
      <w:r>
        <w:tab/>
      </w:r>
      <w:r w:rsidR="000E1D82">
        <w:t>c</w:t>
      </w:r>
      <w:r w:rsidR="008D0CAF">
        <w:t>)</w:t>
      </w:r>
      <w:r w:rsidR="008D0CAF">
        <w:tab/>
        <w:t>Prisión preventiva</w:t>
      </w:r>
    </w:p>
    <w:p w:rsidR="005265D3" w:rsidRDefault="009044FE" w:rsidP="005265D3">
      <w:pPr>
        <w:pStyle w:val="SingleTxtG"/>
        <w:spacing w:line="240" w:lineRule="auto"/>
      </w:pPr>
      <w:r>
        <w:t>4</w:t>
      </w:r>
      <w:r w:rsidR="00E03D92">
        <w:t>4</w:t>
      </w:r>
      <w:r w:rsidR="00FA10B3">
        <w:t>.</w:t>
      </w:r>
      <w:r w:rsidR="00FA10B3">
        <w:tab/>
      </w:r>
      <w:r w:rsidR="008D0CAF">
        <w:t xml:space="preserve">Un importante porcentaje de los internos en los </w:t>
      </w:r>
      <w:r w:rsidR="005265D3">
        <w:t>centros</w:t>
      </w:r>
      <w:r w:rsidR="008D0CAF">
        <w:t xml:space="preserve"> penitenciarios se encuentra en prisión preventiva, aunque la situación puede variar significativamente de unos centros a otros. Por ejemplo, en la Unidad de Olmos había 1865 procesados y 202 penados el día de la visita del SPT, mientras que en la Unidad 30 la cifra era de 1065 penados por 335 procesados. En las cárceles federales las cifras oficiales señalan un 55% de internos sin sentencia firme. </w:t>
      </w:r>
      <w:r w:rsidR="005265D3" w:rsidRPr="001650DA">
        <w:t>El SPT observó que los reclusos condenados y los procesados  conviven habitualmente en los mismos espacios.</w:t>
      </w:r>
    </w:p>
    <w:p w:rsidR="008D0CAF" w:rsidRDefault="009044FE" w:rsidP="001C3B23">
      <w:pPr>
        <w:pStyle w:val="SingleTxtG"/>
        <w:spacing w:line="240" w:lineRule="auto"/>
      </w:pPr>
      <w:r>
        <w:t>4</w:t>
      </w:r>
      <w:r w:rsidR="00E03D92">
        <w:t>5</w:t>
      </w:r>
      <w:r w:rsidR="00FA10B3">
        <w:t>.</w:t>
      </w:r>
      <w:r w:rsidR="00FA10B3">
        <w:tab/>
      </w:r>
      <w:r w:rsidR="008D0CAF">
        <w:t>Autoridades provinciales y federales reconocieron la persistencia de una práctica excesiva de la prisión preventiva y serias deficiencias del procedimiento penal para tramitar los casos en</w:t>
      </w:r>
      <w:r w:rsidR="007B76E4">
        <w:t xml:space="preserve"> </w:t>
      </w:r>
      <w:r w:rsidR="005265D3">
        <w:t xml:space="preserve">legal </w:t>
      </w:r>
      <w:r w:rsidR="007B76E4">
        <w:t>tiempo</w:t>
      </w:r>
      <w:r w:rsidR="008D0CAF">
        <w:t xml:space="preserve"> y forma, a pesar de las medidas adoptadas en los últimos años para descongestionar los tribunales. La excesiva duración de la prisión preventiva genera situaciones en que los detenidos cumplen o sobrepasan en prisión preventiva la duración de la condena finalmente impuesta. </w:t>
      </w:r>
    </w:p>
    <w:p w:rsidR="008D0CAF" w:rsidRDefault="005265D3" w:rsidP="001C3B23">
      <w:pPr>
        <w:pStyle w:val="SingleTxtG"/>
        <w:spacing w:line="240" w:lineRule="auto"/>
        <w:rPr>
          <w:b/>
          <w:bCs/>
          <w:lang w:val="es-ES_tradnl" w:eastAsia="da-DK"/>
        </w:rPr>
      </w:pPr>
      <w:r>
        <w:t>4</w:t>
      </w:r>
      <w:r w:rsidR="00E03D92">
        <w:t>6</w:t>
      </w:r>
      <w:r w:rsidR="00FA10B3">
        <w:t>.</w:t>
      </w:r>
      <w:r w:rsidR="00FA10B3">
        <w:tab/>
      </w:r>
      <w:r w:rsidR="008D0CAF" w:rsidRPr="001650DA">
        <w:rPr>
          <w:b/>
        </w:rPr>
        <w:t xml:space="preserve">El SPT hace suya la recomendación del Comité de Derechos Humanos en el sentido de que el </w:t>
      </w:r>
      <w:r w:rsidR="008D0CAF" w:rsidRPr="001650DA">
        <w:rPr>
          <w:b/>
          <w:bCs/>
          <w:lang w:val="es-ES_tradnl" w:eastAsia="da-DK"/>
        </w:rPr>
        <w:t>Estado</w:t>
      </w:r>
      <w:r w:rsidR="008D0CAF" w:rsidRPr="009A6154">
        <w:rPr>
          <w:b/>
          <w:bCs/>
          <w:lang w:val="es-ES_tradnl" w:eastAsia="da-DK"/>
        </w:rPr>
        <w:t xml:space="preserve"> parte debe tomar medidas con celeridad para reducir el número de</w:t>
      </w:r>
      <w:r w:rsidR="008D0CAF">
        <w:rPr>
          <w:b/>
          <w:bCs/>
          <w:lang w:val="es-ES_tradnl" w:eastAsia="da-DK"/>
        </w:rPr>
        <w:t xml:space="preserve"> </w:t>
      </w:r>
      <w:r w:rsidR="008D0CAF" w:rsidRPr="009A6154">
        <w:rPr>
          <w:b/>
          <w:bCs/>
          <w:lang w:val="es-ES_tradnl" w:eastAsia="da-DK"/>
        </w:rPr>
        <w:t>personas en detención preventiva y el tiempo de su detención en esta situación, tales</w:t>
      </w:r>
      <w:r w:rsidR="008D0CAF">
        <w:rPr>
          <w:b/>
          <w:bCs/>
          <w:lang w:val="es-ES_tradnl" w:eastAsia="da-DK"/>
        </w:rPr>
        <w:t xml:space="preserve"> </w:t>
      </w:r>
      <w:r w:rsidR="008D0CAF" w:rsidRPr="009A6154">
        <w:rPr>
          <w:b/>
          <w:bCs/>
          <w:lang w:val="es-ES_tradnl" w:eastAsia="da-DK"/>
        </w:rPr>
        <w:t>como un mayor recurso a medidas cautelares, la fianza de excarcelación o un mayor</w:t>
      </w:r>
      <w:r w:rsidR="008D0CAF">
        <w:rPr>
          <w:b/>
          <w:bCs/>
          <w:lang w:val="es-ES_tradnl" w:eastAsia="da-DK"/>
        </w:rPr>
        <w:t xml:space="preserve"> </w:t>
      </w:r>
      <w:r w:rsidR="008D0CAF" w:rsidRPr="009A6154">
        <w:rPr>
          <w:b/>
          <w:bCs/>
          <w:lang w:val="es-ES_tradnl" w:eastAsia="da-DK"/>
        </w:rPr>
        <w:t>uso del brazalete electrónico</w:t>
      </w:r>
      <w:r w:rsidR="008D0CAF">
        <w:rPr>
          <w:rStyle w:val="FootnoteReference"/>
          <w:b/>
          <w:bCs/>
          <w:lang w:val="es-ES_tradnl" w:eastAsia="da-DK"/>
        </w:rPr>
        <w:footnoteReference w:id="14"/>
      </w:r>
      <w:r w:rsidR="008D0CAF" w:rsidRPr="009A6154">
        <w:rPr>
          <w:b/>
          <w:bCs/>
          <w:lang w:val="es-ES_tradnl" w:eastAsia="da-DK"/>
        </w:rPr>
        <w:t xml:space="preserve">. </w:t>
      </w:r>
      <w:r w:rsidR="008D0CAF">
        <w:rPr>
          <w:b/>
          <w:bCs/>
          <w:lang w:val="es-ES_tradnl" w:eastAsia="da-DK"/>
        </w:rPr>
        <w:t>El SPT recomienda la realización de una evaluación sobre el recurso a la prisión preventiva y la duración de la misma con miras a orientar la práctica judicial a venir</w:t>
      </w:r>
      <w:r w:rsidR="007B76E4">
        <w:rPr>
          <w:b/>
          <w:bCs/>
          <w:lang w:val="es-ES_tradnl" w:eastAsia="da-DK"/>
        </w:rPr>
        <w:t xml:space="preserve"> que elimine la utilización de valoraciones subjetivas por “concepto” o peligrosidad</w:t>
      </w:r>
      <w:r w:rsidR="008D0CAF">
        <w:rPr>
          <w:b/>
          <w:bCs/>
          <w:lang w:val="es-ES_tradnl" w:eastAsia="da-DK"/>
        </w:rPr>
        <w:t xml:space="preserve">.  </w:t>
      </w:r>
    </w:p>
    <w:p w:rsidR="008D0CAF" w:rsidRPr="007E685C" w:rsidRDefault="005265D3" w:rsidP="001C3B23">
      <w:pPr>
        <w:pStyle w:val="SingleTxtG"/>
        <w:spacing w:line="240" w:lineRule="auto"/>
        <w:rPr>
          <w:lang w:val="es-ES_tradnl"/>
        </w:rPr>
      </w:pPr>
      <w:r>
        <w:rPr>
          <w:b/>
        </w:rPr>
        <w:t>4</w:t>
      </w:r>
      <w:r w:rsidR="00E03D92">
        <w:rPr>
          <w:b/>
        </w:rPr>
        <w:t>7</w:t>
      </w:r>
      <w:r w:rsidR="00FA10B3">
        <w:rPr>
          <w:b/>
        </w:rPr>
        <w:t>.</w:t>
      </w:r>
      <w:r w:rsidR="00FA10B3">
        <w:rPr>
          <w:b/>
        </w:rPr>
        <w:tab/>
      </w:r>
      <w:r w:rsidR="008D0CAF" w:rsidRPr="00213BF9">
        <w:rPr>
          <w:b/>
        </w:rPr>
        <w:t>El Estado parte debe</w:t>
      </w:r>
      <w:r w:rsidR="008D0CAF">
        <w:rPr>
          <w:b/>
        </w:rPr>
        <w:t xml:space="preserve"> asegurar la separación de los detenidos en prisión preventiva y aquéllos que ya cuentan con una condena, conforme a lo establecido en los instrumentos internacionales pertinentes</w:t>
      </w:r>
      <w:r w:rsidR="008D0CAF" w:rsidRPr="008650F3">
        <w:rPr>
          <w:rStyle w:val="FootnoteReference"/>
        </w:rPr>
        <w:footnoteReference w:id="15"/>
      </w:r>
      <w:r w:rsidR="008D0CAF">
        <w:rPr>
          <w:b/>
        </w:rPr>
        <w:t>.</w:t>
      </w:r>
    </w:p>
    <w:p w:rsidR="007E685C" w:rsidRPr="00277BE2" w:rsidRDefault="001C3B23" w:rsidP="007E685C">
      <w:pPr>
        <w:pStyle w:val="H4G"/>
        <w:rPr>
          <w:lang w:val="es-ES_tradnl"/>
        </w:rPr>
      </w:pPr>
      <w:r>
        <w:rPr>
          <w:lang w:val="es-ES_tradnl"/>
        </w:rPr>
        <w:tab/>
      </w:r>
      <w:r w:rsidR="000E1D82">
        <w:rPr>
          <w:lang w:val="es-ES_tradnl"/>
        </w:rPr>
        <w:t>d</w:t>
      </w:r>
      <w:r w:rsidR="007E685C" w:rsidRPr="00277BE2">
        <w:rPr>
          <w:lang w:val="es-ES_tradnl"/>
        </w:rPr>
        <w:t>)</w:t>
      </w:r>
      <w:r w:rsidR="007E685C" w:rsidRPr="00277BE2">
        <w:rPr>
          <w:lang w:val="es-ES_tradnl"/>
        </w:rPr>
        <w:tab/>
      </w:r>
      <w:r w:rsidR="007E685C" w:rsidRPr="00277BE2">
        <w:t>Servicios de salud</w:t>
      </w:r>
    </w:p>
    <w:p w:rsidR="007E685C" w:rsidRDefault="005265D3" w:rsidP="00D26650">
      <w:pPr>
        <w:pStyle w:val="SingleTxtG"/>
        <w:rPr>
          <w:lang w:val="es-ES_tradnl"/>
        </w:rPr>
      </w:pPr>
      <w:r>
        <w:rPr>
          <w:lang w:val="es-ES_tradnl"/>
        </w:rPr>
        <w:t>4</w:t>
      </w:r>
      <w:r w:rsidR="00E03D92">
        <w:rPr>
          <w:lang w:val="es-ES_tradnl"/>
        </w:rPr>
        <w:t>8</w:t>
      </w:r>
      <w:r w:rsidR="00FA10B3">
        <w:t>.</w:t>
      </w:r>
      <w:r w:rsidR="00FA10B3">
        <w:tab/>
      </w:r>
      <w:r w:rsidR="007E685C">
        <w:t xml:space="preserve">El SPT observó con preocupación la </w:t>
      </w:r>
      <w:r w:rsidR="00A14800">
        <w:t xml:space="preserve">insuficiencia de los servicios </w:t>
      </w:r>
      <w:r w:rsidR="007E685C">
        <w:t>médic</w:t>
      </w:r>
      <w:r w:rsidR="00A14800">
        <w:t>os</w:t>
      </w:r>
      <w:r w:rsidR="007E685C">
        <w:t xml:space="preserve"> en </w:t>
      </w:r>
      <w:r>
        <w:t>los</w:t>
      </w:r>
      <w:r w:rsidR="007E685C">
        <w:t xml:space="preserve"> servicio</w:t>
      </w:r>
      <w:r>
        <w:t>s</w:t>
      </w:r>
      <w:r w:rsidR="007E685C">
        <w:t xml:space="preserve"> penitenciario</w:t>
      </w:r>
      <w:r>
        <w:t>s</w:t>
      </w:r>
      <w:r w:rsidR="007E685C">
        <w:t xml:space="preserve"> federal y provincial. La falta de </w:t>
      </w:r>
      <w:r w:rsidR="00B27C7D">
        <w:t xml:space="preserve">servicios de salud y </w:t>
      </w:r>
      <w:r w:rsidR="007E685C">
        <w:t>medicamento</w:t>
      </w:r>
      <w:r w:rsidR="00A14800">
        <w:t>s</w:t>
      </w:r>
      <w:r w:rsidR="007E685C">
        <w:t xml:space="preserve"> era evidente</w:t>
      </w:r>
      <w:r w:rsidR="00BF4F0A">
        <w:t>, por ejemplo,</w:t>
      </w:r>
      <w:r w:rsidR="007E685C">
        <w:t xml:space="preserve"> en la Unidad 28 Centro de Detención Judicial (U28</w:t>
      </w:r>
      <w:r w:rsidR="00681D3F">
        <w:t xml:space="preserve"> del SPF</w:t>
      </w:r>
      <w:r w:rsidR="007E685C">
        <w:t>), y la falta de personal médico en la U46</w:t>
      </w:r>
      <w:r w:rsidR="00A14800">
        <w:t xml:space="preserve">, donde ni siquiera </w:t>
      </w:r>
      <w:r w:rsidR="007E685C">
        <w:t xml:space="preserve"> la asistencia médica de urgencia </w:t>
      </w:r>
      <w:r w:rsidR="00A14800">
        <w:t>parece estar garantizada</w:t>
      </w:r>
      <w:r w:rsidR="007E685C">
        <w:t>.</w:t>
      </w:r>
      <w:r w:rsidR="00663060">
        <w:t xml:space="preserve"> Un detenido en la Unidad de Olmos con quien el SPT se entrevistó había sido objeto de una colostomía </w:t>
      </w:r>
      <w:r>
        <w:t xml:space="preserve">un año antes </w:t>
      </w:r>
      <w:r w:rsidR="00663060">
        <w:t xml:space="preserve">y llevaba meses esperando una operación. </w:t>
      </w:r>
      <w:r w:rsidR="00B52B11">
        <w:t>Desde</w:t>
      </w:r>
      <w:r w:rsidR="00663060">
        <w:t xml:space="preserve"> su llegada a esta Unidad semanas</w:t>
      </w:r>
      <w:r>
        <w:t xml:space="preserve"> atrás</w:t>
      </w:r>
      <w:r w:rsidR="00B52B11">
        <w:t xml:space="preserve"> sus pedidos de ser examinado por un médico no habían sido atendidos y las condiciones higiénicas en la celda en que vivía eran deplorables.</w:t>
      </w:r>
    </w:p>
    <w:p w:rsidR="007E685C" w:rsidRDefault="00E03D92" w:rsidP="00D26650">
      <w:pPr>
        <w:pStyle w:val="SingleTxtG"/>
      </w:pPr>
      <w:r>
        <w:t>49</w:t>
      </w:r>
      <w:r w:rsidR="00FA10B3">
        <w:t>.</w:t>
      </w:r>
      <w:r w:rsidR="00FA10B3">
        <w:tab/>
      </w:r>
      <w:r w:rsidR="007E685C">
        <w:t xml:space="preserve">En el Complejo Penitenciario Federal N°1 de Ezeiza </w:t>
      </w:r>
      <w:r w:rsidR="001525E0">
        <w:t xml:space="preserve">el SPT </w:t>
      </w:r>
      <w:r w:rsidR="00A14800">
        <w:t xml:space="preserve">recibió quejas de los internos de falta de respeto a su privacidad, </w:t>
      </w:r>
      <w:r w:rsidR="007E685C">
        <w:t xml:space="preserve"> ya que los exámenes de ingreso se realizaban en presencia de personas ajenas al personal médico. El SPT notó que ni l</w:t>
      </w:r>
      <w:r w:rsidR="00DC2CC0">
        <w:t>o</w:t>
      </w:r>
      <w:r w:rsidR="007E685C">
        <w:t xml:space="preserve">s </w:t>
      </w:r>
      <w:r w:rsidR="00DC2CC0">
        <w:t xml:space="preserve">reclusos </w:t>
      </w:r>
      <w:r w:rsidR="007E685C">
        <w:t>ni sus defensores recib</w:t>
      </w:r>
      <w:r w:rsidR="001525E0">
        <w:t>en</w:t>
      </w:r>
      <w:r w:rsidR="007E685C">
        <w:t xml:space="preserve"> copia de los exámenes médicos practicados </w:t>
      </w:r>
      <w:r w:rsidR="001525E0">
        <w:t>por</w:t>
      </w:r>
      <w:r w:rsidR="00637CB9">
        <w:t xml:space="preserve"> lesiones</w:t>
      </w:r>
      <w:r w:rsidR="007E685C">
        <w:t xml:space="preserve"> y que </w:t>
      </w:r>
      <w:r w:rsidR="00253CCA">
        <w:t xml:space="preserve">en </w:t>
      </w:r>
      <w:r w:rsidR="007E685C">
        <w:t xml:space="preserve">los formularios no </w:t>
      </w:r>
      <w:r w:rsidR="00253CCA">
        <w:t>hay</w:t>
      </w:r>
      <w:r w:rsidR="007E685C">
        <w:t xml:space="preserve"> espacio para </w:t>
      </w:r>
      <w:r w:rsidR="001525E0">
        <w:t xml:space="preserve">que el médico formule sus </w:t>
      </w:r>
      <w:r w:rsidR="007E685C">
        <w:t>observaciones.</w:t>
      </w:r>
    </w:p>
    <w:p w:rsidR="007E685C" w:rsidRDefault="00FA10B3" w:rsidP="00D26650">
      <w:pPr>
        <w:pStyle w:val="SingleTxtG"/>
      </w:pPr>
      <w:r>
        <w:rPr>
          <w:b/>
        </w:rPr>
        <w:t>5</w:t>
      </w:r>
      <w:r w:rsidR="00E03D92">
        <w:rPr>
          <w:b/>
        </w:rPr>
        <w:t>0</w:t>
      </w:r>
      <w:r>
        <w:rPr>
          <w:b/>
        </w:rPr>
        <w:t>.</w:t>
      </w:r>
      <w:r>
        <w:rPr>
          <w:b/>
        </w:rPr>
        <w:tab/>
      </w:r>
      <w:r w:rsidR="00FE3614">
        <w:rPr>
          <w:b/>
        </w:rPr>
        <w:t xml:space="preserve">El Estado debe garantizar la </w:t>
      </w:r>
      <w:r w:rsidR="007E685C" w:rsidRPr="00572476">
        <w:rPr>
          <w:b/>
        </w:rPr>
        <w:t xml:space="preserve">asistencia médica </w:t>
      </w:r>
      <w:r w:rsidR="008D5FD0">
        <w:rPr>
          <w:b/>
        </w:rPr>
        <w:t xml:space="preserve">efectiva </w:t>
      </w:r>
      <w:r w:rsidR="007E685C" w:rsidRPr="00572476">
        <w:rPr>
          <w:b/>
        </w:rPr>
        <w:t>en</w:t>
      </w:r>
      <w:r w:rsidR="008D5FD0">
        <w:rPr>
          <w:b/>
        </w:rPr>
        <w:t xml:space="preserve"> todas</w:t>
      </w:r>
      <w:r w:rsidR="007E685C" w:rsidRPr="00572476">
        <w:rPr>
          <w:b/>
        </w:rPr>
        <w:t xml:space="preserve"> las cárceles durante las 24 horas del día, 7 días a la semana</w:t>
      </w:r>
      <w:r w:rsidR="007E685C">
        <w:rPr>
          <w:b/>
        </w:rPr>
        <w:t>.</w:t>
      </w:r>
      <w:r w:rsidR="007E685C" w:rsidRPr="00572476">
        <w:rPr>
          <w:b/>
        </w:rPr>
        <w:t xml:space="preserve"> </w:t>
      </w:r>
      <w:r w:rsidR="00FE3614">
        <w:rPr>
          <w:b/>
        </w:rPr>
        <w:t>T</w:t>
      </w:r>
      <w:r w:rsidR="007E685C">
        <w:rPr>
          <w:b/>
        </w:rPr>
        <w:t xml:space="preserve">odo examen médico, incluyendo los de ingreso a las unidades penales, </w:t>
      </w:r>
      <w:r w:rsidR="00FE3614">
        <w:rPr>
          <w:b/>
        </w:rPr>
        <w:t>debe efectuarse</w:t>
      </w:r>
      <w:r w:rsidR="007E685C">
        <w:rPr>
          <w:b/>
        </w:rPr>
        <w:t xml:space="preserve"> respetando estrictamente el derecho a la privacidad y a la confidencialidad</w:t>
      </w:r>
      <w:r w:rsidR="007E685C">
        <w:rPr>
          <w:rStyle w:val="FootnoteReference"/>
          <w:b/>
        </w:rPr>
        <w:footnoteReference w:id="16"/>
      </w:r>
      <w:r w:rsidR="007E685C">
        <w:rPr>
          <w:b/>
        </w:rPr>
        <w:t xml:space="preserve">. </w:t>
      </w:r>
      <w:r w:rsidR="00FE3614">
        <w:rPr>
          <w:b/>
        </w:rPr>
        <w:t>L</w:t>
      </w:r>
      <w:r w:rsidR="007E685C">
        <w:rPr>
          <w:b/>
        </w:rPr>
        <w:t xml:space="preserve">os informes médicos </w:t>
      </w:r>
      <w:r w:rsidR="00FE3614">
        <w:rPr>
          <w:b/>
        </w:rPr>
        <w:t>deben poder</w:t>
      </w:r>
      <w:r w:rsidR="007E685C">
        <w:rPr>
          <w:b/>
        </w:rPr>
        <w:t xml:space="preserve"> </w:t>
      </w:r>
      <w:r w:rsidR="008D5FD0">
        <w:rPr>
          <w:b/>
        </w:rPr>
        <w:t>incluir</w:t>
      </w:r>
      <w:r w:rsidR="007E685C">
        <w:rPr>
          <w:b/>
        </w:rPr>
        <w:t xml:space="preserve"> </w:t>
      </w:r>
      <w:r w:rsidR="005157E9">
        <w:rPr>
          <w:b/>
        </w:rPr>
        <w:t xml:space="preserve">una referencia a la posible causa de </w:t>
      </w:r>
      <w:r w:rsidR="00FE3614">
        <w:rPr>
          <w:b/>
        </w:rPr>
        <w:t>un</w:t>
      </w:r>
      <w:r w:rsidR="005157E9">
        <w:rPr>
          <w:b/>
        </w:rPr>
        <w:t>a lesión que indique la PPL</w:t>
      </w:r>
      <w:r w:rsidR="00FE3614">
        <w:rPr>
          <w:b/>
        </w:rPr>
        <w:t>.</w:t>
      </w:r>
    </w:p>
    <w:p w:rsidR="007E685C" w:rsidRDefault="00FA10B3" w:rsidP="00D26650">
      <w:pPr>
        <w:pStyle w:val="SingleTxtG"/>
      </w:pPr>
      <w:r>
        <w:t>5</w:t>
      </w:r>
      <w:r w:rsidR="00E03D92">
        <w:t>1</w:t>
      </w:r>
      <w:r>
        <w:t>.</w:t>
      </w:r>
      <w:r>
        <w:tab/>
      </w:r>
      <w:r w:rsidR="007E685C">
        <w:t xml:space="preserve">El SPT </w:t>
      </w:r>
      <w:r w:rsidR="00637CB9">
        <w:t>considera</w:t>
      </w:r>
      <w:r w:rsidR="007E685C">
        <w:t xml:space="preserve"> preocupante la falta de servicios médicos </w:t>
      </w:r>
      <w:r w:rsidR="00637CB9">
        <w:t>adecuados</w:t>
      </w:r>
      <w:r w:rsidR="007E685C">
        <w:t xml:space="preserve"> para las mujeres</w:t>
      </w:r>
      <w:r w:rsidR="00637CB9">
        <w:t xml:space="preserve">. En la U46 y en la U3, </w:t>
      </w:r>
      <w:r w:rsidR="007E685C">
        <w:t xml:space="preserve"> por ejemplo</w:t>
      </w:r>
      <w:r w:rsidR="00637CB9">
        <w:t>,</w:t>
      </w:r>
      <w:r w:rsidR="007E685C">
        <w:t xml:space="preserve"> no existía  una unidad ginecológic</w:t>
      </w:r>
      <w:r w:rsidR="00681D3F">
        <w:t xml:space="preserve">a habilitada </w:t>
      </w:r>
      <w:r w:rsidR="004A2615">
        <w:t xml:space="preserve"> y las internas se quejaron de que los exámenes se hacían en los pasillos</w:t>
      </w:r>
      <w:r w:rsidR="007E685C">
        <w:t xml:space="preserve">, de una manera denigrante. Los hijos </w:t>
      </w:r>
      <w:r w:rsidR="004A2615">
        <w:t>que convivían con ellas</w:t>
      </w:r>
      <w:r w:rsidR="007E685C">
        <w:t xml:space="preserve"> tampoco contaban con asistencia médica </w:t>
      </w:r>
      <w:r w:rsidR="004A2615">
        <w:t>regular</w:t>
      </w:r>
      <w:r w:rsidR="007E685C">
        <w:t>.</w:t>
      </w:r>
    </w:p>
    <w:p w:rsidR="007E685C" w:rsidRDefault="009044FE" w:rsidP="00D26650">
      <w:pPr>
        <w:pStyle w:val="SingleTxtG"/>
        <w:rPr>
          <w:b/>
        </w:rPr>
      </w:pPr>
      <w:r>
        <w:rPr>
          <w:b/>
        </w:rPr>
        <w:t>5</w:t>
      </w:r>
      <w:r w:rsidR="00E03D92">
        <w:rPr>
          <w:b/>
        </w:rPr>
        <w:t>2</w:t>
      </w:r>
      <w:r w:rsidR="00FA10B3">
        <w:rPr>
          <w:b/>
        </w:rPr>
        <w:t>.</w:t>
      </w:r>
      <w:r w:rsidR="00FA10B3">
        <w:rPr>
          <w:b/>
        </w:rPr>
        <w:tab/>
      </w:r>
      <w:r w:rsidR="007E685C" w:rsidRPr="00333D8B">
        <w:rPr>
          <w:b/>
        </w:rPr>
        <w:t xml:space="preserve">El </w:t>
      </w:r>
      <w:r w:rsidR="00333CB5">
        <w:rPr>
          <w:b/>
        </w:rPr>
        <w:t xml:space="preserve">Estado debe </w:t>
      </w:r>
      <w:r w:rsidR="004A2615">
        <w:rPr>
          <w:b/>
        </w:rPr>
        <w:t>adopt</w:t>
      </w:r>
      <w:r w:rsidR="00333CB5">
        <w:rPr>
          <w:b/>
        </w:rPr>
        <w:t>ar</w:t>
      </w:r>
      <w:r w:rsidR="004A2615">
        <w:rPr>
          <w:b/>
        </w:rPr>
        <w:t xml:space="preserve"> medidas para asegurar </w:t>
      </w:r>
      <w:r w:rsidR="007E685C" w:rsidRPr="00333D8B">
        <w:rPr>
          <w:b/>
        </w:rPr>
        <w:t xml:space="preserve">que </w:t>
      </w:r>
      <w:r w:rsidR="007E685C">
        <w:rPr>
          <w:b/>
        </w:rPr>
        <w:t xml:space="preserve">todas </w:t>
      </w:r>
      <w:r w:rsidR="007E685C" w:rsidRPr="00333D8B">
        <w:rPr>
          <w:b/>
        </w:rPr>
        <w:t>las mujeres</w:t>
      </w:r>
      <w:r w:rsidR="004A2615">
        <w:rPr>
          <w:b/>
        </w:rPr>
        <w:t xml:space="preserve"> y en particular</w:t>
      </w:r>
      <w:r w:rsidR="007E685C">
        <w:rPr>
          <w:b/>
        </w:rPr>
        <w:t xml:space="preserve"> las</w:t>
      </w:r>
      <w:r w:rsidR="007E685C" w:rsidRPr="00333D8B">
        <w:rPr>
          <w:b/>
        </w:rPr>
        <w:t xml:space="preserve"> embarazadas</w:t>
      </w:r>
      <w:r w:rsidR="007E685C">
        <w:rPr>
          <w:b/>
        </w:rPr>
        <w:t>,</w:t>
      </w:r>
      <w:r w:rsidR="007E685C" w:rsidRPr="00333D8B">
        <w:rPr>
          <w:b/>
        </w:rPr>
        <w:t xml:space="preserve"> </w:t>
      </w:r>
      <w:r w:rsidR="004A2615">
        <w:rPr>
          <w:b/>
        </w:rPr>
        <w:t>tengan acceso a cuidados médicos</w:t>
      </w:r>
      <w:r w:rsidR="007E685C" w:rsidRPr="00333D8B">
        <w:rPr>
          <w:b/>
        </w:rPr>
        <w:t xml:space="preserve"> con regularidad</w:t>
      </w:r>
      <w:r w:rsidR="00282EE9">
        <w:rPr>
          <w:b/>
        </w:rPr>
        <w:t>,</w:t>
      </w:r>
      <w:r w:rsidR="007E685C" w:rsidRPr="00333D8B">
        <w:rPr>
          <w:b/>
        </w:rPr>
        <w:t xml:space="preserve"> por personal sanitario cualificado</w:t>
      </w:r>
      <w:r w:rsidR="00944E55">
        <w:rPr>
          <w:b/>
        </w:rPr>
        <w:t>, y de manera confidencial</w:t>
      </w:r>
      <w:r w:rsidR="007E685C" w:rsidRPr="00333D8B">
        <w:rPr>
          <w:b/>
        </w:rPr>
        <w:t xml:space="preserve">. </w:t>
      </w:r>
      <w:r w:rsidR="00333CB5">
        <w:rPr>
          <w:b/>
        </w:rPr>
        <w:t>Se debe</w:t>
      </w:r>
      <w:r w:rsidR="00282EE9">
        <w:rPr>
          <w:b/>
        </w:rPr>
        <w:t xml:space="preserve"> garantizar que </w:t>
      </w:r>
      <w:r w:rsidR="007E685C" w:rsidRPr="00333D8B">
        <w:rPr>
          <w:b/>
        </w:rPr>
        <w:t xml:space="preserve">los niños que vivan en las cárceles con sus madres dispongan de servicios de atención </w:t>
      </w:r>
      <w:r w:rsidR="00282EE9">
        <w:rPr>
          <w:b/>
        </w:rPr>
        <w:t>a su</w:t>
      </w:r>
      <w:r w:rsidR="007E685C" w:rsidRPr="00333D8B">
        <w:rPr>
          <w:b/>
        </w:rPr>
        <w:t xml:space="preserve"> salud y que su desarrollo sea supervisado por especialistas</w:t>
      </w:r>
      <w:r w:rsidR="007E685C">
        <w:rPr>
          <w:rStyle w:val="FootnoteReference"/>
          <w:b/>
        </w:rPr>
        <w:footnoteReference w:id="17"/>
      </w:r>
      <w:r w:rsidR="007E685C">
        <w:rPr>
          <w:b/>
        </w:rPr>
        <w:t>.</w:t>
      </w:r>
    </w:p>
    <w:p w:rsidR="007E685C" w:rsidRDefault="009044FE" w:rsidP="00D26650">
      <w:pPr>
        <w:pStyle w:val="SingleTxtG"/>
      </w:pPr>
      <w:r>
        <w:t>5</w:t>
      </w:r>
      <w:r w:rsidR="00E03D92">
        <w:t>3</w:t>
      </w:r>
      <w:r w:rsidR="00FA10B3">
        <w:t>.</w:t>
      </w:r>
      <w:r w:rsidR="00FA10B3">
        <w:tab/>
      </w:r>
      <w:r w:rsidR="00282EE9">
        <w:t>E</w:t>
      </w:r>
      <w:r w:rsidR="007E685C">
        <w:t xml:space="preserve">l SPT </w:t>
      </w:r>
      <w:r w:rsidR="00282EE9">
        <w:t>observ</w:t>
      </w:r>
      <w:r w:rsidR="007E685C">
        <w:t>ó que</w:t>
      </w:r>
      <w:r w:rsidR="00F25A7A">
        <w:t xml:space="preserve">, a pesar de </w:t>
      </w:r>
      <w:r w:rsidR="00EF2648">
        <w:t xml:space="preserve">que se ha avanzado hacia la independencia del servicio médico mediante su separación del Servicio Penitenciario, aún sigue estando bajo la órbita del Ministerio de Justicia y Seguridad y trabaja </w:t>
      </w:r>
      <w:r w:rsidR="00F25A7A">
        <w:t xml:space="preserve">en estrecha relación con </w:t>
      </w:r>
      <w:r w:rsidR="007E685C" w:rsidRPr="00DC61F6">
        <w:t>el propio servicio</w:t>
      </w:r>
      <w:r w:rsidR="007E685C">
        <w:t xml:space="preserve"> penitenciario</w:t>
      </w:r>
      <w:r w:rsidR="00EF2648">
        <w:t>. Ello</w:t>
      </w:r>
      <w:r w:rsidR="00282EE9">
        <w:t xml:space="preserve"> parece</w:t>
      </w:r>
      <w:r w:rsidR="007E685C">
        <w:t xml:space="preserve"> limita</w:t>
      </w:r>
      <w:r w:rsidR="00282EE9">
        <w:t>r</w:t>
      </w:r>
      <w:r w:rsidR="007E685C">
        <w:t xml:space="preserve"> la capacidad</w:t>
      </w:r>
      <w:r w:rsidR="005157E9">
        <w:t xml:space="preserve"> de independencia de los </w:t>
      </w:r>
      <w:r w:rsidR="00203FAC">
        <w:t>p</w:t>
      </w:r>
      <w:r w:rsidR="005157E9">
        <w:t>rofesionales en ciencias de la salud</w:t>
      </w:r>
      <w:r w:rsidR="007E685C">
        <w:t xml:space="preserve"> </w:t>
      </w:r>
      <w:r w:rsidR="00282EE9">
        <w:t>para</w:t>
      </w:r>
      <w:r w:rsidR="007E685C">
        <w:t xml:space="preserve">  registrar </w:t>
      </w:r>
      <w:r w:rsidR="00282EE9">
        <w:t xml:space="preserve">posibles señales de </w:t>
      </w:r>
      <w:r w:rsidR="007E685C">
        <w:t xml:space="preserve"> tortura y malos tratos </w:t>
      </w:r>
      <w:r w:rsidR="00EF0EA6">
        <w:t xml:space="preserve">en los internos </w:t>
      </w:r>
      <w:r w:rsidR="007E685C">
        <w:t xml:space="preserve">que </w:t>
      </w:r>
      <w:r w:rsidR="00621CCA">
        <w:t>está</w:t>
      </w:r>
      <w:r w:rsidR="00EF0EA6">
        <w:t>n llamados a examinar</w:t>
      </w:r>
      <w:r w:rsidR="00F25A7A">
        <w:rPr>
          <w:rStyle w:val="FootnoteReference"/>
        </w:rPr>
        <w:footnoteReference w:id="18"/>
      </w:r>
      <w:r w:rsidR="00EF0EA6">
        <w:t xml:space="preserve">. </w:t>
      </w:r>
      <w:r w:rsidR="007E685C">
        <w:t xml:space="preserve"> </w:t>
      </w:r>
    </w:p>
    <w:p w:rsidR="009D056B" w:rsidRDefault="009044FE" w:rsidP="00D26650">
      <w:pPr>
        <w:pStyle w:val="SingleTxtG"/>
        <w:rPr>
          <w:b/>
        </w:rPr>
      </w:pPr>
      <w:r>
        <w:rPr>
          <w:b/>
        </w:rPr>
        <w:t>5</w:t>
      </w:r>
      <w:r w:rsidR="00E03D92">
        <w:rPr>
          <w:b/>
        </w:rPr>
        <w:t>4</w:t>
      </w:r>
      <w:r w:rsidR="00DB7C11">
        <w:rPr>
          <w:b/>
        </w:rPr>
        <w:t>.</w:t>
      </w:r>
      <w:r w:rsidR="00DB7C11">
        <w:rPr>
          <w:b/>
        </w:rPr>
        <w:tab/>
      </w:r>
      <w:r w:rsidR="007E685C" w:rsidRPr="008064DA">
        <w:rPr>
          <w:b/>
        </w:rPr>
        <w:t>El SPT recomienda que los servicios médicos sean provistos directamente por el Ministerio de Salud</w:t>
      </w:r>
      <w:r w:rsidR="00B541FE">
        <w:rPr>
          <w:b/>
        </w:rPr>
        <w:t xml:space="preserve"> a nivel federal y provincial</w:t>
      </w:r>
      <w:r w:rsidR="007E685C">
        <w:rPr>
          <w:b/>
        </w:rPr>
        <w:t xml:space="preserve">. </w:t>
      </w:r>
      <w:r w:rsidR="007E685C" w:rsidRPr="00AA1C88">
        <w:rPr>
          <w:b/>
        </w:rPr>
        <w:t>Asimismo, recomienda al Estado parte que establezca un sistema de exámenes independientes de conformidad con el Protocolo de Estambul, en virtud del cual médicos forenses y psicólogos calificados lleven a cabo exámenes exhaustivos cuando tenga</w:t>
      </w:r>
      <w:r w:rsidR="00621CCA">
        <w:rPr>
          <w:b/>
        </w:rPr>
        <w:t>n</w:t>
      </w:r>
      <w:r w:rsidR="007E685C" w:rsidRPr="00AA1C88">
        <w:rPr>
          <w:b/>
        </w:rPr>
        <w:t xml:space="preserve"> </w:t>
      </w:r>
      <w:r w:rsidR="0066135A">
        <w:rPr>
          <w:b/>
        </w:rPr>
        <w:t>indicios de</w:t>
      </w:r>
      <w:r w:rsidR="007E685C" w:rsidRPr="00AA1C88">
        <w:rPr>
          <w:b/>
        </w:rPr>
        <w:t xml:space="preserve"> que </w:t>
      </w:r>
      <w:r w:rsidR="0066135A">
        <w:rPr>
          <w:b/>
        </w:rPr>
        <w:t>el detenido haya podido ser</w:t>
      </w:r>
      <w:r w:rsidR="007E685C" w:rsidRPr="00AA1C88">
        <w:rPr>
          <w:b/>
        </w:rPr>
        <w:t xml:space="preserve"> sometid</w:t>
      </w:r>
      <w:r w:rsidR="0066135A">
        <w:rPr>
          <w:b/>
        </w:rPr>
        <w:t>o</w:t>
      </w:r>
      <w:r w:rsidR="00333CB5">
        <w:rPr>
          <w:b/>
        </w:rPr>
        <w:t xml:space="preserve"> a tortura o</w:t>
      </w:r>
      <w:r w:rsidR="007E685C" w:rsidRPr="00AA1C88">
        <w:rPr>
          <w:b/>
        </w:rPr>
        <w:t xml:space="preserve"> malos tratos.</w:t>
      </w:r>
      <w:r w:rsidR="00BF4F0A">
        <w:rPr>
          <w:b/>
        </w:rPr>
        <w:t xml:space="preserve"> </w:t>
      </w:r>
    </w:p>
    <w:p w:rsidR="007E685C" w:rsidRDefault="00333CB5" w:rsidP="001C3B23">
      <w:pPr>
        <w:pStyle w:val="SingleTxtG"/>
        <w:rPr>
          <w:b/>
        </w:rPr>
      </w:pPr>
      <w:r>
        <w:t>5</w:t>
      </w:r>
      <w:r w:rsidR="00E03D92">
        <w:t>5</w:t>
      </w:r>
      <w:r w:rsidR="00DB7C11">
        <w:t>.</w:t>
      </w:r>
      <w:r w:rsidR="00DB7C11">
        <w:tab/>
      </w:r>
      <w:r w:rsidR="00BF4F0A" w:rsidRPr="009D056B">
        <w:t>El SPT toma nota de la información del Estado de que, con posterioridad a su visita, el SPB  elaboró un modelo de Historia Clínica e instructivo para los profesionales, a ser aplicado en caso de traumatismos, que recoge las recomendaciones del Protocolo de Estambul. El SPB también organizó un ciclo de charlas de capacitación de los profesionales médicos sobre la aplicación del Protocolo</w:t>
      </w:r>
      <w:r w:rsidR="000521FE">
        <w:rPr>
          <w:b/>
        </w:rPr>
        <w:t>.</w:t>
      </w:r>
    </w:p>
    <w:p w:rsidR="005D7E1A" w:rsidRPr="00E407F9" w:rsidRDefault="005D7E1A" w:rsidP="005D7E1A">
      <w:pPr>
        <w:pStyle w:val="H23G"/>
        <w:rPr>
          <w:lang w:val="es-ES_tradnl"/>
        </w:rPr>
      </w:pPr>
      <w:r w:rsidRPr="00E407F9">
        <w:rPr>
          <w:lang w:val="es-ES_tradnl"/>
        </w:rPr>
        <w:tab/>
        <w:t>2.</w:t>
      </w:r>
      <w:r w:rsidRPr="00E407F9">
        <w:rPr>
          <w:lang w:val="es-ES_tradnl"/>
        </w:rPr>
        <w:tab/>
        <w:t xml:space="preserve">Condiciones de detención </w:t>
      </w:r>
    </w:p>
    <w:p w:rsidR="005D7E1A" w:rsidRPr="00E407F9" w:rsidRDefault="005D7E1A" w:rsidP="005D7E1A">
      <w:pPr>
        <w:pStyle w:val="H4G"/>
        <w:rPr>
          <w:lang w:val="es-ES_tradnl"/>
        </w:rPr>
      </w:pPr>
      <w:r w:rsidRPr="00E407F9">
        <w:rPr>
          <w:lang w:val="es-ES_tradnl"/>
        </w:rPr>
        <w:tab/>
      </w:r>
      <w:r w:rsidR="008321B3" w:rsidRPr="00E407F9">
        <w:rPr>
          <w:lang w:val="es-ES_tradnl"/>
        </w:rPr>
        <w:t>a</w:t>
      </w:r>
      <w:r w:rsidRPr="00E407F9">
        <w:rPr>
          <w:lang w:val="es-ES_tradnl"/>
        </w:rPr>
        <w:t>)</w:t>
      </w:r>
      <w:r w:rsidRPr="00E407F9">
        <w:rPr>
          <w:lang w:val="es-ES_tradnl"/>
        </w:rPr>
        <w:tab/>
        <w:t>Condiciones materiales</w:t>
      </w:r>
    </w:p>
    <w:p w:rsidR="001B6DCB" w:rsidRPr="00E407F9" w:rsidRDefault="00333CB5" w:rsidP="001B6DCB">
      <w:pPr>
        <w:pStyle w:val="SingleTxtG"/>
        <w:rPr>
          <w:lang w:val="es-ES_tradnl"/>
        </w:rPr>
      </w:pPr>
      <w:r>
        <w:t>5</w:t>
      </w:r>
      <w:r w:rsidR="00E03D92">
        <w:t>6</w:t>
      </w:r>
      <w:r w:rsidR="00DB7C11">
        <w:t>.</w:t>
      </w:r>
      <w:r w:rsidR="00DB7C11">
        <w:tab/>
      </w:r>
      <w:r w:rsidR="007E685C">
        <w:t xml:space="preserve">Las condiciones materiales de las </w:t>
      </w:r>
      <w:r w:rsidR="008512B8">
        <w:t>unidades</w:t>
      </w:r>
      <w:r w:rsidR="007E685C">
        <w:t xml:space="preserve"> penitenciarias visitadas var</w:t>
      </w:r>
      <w:r w:rsidR="009D58FD">
        <w:t>ían</w:t>
      </w:r>
      <w:r w:rsidR="007E685C">
        <w:t xml:space="preserve"> sobremanera. </w:t>
      </w:r>
      <w:r w:rsidR="009D58FD">
        <w:t>En a</w:t>
      </w:r>
      <w:r w:rsidR="007E685C">
        <w:t>lgunas</w:t>
      </w:r>
      <w:r w:rsidR="009D58FD">
        <w:t xml:space="preserve"> las</w:t>
      </w:r>
      <w:r w:rsidR="007E685C">
        <w:t xml:space="preserve"> celdas no reunían las condiciones mínimas para albergar </w:t>
      </w:r>
      <w:r w:rsidR="00466A0B">
        <w:t>PPL</w:t>
      </w:r>
      <w:r w:rsidR="007E685C">
        <w:t xml:space="preserve">. </w:t>
      </w:r>
      <w:r w:rsidR="009D58FD">
        <w:t xml:space="preserve">Por ejemplo, </w:t>
      </w:r>
      <w:r w:rsidR="007E685C">
        <w:t xml:space="preserve"> en l</w:t>
      </w:r>
      <w:r w:rsidR="009D58FD">
        <w:t>os</w:t>
      </w:r>
      <w:r w:rsidR="007E685C">
        <w:t xml:space="preserve"> pabell</w:t>
      </w:r>
      <w:r w:rsidR="009D58FD">
        <w:t>ones</w:t>
      </w:r>
      <w:r w:rsidR="007E685C">
        <w:t xml:space="preserve"> 3 y 4 </w:t>
      </w:r>
      <w:r w:rsidR="009D58FD">
        <w:t>de</w:t>
      </w:r>
      <w:r w:rsidR="007E685C">
        <w:t xml:space="preserve"> la U3 había cocinas destruidas y paredes sin recubrimiento, sanitarios quebrados y casi ninguna celda tenía vidrios en las ventanas.  </w:t>
      </w:r>
      <w:r w:rsidR="00203FAC">
        <w:t>En  la U46 y U3 se pudieron ver ratas en el patio y cucarachas en las celdas.</w:t>
      </w:r>
      <w:r w:rsidR="001B6DCB">
        <w:t xml:space="preserve"> En </w:t>
      </w:r>
      <w:r w:rsidR="001B6DCB">
        <w:rPr>
          <w:lang w:val="es-ES_tradnl"/>
        </w:rPr>
        <w:t xml:space="preserve">el Centro de detención judicial del SPF (U28) de la ciudad de Buenos Aires el SPT observó, además de la existencia de cucarachas y la falta de ventilación, que en una celda de aproximadamente 25 m2, con un solo servicio sanitario y una ducha sin privacidad, podían estar albergadas hasta 60 personas, y que muchas permanecían en ese lugar más allá del límite legal de 24 horas. También observó </w:t>
      </w:r>
      <w:r w:rsidR="001B6DCB">
        <w:t>la existencia de cucarachas, piojos y excrementos en las celdas de aislamiento, donde las personas no tenían acceso a servicios sanitarios. Además, las inundaciones por las alcantarillas eran comunes y  el sistema de ventilación no funcionaba, por lo que la humedad y las altas temperaturas hacían difícil la permanencia de las PPL y el trabajo del personal de custodia.</w:t>
      </w:r>
    </w:p>
    <w:p w:rsidR="00203FAC" w:rsidRDefault="00EB227F" w:rsidP="00203FAC">
      <w:pPr>
        <w:pStyle w:val="SingleTxtG"/>
      </w:pPr>
      <w:r>
        <w:t>5</w:t>
      </w:r>
      <w:r w:rsidR="00E03D92">
        <w:t>7</w:t>
      </w:r>
      <w:r>
        <w:t>.</w:t>
      </w:r>
      <w:r>
        <w:tab/>
      </w:r>
      <w:r w:rsidR="00203FAC">
        <w:t>El SPT pudo observar que en algunos centros penitenciarios provinciales y federales no había condiciones adecuadas para la higiene personal. En varias unidades, tanto federales como provinciales, el SPT recibió quejas relativas a la escasez de los productos de higiene, por lo que  los reclusos dependen casi siempre del apoyo familiar para cubrir sus necesidades</w:t>
      </w:r>
      <w:r>
        <w:t xml:space="preserve"> en este sentido</w:t>
      </w:r>
      <w:r w:rsidR="00203FAC">
        <w:t>.</w:t>
      </w:r>
    </w:p>
    <w:p w:rsidR="00203FAC" w:rsidRPr="00E407F9" w:rsidRDefault="00EB227F" w:rsidP="00203FAC">
      <w:pPr>
        <w:pStyle w:val="SingleTxtG"/>
        <w:rPr>
          <w:b/>
          <w:lang w:val="es-ES_tradnl"/>
        </w:rPr>
      </w:pPr>
      <w:r>
        <w:rPr>
          <w:b/>
        </w:rPr>
        <w:t>5</w:t>
      </w:r>
      <w:r w:rsidR="00E03D92">
        <w:rPr>
          <w:b/>
        </w:rPr>
        <w:t>8</w:t>
      </w:r>
      <w:r w:rsidR="00203FAC">
        <w:rPr>
          <w:b/>
        </w:rPr>
        <w:t>.</w:t>
      </w:r>
      <w:r w:rsidR="00203FAC">
        <w:rPr>
          <w:b/>
        </w:rPr>
        <w:tab/>
      </w:r>
      <w:r w:rsidR="00203FAC" w:rsidRPr="006C7A88">
        <w:rPr>
          <w:b/>
        </w:rPr>
        <w:t xml:space="preserve">Se deben tomar medidas oportunas para remediar las deficiencias en </w:t>
      </w:r>
      <w:r w:rsidR="00203FAC">
        <w:rPr>
          <w:b/>
        </w:rPr>
        <w:t xml:space="preserve">materia </w:t>
      </w:r>
      <w:r w:rsidR="00203FAC" w:rsidRPr="006C7A88">
        <w:rPr>
          <w:b/>
        </w:rPr>
        <w:t xml:space="preserve"> de ventilación, presencia de vectores de enfermedades </w:t>
      </w:r>
      <w:r w:rsidR="00203FAC">
        <w:rPr>
          <w:b/>
        </w:rPr>
        <w:t xml:space="preserve">e </w:t>
      </w:r>
      <w:r w:rsidR="00203FAC" w:rsidRPr="006C7A88">
        <w:rPr>
          <w:b/>
        </w:rPr>
        <w:t xml:space="preserve"> instalaciones sanitarias en </w:t>
      </w:r>
      <w:r w:rsidR="00203FAC">
        <w:rPr>
          <w:b/>
        </w:rPr>
        <w:t>las unidades que presentan deficiencias en este sentido</w:t>
      </w:r>
      <w:r w:rsidR="00203FAC">
        <w:rPr>
          <w:rStyle w:val="FootnoteReference"/>
          <w:b/>
        </w:rPr>
        <w:footnoteReference w:id="19"/>
      </w:r>
      <w:r w:rsidR="00203FAC">
        <w:rPr>
          <w:b/>
        </w:rPr>
        <w:t>.</w:t>
      </w:r>
    </w:p>
    <w:p w:rsidR="005D7E1A" w:rsidRDefault="00E03D92" w:rsidP="005D7E1A">
      <w:pPr>
        <w:pStyle w:val="SingleTxtG"/>
        <w:rPr>
          <w:b/>
        </w:rPr>
      </w:pPr>
      <w:r>
        <w:rPr>
          <w:b/>
          <w:lang w:val="es-ES_tradnl"/>
        </w:rPr>
        <w:t>59</w:t>
      </w:r>
      <w:r w:rsidR="00DB7C11">
        <w:rPr>
          <w:b/>
        </w:rPr>
        <w:t>.</w:t>
      </w:r>
      <w:r w:rsidR="00DB7C11">
        <w:rPr>
          <w:b/>
        </w:rPr>
        <w:tab/>
      </w:r>
      <w:r w:rsidR="007E685C">
        <w:rPr>
          <w:b/>
        </w:rPr>
        <w:t xml:space="preserve">El Subcomité insta al Estado parte a que adopte las medidas necesarias para que las condiciones de detención en las cárceles del país se ajusten a las Reglas mínimas para el tratamiento de reclusos. Para ello se recomienda </w:t>
      </w:r>
      <w:r w:rsidR="007108A4">
        <w:rPr>
          <w:b/>
        </w:rPr>
        <w:t>realizar</w:t>
      </w:r>
      <w:r w:rsidR="007E685C">
        <w:rPr>
          <w:b/>
        </w:rPr>
        <w:t xml:space="preserve"> una auditoría a nivel nacional de las condiciones materiales  con </w:t>
      </w:r>
      <w:r w:rsidR="007108A4">
        <w:rPr>
          <w:b/>
        </w:rPr>
        <w:t>miras a establecer</w:t>
      </w:r>
      <w:r w:rsidR="007E685C">
        <w:rPr>
          <w:b/>
        </w:rPr>
        <w:t xml:space="preserve"> un plan de </w:t>
      </w:r>
      <w:r w:rsidR="007108A4">
        <w:rPr>
          <w:b/>
        </w:rPr>
        <w:t xml:space="preserve">saneamiento y renovación. Dicho plan deberá incluir medidas </w:t>
      </w:r>
      <w:r w:rsidR="00322EB7">
        <w:rPr>
          <w:b/>
        </w:rPr>
        <w:t>para prevenir el hacinamiento</w:t>
      </w:r>
      <w:r w:rsidR="007108A4">
        <w:rPr>
          <w:b/>
        </w:rPr>
        <w:t xml:space="preserve"> y los incendios</w:t>
      </w:r>
      <w:r w:rsidR="00322EB7">
        <w:rPr>
          <w:rStyle w:val="FootnoteReference"/>
          <w:b/>
        </w:rPr>
        <w:footnoteReference w:id="20"/>
      </w:r>
      <w:r w:rsidR="007E685C">
        <w:rPr>
          <w:b/>
        </w:rPr>
        <w:t xml:space="preserve">.  </w:t>
      </w:r>
    </w:p>
    <w:p w:rsidR="001B6DCB" w:rsidRPr="00E407F9" w:rsidRDefault="00E03D92" w:rsidP="005D7E1A">
      <w:pPr>
        <w:pStyle w:val="SingleTxtG"/>
        <w:rPr>
          <w:lang w:val="es-ES_tradnl"/>
        </w:rPr>
      </w:pPr>
      <w:r>
        <w:rPr>
          <w:lang w:val="es-ES_tradnl"/>
        </w:rPr>
        <w:t>60.</w:t>
      </w:r>
      <w:r>
        <w:rPr>
          <w:lang w:val="es-ES_tradnl"/>
        </w:rPr>
        <w:tab/>
      </w:r>
      <w:r w:rsidR="001B6DCB">
        <w:rPr>
          <w:lang w:val="es-ES_tradnl"/>
        </w:rPr>
        <w:t>El SPT toma nota de la Acordada 12/12, de 3 de julio de 2012 por la que la Corte Suprema de Justicia de la Nación acordó limitar al máximo la presencia de detenidos en la U28, para hacer frente a la situación observada por el SPT</w:t>
      </w:r>
      <w:r w:rsidR="001B6DCB">
        <w:rPr>
          <w:rStyle w:val="FootnoteReference"/>
          <w:lang w:val="es-ES_tradnl"/>
        </w:rPr>
        <w:footnoteReference w:id="21"/>
      </w:r>
      <w:r w:rsidR="001B6DCB">
        <w:rPr>
          <w:lang w:val="es-ES_tradnl"/>
        </w:rPr>
        <w:t xml:space="preserve">. </w:t>
      </w:r>
      <w:r w:rsidR="001B6DCB" w:rsidRPr="00105ECE">
        <w:rPr>
          <w:b/>
        </w:rPr>
        <w:t xml:space="preserve">El </w:t>
      </w:r>
      <w:r w:rsidR="001B6DCB">
        <w:rPr>
          <w:b/>
        </w:rPr>
        <w:t xml:space="preserve">SPT solicita al </w:t>
      </w:r>
      <w:r w:rsidR="001B6DCB" w:rsidRPr="00105ECE">
        <w:rPr>
          <w:b/>
        </w:rPr>
        <w:t xml:space="preserve">Estado parte </w:t>
      </w:r>
      <w:r w:rsidR="001B6DCB">
        <w:rPr>
          <w:b/>
        </w:rPr>
        <w:t xml:space="preserve">que le informe sobre la aplicación de las medidas encaminadas a </w:t>
      </w:r>
      <w:r w:rsidR="001B6DCB" w:rsidRPr="00105ECE">
        <w:rPr>
          <w:b/>
        </w:rPr>
        <w:t>prevenir</w:t>
      </w:r>
      <w:r w:rsidR="001B6DCB">
        <w:rPr>
          <w:b/>
        </w:rPr>
        <w:t xml:space="preserve"> el hacinamiento en esta Unidad.</w:t>
      </w:r>
    </w:p>
    <w:p w:rsidR="005D7E1A" w:rsidRPr="00E407F9" w:rsidRDefault="005D7E1A" w:rsidP="005D7E1A">
      <w:pPr>
        <w:pStyle w:val="H4G"/>
        <w:rPr>
          <w:lang w:val="es-ES_tradnl"/>
        </w:rPr>
      </w:pPr>
      <w:r w:rsidRPr="00E407F9">
        <w:rPr>
          <w:lang w:val="es-ES_tradnl"/>
        </w:rPr>
        <w:tab/>
      </w:r>
      <w:r w:rsidR="008321B3" w:rsidRPr="00E407F9">
        <w:rPr>
          <w:lang w:val="es-ES_tradnl"/>
        </w:rPr>
        <w:t>b</w:t>
      </w:r>
      <w:r w:rsidRPr="00E407F9">
        <w:rPr>
          <w:lang w:val="es-ES_tradnl"/>
        </w:rPr>
        <w:t>)</w:t>
      </w:r>
      <w:r w:rsidRPr="00E407F9">
        <w:rPr>
          <w:lang w:val="es-ES_tradnl"/>
        </w:rPr>
        <w:tab/>
        <w:t>A</w:t>
      </w:r>
      <w:r w:rsidR="008321B3" w:rsidRPr="00E407F9">
        <w:rPr>
          <w:lang w:val="es-ES_tradnl"/>
        </w:rPr>
        <w:t xml:space="preserve">limentación </w:t>
      </w:r>
    </w:p>
    <w:p w:rsidR="005D7E1A" w:rsidRPr="00E407F9" w:rsidRDefault="00EB227F" w:rsidP="005D7E1A">
      <w:pPr>
        <w:pStyle w:val="SingleTxtG"/>
        <w:rPr>
          <w:lang w:val="es-ES_tradnl"/>
        </w:rPr>
      </w:pPr>
      <w:r>
        <w:t>61</w:t>
      </w:r>
      <w:r w:rsidR="00DB7C11">
        <w:t>.</w:t>
      </w:r>
      <w:r w:rsidR="00DB7C11">
        <w:tab/>
      </w:r>
      <w:r w:rsidR="007E685C">
        <w:t xml:space="preserve">El SPT observó </w:t>
      </w:r>
      <w:r w:rsidR="00754FF5">
        <w:t xml:space="preserve">en varias de las Unidades visitadas la insuficiente cantidad y baja calidad de los alimentos proporcionados. Por ejemplo, </w:t>
      </w:r>
      <w:r w:rsidR="007E685C">
        <w:t>en la U28</w:t>
      </w:r>
      <w:r w:rsidR="00681D3F">
        <w:t xml:space="preserve"> del SPF</w:t>
      </w:r>
      <w:r w:rsidR="007E685C">
        <w:t>, U3 y U30</w:t>
      </w:r>
      <w:r w:rsidR="009044FE">
        <w:t xml:space="preserve"> se recibieron quejas de que sólo se proveían alimentos dos veces al día</w:t>
      </w:r>
      <w:r w:rsidR="007E685C">
        <w:t>.</w:t>
      </w:r>
      <w:r w:rsidR="00D17C80">
        <w:t xml:space="preserve"> Ello confirmó las informaciones en el mismo sentido recibidas por el SPT de diferentes fuentes</w:t>
      </w:r>
      <w:r w:rsidR="001F1A3F">
        <w:t>.</w:t>
      </w:r>
    </w:p>
    <w:p w:rsidR="005D7E1A" w:rsidRPr="00EB227F" w:rsidRDefault="00DB7C11" w:rsidP="00EB227F">
      <w:pPr>
        <w:pStyle w:val="SingleTxtG"/>
        <w:rPr>
          <w:lang w:val="es-ES_tradnl"/>
        </w:rPr>
      </w:pPr>
      <w:r>
        <w:rPr>
          <w:b/>
        </w:rPr>
        <w:t>6</w:t>
      </w:r>
      <w:r w:rsidR="00EB227F">
        <w:rPr>
          <w:b/>
        </w:rPr>
        <w:t>2</w:t>
      </w:r>
      <w:r>
        <w:rPr>
          <w:b/>
        </w:rPr>
        <w:t>.</w:t>
      </w:r>
      <w:r>
        <w:rPr>
          <w:b/>
        </w:rPr>
        <w:tab/>
      </w:r>
      <w:r w:rsidR="007E685C" w:rsidRPr="006C7A88">
        <w:rPr>
          <w:b/>
        </w:rPr>
        <w:t xml:space="preserve">El </w:t>
      </w:r>
      <w:r w:rsidR="007E685C">
        <w:rPr>
          <w:b/>
        </w:rPr>
        <w:t xml:space="preserve">Estado parte </w:t>
      </w:r>
      <w:r w:rsidR="00333CB5">
        <w:rPr>
          <w:b/>
        </w:rPr>
        <w:t>debe</w:t>
      </w:r>
      <w:r w:rsidR="007E685C" w:rsidRPr="006C7A88">
        <w:rPr>
          <w:b/>
        </w:rPr>
        <w:t xml:space="preserve"> increment</w:t>
      </w:r>
      <w:r w:rsidR="00333CB5">
        <w:rPr>
          <w:b/>
        </w:rPr>
        <w:t>ar</w:t>
      </w:r>
      <w:r w:rsidR="007E685C" w:rsidRPr="006C7A88">
        <w:rPr>
          <w:b/>
        </w:rPr>
        <w:t xml:space="preserve"> el número de controles de la calidad de los alimentos </w:t>
      </w:r>
      <w:r w:rsidR="00754FF5">
        <w:rPr>
          <w:b/>
        </w:rPr>
        <w:t xml:space="preserve">y </w:t>
      </w:r>
      <w:r w:rsidR="007E685C" w:rsidRPr="006C7A88">
        <w:rPr>
          <w:b/>
        </w:rPr>
        <w:t>vel</w:t>
      </w:r>
      <w:r w:rsidR="00333CB5">
        <w:rPr>
          <w:b/>
        </w:rPr>
        <w:t>ar</w:t>
      </w:r>
      <w:r w:rsidR="007E685C" w:rsidRPr="006C7A88">
        <w:rPr>
          <w:b/>
        </w:rPr>
        <w:t xml:space="preserve"> por que las comidas se preparen en condiciones de higiene y en cantidad suficiente y tengan calidad y variedad nutritiva para mantener la salud de </w:t>
      </w:r>
      <w:r w:rsidR="007E685C">
        <w:rPr>
          <w:b/>
        </w:rPr>
        <w:t xml:space="preserve">las </w:t>
      </w:r>
      <w:r w:rsidR="00466A0B">
        <w:rPr>
          <w:b/>
        </w:rPr>
        <w:t>PPL</w:t>
      </w:r>
      <w:r w:rsidR="007E685C">
        <w:rPr>
          <w:b/>
        </w:rPr>
        <w:t xml:space="preserve"> en todas las unidades</w:t>
      </w:r>
      <w:r w:rsidR="007E685C">
        <w:rPr>
          <w:rStyle w:val="FootnoteReference"/>
          <w:b/>
        </w:rPr>
        <w:footnoteReference w:id="22"/>
      </w:r>
      <w:r w:rsidR="007E685C">
        <w:rPr>
          <w:b/>
        </w:rPr>
        <w:t>.</w:t>
      </w:r>
      <w:r w:rsidR="00D17C80">
        <w:rPr>
          <w:b/>
        </w:rPr>
        <w:t xml:space="preserve"> </w:t>
      </w:r>
      <w:r w:rsidR="0026736C">
        <w:rPr>
          <w:b/>
        </w:rPr>
        <w:t xml:space="preserve">Debe reforzarse el </w:t>
      </w:r>
      <w:r w:rsidR="00D17C80">
        <w:rPr>
          <w:b/>
        </w:rPr>
        <w:t xml:space="preserve">control del sistema de licitación de las empresas </w:t>
      </w:r>
      <w:r w:rsidR="0026736C">
        <w:rPr>
          <w:b/>
        </w:rPr>
        <w:t>que proporcionan los alimentos y de la correcta ejecución de los contratos</w:t>
      </w:r>
      <w:r w:rsidR="00D61F70">
        <w:rPr>
          <w:b/>
        </w:rPr>
        <w:t xml:space="preserve"> con miras a prevenir abusos</w:t>
      </w:r>
      <w:r w:rsidR="0026736C">
        <w:rPr>
          <w:b/>
        </w:rPr>
        <w:t>.</w:t>
      </w:r>
      <w:r w:rsidR="00D17C80">
        <w:rPr>
          <w:b/>
        </w:rPr>
        <w:t xml:space="preserve"> </w:t>
      </w:r>
      <w:r>
        <w:tab/>
      </w:r>
    </w:p>
    <w:p w:rsidR="008321B3" w:rsidRPr="00E407F9" w:rsidRDefault="00EB227F" w:rsidP="008321B3">
      <w:pPr>
        <w:pStyle w:val="H4G"/>
        <w:rPr>
          <w:lang w:val="es-ES_tradnl"/>
        </w:rPr>
      </w:pPr>
      <w:r>
        <w:rPr>
          <w:lang w:val="es-ES_tradnl"/>
        </w:rPr>
        <w:tab/>
        <w:t>c</w:t>
      </w:r>
      <w:r w:rsidR="008321B3" w:rsidRPr="00E407F9">
        <w:rPr>
          <w:lang w:val="es-ES_tradnl"/>
        </w:rPr>
        <w:t>)</w:t>
      </w:r>
      <w:r w:rsidR="008321B3" w:rsidRPr="00E407F9">
        <w:rPr>
          <w:lang w:val="es-ES_tradnl"/>
        </w:rPr>
        <w:tab/>
        <w:t>Actividades</w:t>
      </w:r>
    </w:p>
    <w:p w:rsidR="005D7E1A" w:rsidRPr="00E407F9" w:rsidRDefault="00203FAC" w:rsidP="005D7E1A">
      <w:pPr>
        <w:pStyle w:val="SingleTxtG"/>
        <w:rPr>
          <w:lang w:val="es-ES_tradnl"/>
        </w:rPr>
      </w:pPr>
      <w:r>
        <w:t>63</w:t>
      </w:r>
      <w:r w:rsidR="00DB7C11">
        <w:t>.</w:t>
      </w:r>
      <w:r w:rsidR="00DB7C11">
        <w:tab/>
      </w:r>
      <w:r w:rsidR="007E685C">
        <w:t>El acceso a actividades educativas</w:t>
      </w:r>
      <w:r w:rsidR="00373898">
        <w:t xml:space="preserve"> y</w:t>
      </w:r>
      <w:r w:rsidR="007E685C">
        <w:t xml:space="preserve"> laborales </w:t>
      </w:r>
      <w:r w:rsidR="00057B81">
        <w:t>varía</w:t>
      </w:r>
      <w:r w:rsidR="008235CB">
        <w:t xml:space="preserve"> de unos centros a otros</w:t>
      </w:r>
      <w:r w:rsidR="00057B81">
        <w:t xml:space="preserve"> pero, en general, distan de ser satisfactorias</w:t>
      </w:r>
      <w:r w:rsidR="008235CB">
        <w:t xml:space="preserve">. </w:t>
      </w:r>
      <w:r w:rsidR="007E685C">
        <w:t xml:space="preserve"> En la U30 por ejemplo, solo había cupo</w:t>
      </w:r>
      <w:r w:rsidR="00702A6F">
        <w:t xml:space="preserve"> para que un 20-30% de lo</w:t>
      </w:r>
      <w:r w:rsidR="007E685C">
        <w:t xml:space="preserve">s </w:t>
      </w:r>
      <w:r w:rsidR="00702A6F">
        <w:t>internos</w:t>
      </w:r>
      <w:r w:rsidR="007E685C">
        <w:t xml:space="preserve"> asistieran a talleres o escuelas. </w:t>
      </w:r>
      <w:r w:rsidR="00995C03">
        <w:t>También en otras unidades</w:t>
      </w:r>
      <w:r w:rsidR="007E685C">
        <w:t xml:space="preserve"> se recibieron quejas </w:t>
      </w:r>
      <w:r w:rsidR="00995C03">
        <w:t xml:space="preserve">sobre el </w:t>
      </w:r>
      <w:r w:rsidR="007E685C">
        <w:t xml:space="preserve">poco acceso a </w:t>
      </w:r>
      <w:r w:rsidR="008235CB">
        <w:t>actividades formativas o laborales</w:t>
      </w:r>
      <w:r w:rsidR="007E685C">
        <w:t xml:space="preserve">, </w:t>
      </w:r>
      <w:r w:rsidR="00373898">
        <w:t xml:space="preserve"> </w:t>
      </w:r>
      <w:r w:rsidR="007E685C">
        <w:t>particularmente aquellas</w:t>
      </w:r>
      <w:r w:rsidR="009053BD">
        <w:t xml:space="preserve"> actividades</w:t>
      </w:r>
      <w:r w:rsidR="007E685C">
        <w:t xml:space="preserve"> que pued</w:t>
      </w:r>
      <w:r w:rsidR="009053BD">
        <w:t xml:space="preserve">an </w:t>
      </w:r>
      <w:r w:rsidR="007E685C">
        <w:t xml:space="preserve"> jugar un papel decisivo en crear oportunidades </w:t>
      </w:r>
      <w:r w:rsidR="009053BD">
        <w:t>para</w:t>
      </w:r>
      <w:r w:rsidR="007E685C">
        <w:t xml:space="preserve"> l</w:t>
      </w:r>
      <w:r w:rsidR="00FB157E">
        <w:t>os reclusos</w:t>
      </w:r>
      <w:r w:rsidR="007E685C">
        <w:t xml:space="preserve"> </w:t>
      </w:r>
      <w:r w:rsidR="009053BD">
        <w:t>cuando recobren su libertad</w:t>
      </w:r>
      <w:r w:rsidR="007E685C">
        <w:t>.</w:t>
      </w:r>
      <w:r w:rsidR="00057B81">
        <w:t xml:space="preserve"> </w:t>
      </w:r>
      <w:r w:rsidR="00373898">
        <w:t xml:space="preserve">Algunas autoridades penitenciarias confirmaron que las empresas </w:t>
      </w:r>
      <w:r w:rsidR="00CA6D3B">
        <w:t xml:space="preserve">que instalaban talleres en los establecimientos penitenciarios se beneficiaban de los salarios tan bajos que pagaban. </w:t>
      </w:r>
      <w:r w:rsidR="00373898">
        <w:t>La escasez de maestros, que deben ser puestos a disposición por el Ministerio de Educación, así como de aulas y material didáctico parece</w:t>
      </w:r>
      <w:r w:rsidR="001F1A3F">
        <w:t>n</w:t>
      </w:r>
      <w:r w:rsidR="00373898">
        <w:t xml:space="preserve"> ser la</w:t>
      </w:r>
      <w:r w:rsidR="001F1A3F">
        <w:t>s</w:t>
      </w:r>
      <w:r w:rsidR="00373898">
        <w:t xml:space="preserve"> causa</w:t>
      </w:r>
      <w:r w:rsidR="001F1A3F">
        <w:t>s</w:t>
      </w:r>
      <w:r w:rsidR="00373898">
        <w:t xml:space="preserve"> del limitado número de internos que pueden realizar estudios.</w:t>
      </w:r>
    </w:p>
    <w:p w:rsidR="005D7E1A" w:rsidRDefault="00AD5C3C" w:rsidP="005D7E1A">
      <w:pPr>
        <w:pStyle w:val="SingleTxtG"/>
        <w:rPr>
          <w:b/>
        </w:rPr>
      </w:pPr>
      <w:r>
        <w:rPr>
          <w:b/>
        </w:rPr>
        <w:t>64</w:t>
      </w:r>
      <w:r w:rsidR="00DB7C11">
        <w:rPr>
          <w:b/>
        </w:rPr>
        <w:t>.</w:t>
      </w:r>
      <w:r w:rsidR="00DB7C11">
        <w:rPr>
          <w:b/>
        </w:rPr>
        <w:tab/>
      </w:r>
      <w:r w:rsidR="007E685C">
        <w:rPr>
          <w:b/>
        </w:rPr>
        <w:t xml:space="preserve">Se recomienda a las autoridades competentes que intensifiquen sus esfuerzos para </w:t>
      </w:r>
      <w:r w:rsidR="009053BD">
        <w:rPr>
          <w:b/>
        </w:rPr>
        <w:t xml:space="preserve">mejorar el programa de actividades educativas y laborales existente en los establecimientos de todo el país, </w:t>
      </w:r>
      <w:r w:rsidR="001D26B1">
        <w:rPr>
          <w:b/>
        </w:rPr>
        <w:t>a fin de</w:t>
      </w:r>
      <w:r w:rsidR="009053BD">
        <w:rPr>
          <w:b/>
        </w:rPr>
        <w:t xml:space="preserve"> que todos los reclusos puedan beneficiarse de las mismas</w:t>
      </w:r>
      <w:r w:rsidR="00D73D63">
        <w:rPr>
          <w:b/>
        </w:rPr>
        <w:t xml:space="preserve"> </w:t>
      </w:r>
      <w:r w:rsidR="00702A6F">
        <w:rPr>
          <w:b/>
        </w:rPr>
        <w:t>y que los</w:t>
      </w:r>
      <w:r w:rsidR="00D73D63">
        <w:rPr>
          <w:b/>
        </w:rPr>
        <w:t xml:space="preserve"> ingresos</w:t>
      </w:r>
      <w:r w:rsidR="00702A6F">
        <w:rPr>
          <w:b/>
        </w:rPr>
        <w:t xml:space="preserve"> que reciban por su actividad laboral sean</w:t>
      </w:r>
      <w:r w:rsidR="00D73D63">
        <w:rPr>
          <w:b/>
        </w:rPr>
        <w:t xml:space="preserve"> dignos.</w:t>
      </w:r>
    </w:p>
    <w:p w:rsidR="008D0CAF" w:rsidRPr="008D0CAF" w:rsidRDefault="00356BF2" w:rsidP="00356BF2">
      <w:pPr>
        <w:pStyle w:val="H4G"/>
      </w:pPr>
      <w:r>
        <w:tab/>
      </w:r>
      <w:r w:rsidR="004D63FE">
        <w:t>d</w:t>
      </w:r>
      <w:r w:rsidR="00BC3F50">
        <w:t>)</w:t>
      </w:r>
      <w:r w:rsidR="00BC3F50">
        <w:tab/>
      </w:r>
      <w:r w:rsidR="008D0CAF" w:rsidRPr="008D0CAF">
        <w:t>Régimen de aislamiento</w:t>
      </w:r>
    </w:p>
    <w:p w:rsidR="000D7ADC" w:rsidRDefault="00AD5C3C" w:rsidP="000D7ADC">
      <w:pPr>
        <w:pStyle w:val="SingleTxtG"/>
      </w:pPr>
      <w:r>
        <w:t>65</w:t>
      </w:r>
      <w:r w:rsidR="00DB7C11">
        <w:t>.</w:t>
      </w:r>
      <w:r w:rsidR="00DB7C11">
        <w:tab/>
      </w:r>
      <w:r w:rsidR="00BC3F50">
        <w:t xml:space="preserve">En varias unidades el </w:t>
      </w:r>
      <w:r w:rsidR="008D0CAF">
        <w:t xml:space="preserve">SPT observó que los internos </w:t>
      </w:r>
      <w:r w:rsidR="00BC3F50">
        <w:t xml:space="preserve">son asignados a áreas de segregación </w:t>
      </w:r>
      <w:r w:rsidR="00410E2D">
        <w:t xml:space="preserve">no solo como sanción sino </w:t>
      </w:r>
      <w:r w:rsidR="001D26B1">
        <w:t xml:space="preserve">también </w:t>
      </w:r>
      <w:r w:rsidR="00410E2D">
        <w:t>por otros motivos</w:t>
      </w:r>
      <w:r>
        <w:t xml:space="preserve">, </w:t>
      </w:r>
      <w:r w:rsidR="00410E2D">
        <w:t>como reciente ingreso en la unidad, reubicación o como medida de protección. En esta</w:t>
      </w:r>
      <w:r w:rsidR="008D0CAF">
        <w:t xml:space="preserve">s </w:t>
      </w:r>
      <w:r w:rsidR="00410E2D">
        <w:t>áreas</w:t>
      </w:r>
      <w:r w:rsidR="008D0CAF">
        <w:t xml:space="preserve"> pueden permanecer durante semanas o incluso meses en condiciones </w:t>
      </w:r>
      <w:r w:rsidR="00410E2D">
        <w:t>de</w:t>
      </w:r>
      <w:r w:rsidR="008D0CAF">
        <w:t xml:space="preserve"> aislamiento, sin que este régimen tenga relación con su comportamiento. </w:t>
      </w:r>
      <w:r w:rsidR="001D26B1">
        <w:t>El SPT considera que s</w:t>
      </w:r>
      <w:r w:rsidR="00410E2D">
        <w:t xml:space="preserve">ólo quienes han sido sancionados deberían estar en estos lugares, y ello por un tiempo determinado y bajo reglas de debido proceso. El hecho de segregar a quien requiere protección es violatorio de sus derechos. El Estado está obligado a dar protección sin la restricción de derechos que existe durante la segregación. </w:t>
      </w:r>
    </w:p>
    <w:p w:rsidR="000D7ADC" w:rsidRDefault="00AD5C3C" w:rsidP="000D7ADC">
      <w:pPr>
        <w:pStyle w:val="SingleTxtG"/>
      </w:pPr>
      <w:r>
        <w:t>66</w:t>
      </w:r>
      <w:r w:rsidR="000D7ADC">
        <w:t>.</w:t>
      </w:r>
      <w:r w:rsidR="000D7ADC">
        <w:tab/>
        <w:t>En algunas unidades provinciales el SPT entrevistó a personas que manifestaron llevar hasta cuatro meses en situación de  aislamiento 24 horas al día como castigo, en celdas sin electricidad ni ventilación adecuada. El régimen variaba en otros casos, por ejemplo una hora al día de salida a patio, o 15 minutos por día de salida al pasillo de lunes a viernes. En cualquier caso, preocupa al SPT que el régimen de aislamiento escapa, en la práctica, al control judicial, como manifestó la Defensora General de la Nación.</w:t>
      </w:r>
    </w:p>
    <w:p w:rsidR="00072174" w:rsidRDefault="00AD5C3C" w:rsidP="00BC3F50">
      <w:pPr>
        <w:pStyle w:val="SingleTxtG"/>
        <w:spacing w:line="240" w:lineRule="auto"/>
        <w:rPr>
          <w:b/>
        </w:rPr>
      </w:pPr>
      <w:r>
        <w:rPr>
          <w:b/>
        </w:rPr>
        <w:t>6</w:t>
      </w:r>
      <w:r w:rsidR="00DB7C11">
        <w:rPr>
          <w:b/>
        </w:rPr>
        <w:t>7.</w:t>
      </w:r>
      <w:r w:rsidR="00DB7C11">
        <w:rPr>
          <w:b/>
        </w:rPr>
        <w:tab/>
      </w:r>
      <w:r w:rsidR="00410E2D" w:rsidRPr="00495C85">
        <w:rPr>
          <w:b/>
        </w:rPr>
        <w:t>Es urgente que e</w:t>
      </w:r>
      <w:r w:rsidR="008D0CAF" w:rsidRPr="00495C85">
        <w:rPr>
          <w:b/>
        </w:rPr>
        <w:t>l</w:t>
      </w:r>
      <w:r w:rsidR="008D0CAF" w:rsidRPr="00E35EAB">
        <w:rPr>
          <w:b/>
        </w:rPr>
        <w:t xml:space="preserve"> Estado parte revis</w:t>
      </w:r>
      <w:r w:rsidR="00410E2D">
        <w:rPr>
          <w:b/>
        </w:rPr>
        <w:t>e el actual régimen de aislamiento</w:t>
      </w:r>
      <w:r w:rsidR="002D0F83">
        <w:rPr>
          <w:b/>
        </w:rPr>
        <w:t>, tanto en el sistema federal como en el provincial, de manera que se garanticen los derechos de las PPL.</w:t>
      </w:r>
      <w:r w:rsidR="00072174">
        <w:rPr>
          <w:b/>
        </w:rPr>
        <w:t xml:space="preserve"> El aislamiento debe ser una medida excepcional, estrictamente limitada en el tiempo, y bajo control médico y judicial, y no debe ser utilizado como herramienta de gestión carcelaria. La celda donde se cumpla deberá reunir condiciones respetuosas de la integridad física y la dignidad de la </w:t>
      </w:r>
      <w:r w:rsidR="006116BE">
        <w:rPr>
          <w:b/>
        </w:rPr>
        <w:t>PPL</w:t>
      </w:r>
      <w:r w:rsidR="00072174">
        <w:rPr>
          <w:b/>
        </w:rPr>
        <w:t>.</w:t>
      </w:r>
    </w:p>
    <w:p w:rsidR="009F51BB" w:rsidRPr="00E35EAB" w:rsidRDefault="006116BE" w:rsidP="004D63FE">
      <w:pPr>
        <w:pStyle w:val="SingleTxtG"/>
        <w:rPr>
          <w:b/>
        </w:rPr>
      </w:pPr>
      <w:r>
        <w:rPr>
          <w:b/>
        </w:rPr>
        <w:t>68</w:t>
      </w:r>
      <w:r w:rsidR="009F51BB">
        <w:rPr>
          <w:b/>
        </w:rPr>
        <w:t>.</w:t>
      </w:r>
      <w:r w:rsidR="009F51BB">
        <w:rPr>
          <w:b/>
        </w:rPr>
        <w:tab/>
      </w:r>
      <w:r w:rsidR="009F51BB" w:rsidRPr="000521FE">
        <w:rPr>
          <w:b/>
        </w:rPr>
        <w:t xml:space="preserve">El SPT entiende que, por distintas circunstancias, algunos internos puedan requerir mayores medidas de seguridad. Sin embargo, debe entenderse que estas medidas no pueden transformarse en una pena adicional a la impuesta por la autoridad judicial, ya que ello sería contrario a los principios de igualdad ante la ley y de no discriminación. Esta exigencia de trato igualitario es incluso más necesaria en relación con quienes aún no han sido sentenciados. En razón de ello el SPT considera que toda medida de seguridad que se convierta en un agravamiento irrazonable de las condiciones de reclusión constituye una forma de maltrato a las PPL. </w:t>
      </w:r>
    </w:p>
    <w:p w:rsidR="005D7E1A" w:rsidRPr="00E407F9" w:rsidRDefault="005D7E1A" w:rsidP="005D7E1A">
      <w:pPr>
        <w:pStyle w:val="H4G"/>
        <w:rPr>
          <w:lang w:val="es-ES_tradnl"/>
        </w:rPr>
      </w:pPr>
      <w:r w:rsidRPr="00E407F9">
        <w:rPr>
          <w:lang w:val="es-ES_tradnl"/>
        </w:rPr>
        <w:tab/>
      </w:r>
      <w:r w:rsidR="004D63FE">
        <w:rPr>
          <w:lang w:val="es-ES_tradnl"/>
        </w:rPr>
        <w:t>e</w:t>
      </w:r>
      <w:r w:rsidRPr="00E407F9">
        <w:rPr>
          <w:lang w:val="es-ES_tradnl"/>
        </w:rPr>
        <w:t>)</w:t>
      </w:r>
      <w:r w:rsidRPr="00E407F9">
        <w:rPr>
          <w:lang w:val="es-ES_tradnl"/>
        </w:rPr>
        <w:tab/>
      </w:r>
      <w:r w:rsidR="008321B3" w:rsidRPr="00E407F9">
        <w:rPr>
          <w:lang w:val="es-ES_tradnl"/>
        </w:rPr>
        <w:t>Contacto con el mundo exterior</w:t>
      </w:r>
    </w:p>
    <w:p w:rsidR="005D7E1A" w:rsidRPr="00E407F9" w:rsidRDefault="006116BE" w:rsidP="005D7E1A">
      <w:pPr>
        <w:pStyle w:val="SingleTxtG"/>
        <w:rPr>
          <w:lang w:val="es-ES_tradnl"/>
        </w:rPr>
      </w:pPr>
      <w:r>
        <w:rPr>
          <w:lang w:val="es-ES_tradnl"/>
        </w:rPr>
        <w:t>69</w:t>
      </w:r>
      <w:r w:rsidR="00DB7C11">
        <w:rPr>
          <w:lang w:val="es-ES_tradnl"/>
        </w:rPr>
        <w:t>.</w:t>
      </w:r>
      <w:r w:rsidR="00DB7C11">
        <w:rPr>
          <w:lang w:val="es-ES_tradnl"/>
        </w:rPr>
        <w:tab/>
      </w:r>
      <w:r w:rsidR="00182928">
        <w:rPr>
          <w:lang w:val="es-ES_tradnl"/>
        </w:rPr>
        <w:t xml:space="preserve">El SPT recibió quejas </w:t>
      </w:r>
      <w:r w:rsidR="007E685C">
        <w:t xml:space="preserve"> de que la</w:t>
      </w:r>
      <w:r w:rsidR="001113D6">
        <w:t>s</w:t>
      </w:r>
      <w:r w:rsidR="007E685C">
        <w:t xml:space="preserve"> visita</w:t>
      </w:r>
      <w:r w:rsidR="00182928">
        <w:t>s familiares</w:t>
      </w:r>
      <w:r w:rsidR="007E685C">
        <w:t xml:space="preserve"> era</w:t>
      </w:r>
      <w:r w:rsidR="00182928">
        <w:t>n</w:t>
      </w:r>
      <w:r w:rsidR="007E685C">
        <w:t xml:space="preserve"> demasiado corta</w:t>
      </w:r>
      <w:r w:rsidR="00182928">
        <w:t>s</w:t>
      </w:r>
      <w:r w:rsidR="007E685C">
        <w:t xml:space="preserve"> y esporádica</w:t>
      </w:r>
      <w:r w:rsidR="00182928">
        <w:t>s</w:t>
      </w:r>
      <w:r w:rsidR="007E685C">
        <w:t xml:space="preserve"> y</w:t>
      </w:r>
      <w:r w:rsidR="00182928">
        <w:t xml:space="preserve"> que el régimen de las mismas</w:t>
      </w:r>
      <w:r w:rsidR="007E685C">
        <w:t xml:space="preserve"> no se aplicaba  a todos por igual.</w:t>
      </w:r>
      <w:r w:rsidR="007E685C" w:rsidRPr="000C0D21">
        <w:t xml:space="preserve"> </w:t>
      </w:r>
      <w:r w:rsidR="00182928">
        <w:t xml:space="preserve">Algunos internos se quejaron de </w:t>
      </w:r>
      <w:r w:rsidR="007E685C">
        <w:t xml:space="preserve"> las limitaciones que tenían </w:t>
      </w:r>
      <w:r w:rsidR="00182928">
        <w:t>para</w:t>
      </w:r>
      <w:r w:rsidR="007E685C">
        <w:t xml:space="preserve"> ejercer su derecho de visita íntima </w:t>
      </w:r>
      <w:r w:rsidR="00182928">
        <w:t>con sus parejas cuando no existía vínculo matrimonial</w:t>
      </w:r>
      <w:r w:rsidR="007E685C">
        <w:t>.</w:t>
      </w:r>
      <w:r w:rsidR="007E685C" w:rsidRPr="000C0D21">
        <w:t xml:space="preserve"> </w:t>
      </w:r>
      <w:r w:rsidR="00182928">
        <w:t>F</w:t>
      </w:r>
      <w:r w:rsidR="007E685C">
        <w:t xml:space="preserve">amiliares de  reclusos manifestaron al SPT que los procedimientos </w:t>
      </w:r>
      <w:r w:rsidR="00182928">
        <w:t xml:space="preserve">de acceso a los centros eran demasiado </w:t>
      </w:r>
      <w:r w:rsidR="007E685C">
        <w:t xml:space="preserve">largos. </w:t>
      </w:r>
    </w:p>
    <w:p w:rsidR="005D7E1A" w:rsidRDefault="00DB7C11" w:rsidP="00F2343A">
      <w:pPr>
        <w:pStyle w:val="SingleTxtG"/>
        <w:rPr>
          <w:b/>
          <w:lang w:val="es-GT"/>
        </w:rPr>
      </w:pPr>
      <w:r>
        <w:rPr>
          <w:b/>
          <w:lang w:val="es-GT"/>
        </w:rPr>
        <w:t>7</w:t>
      </w:r>
      <w:r w:rsidR="006116BE">
        <w:rPr>
          <w:b/>
          <w:lang w:val="es-GT"/>
        </w:rPr>
        <w:t>0</w:t>
      </w:r>
      <w:r>
        <w:rPr>
          <w:b/>
          <w:lang w:val="es-GT"/>
        </w:rPr>
        <w:t>.</w:t>
      </w:r>
      <w:r>
        <w:rPr>
          <w:b/>
          <w:lang w:val="es-GT"/>
        </w:rPr>
        <w:tab/>
      </w:r>
      <w:r w:rsidR="005A4EAE">
        <w:rPr>
          <w:b/>
          <w:lang w:val="es-GT"/>
        </w:rPr>
        <w:t xml:space="preserve">El Estado parte debe </w:t>
      </w:r>
      <w:r w:rsidR="00BF17DB">
        <w:rPr>
          <w:b/>
          <w:lang w:val="es-GT"/>
        </w:rPr>
        <w:t>asegurar</w:t>
      </w:r>
      <w:r w:rsidR="005A4EAE">
        <w:rPr>
          <w:b/>
          <w:lang w:val="es-GT"/>
        </w:rPr>
        <w:t xml:space="preserve"> que todas las </w:t>
      </w:r>
      <w:r w:rsidR="00466A0B">
        <w:rPr>
          <w:b/>
          <w:lang w:val="es-GT"/>
        </w:rPr>
        <w:t>PPL</w:t>
      </w:r>
      <w:r w:rsidR="005A4EAE">
        <w:rPr>
          <w:b/>
          <w:lang w:val="es-GT"/>
        </w:rPr>
        <w:t xml:space="preserve"> puedan </w:t>
      </w:r>
      <w:r w:rsidR="00944E55">
        <w:rPr>
          <w:b/>
          <w:lang w:val="es-GT"/>
        </w:rPr>
        <w:t>recibir</w:t>
      </w:r>
      <w:r w:rsidR="005A4EAE">
        <w:rPr>
          <w:b/>
          <w:lang w:val="es-GT"/>
        </w:rPr>
        <w:t xml:space="preserve"> </w:t>
      </w:r>
      <w:r w:rsidR="00944E55">
        <w:rPr>
          <w:b/>
          <w:lang w:val="es-GT"/>
        </w:rPr>
        <w:t xml:space="preserve">visitas </w:t>
      </w:r>
      <w:r w:rsidR="005A4EAE">
        <w:rPr>
          <w:b/>
          <w:lang w:val="es-GT"/>
        </w:rPr>
        <w:t>regularmente</w:t>
      </w:r>
      <w:r w:rsidR="005A4EAE">
        <w:rPr>
          <w:rStyle w:val="FootnoteReference"/>
          <w:b/>
          <w:lang w:val="es-GT"/>
        </w:rPr>
        <w:footnoteReference w:id="23"/>
      </w:r>
      <w:r w:rsidR="005A4EAE">
        <w:rPr>
          <w:b/>
          <w:lang w:val="es-GT"/>
        </w:rPr>
        <w:t>, incluida la visita conyugal, sea esta unión reconocida formalmente o no por el Estado</w:t>
      </w:r>
      <w:r w:rsidR="004C203D">
        <w:rPr>
          <w:b/>
          <w:lang w:val="es-GT"/>
        </w:rPr>
        <w:t>, y que no se limite por razones de sexo, nacionaliad, orientación sexual o por otro motivo discriminatorio</w:t>
      </w:r>
      <w:r w:rsidR="005A4EAE">
        <w:rPr>
          <w:b/>
          <w:lang w:val="es-GT"/>
        </w:rPr>
        <w:t xml:space="preserve">. </w:t>
      </w:r>
      <w:r w:rsidR="005A4EAE" w:rsidRPr="00370063">
        <w:rPr>
          <w:b/>
          <w:lang w:val="es-GT"/>
        </w:rPr>
        <w:t>Se debe acelerar la expedición d</w:t>
      </w:r>
      <w:r w:rsidR="005A4EAE">
        <w:rPr>
          <w:b/>
          <w:lang w:val="es-GT"/>
        </w:rPr>
        <w:t>e los pases para los visitantes y asegurar que los internos puedan recibir llamadas de sus familiares.</w:t>
      </w:r>
    </w:p>
    <w:p w:rsidR="005A4EAE" w:rsidRDefault="00DB7C11" w:rsidP="00F2343A">
      <w:pPr>
        <w:pStyle w:val="SingleTxtG"/>
      </w:pPr>
      <w:r>
        <w:rPr>
          <w:lang w:val="es-ES_tradnl"/>
        </w:rPr>
        <w:t>7</w:t>
      </w:r>
      <w:r w:rsidR="006116BE">
        <w:rPr>
          <w:lang w:val="es-ES_tradnl"/>
        </w:rPr>
        <w:t>1</w:t>
      </w:r>
      <w:r>
        <w:rPr>
          <w:lang w:val="es-ES_tradnl"/>
        </w:rPr>
        <w:t>.</w:t>
      </w:r>
      <w:r>
        <w:rPr>
          <w:lang w:val="es-ES_tradnl"/>
        </w:rPr>
        <w:tab/>
      </w:r>
      <w:r w:rsidR="00BF17DB">
        <w:rPr>
          <w:lang w:val="es-ES_tradnl"/>
        </w:rPr>
        <w:t>El</w:t>
      </w:r>
      <w:r w:rsidR="005A4EAE">
        <w:t xml:space="preserve"> SPT </w:t>
      </w:r>
      <w:r w:rsidR="00BF17DB">
        <w:t>recibió quejas de  vejámenes y malos tratos sufridos por</w:t>
      </w:r>
      <w:r w:rsidR="005A4EAE">
        <w:t xml:space="preserve"> los familiares </w:t>
      </w:r>
      <w:r w:rsidR="00BF17DB">
        <w:t xml:space="preserve">cuando acudían a las visitas.  Las quejas daban cuenta de </w:t>
      </w:r>
      <w:r w:rsidR="005A4EAE">
        <w:t xml:space="preserve"> revisiones invasivas, incluyendo desnudos completos, palpaciones y hasta flexiones, que eran practicadas a toda persona, inclu</w:t>
      </w:r>
      <w:r w:rsidR="00BF17DB">
        <w:t>so</w:t>
      </w:r>
      <w:r w:rsidR="005A4EAE">
        <w:t xml:space="preserve"> menores, bebes y mujeres embarazadas</w:t>
      </w:r>
      <w:r w:rsidR="00BF17DB">
        <w:t>. También refirieron</w:t>
      </w:r>
      <w:r w:rsidR="005A4EAE">
        <w:t xml:space="preserve"> insultos y amenazas por parte del personal penitenciario encargado de hacer las requisas, que inhibirían cualquier intento de denunciar dichos tratos so pena de represalias contra </w:t>
      </w:r>
      <w:r w:rsidR="00BF17DB">
        <w:t>lo</w:t>
      </w:r>
      <w:r w:rsidR="005A4EAE">
        <w:t>s familiares privados de libertad.</w:t>
      </w:r>
    </w:p>
    <w:p w:rsidR="005A4EAE" w:rsidRDefault="00DB7C11" w:rsidP="00F2343A">
      <w:pPr>
        <w:pStyle w:val="SingleTxtG"/>
        <w:rPr>
          <w:b/>
          <w:lang w:val="es-GT"/>
        </w:rPr>
      </w:pPr>
      <w:r>
        <w:rPr>
          <w:b/>
          <w:lang w:val="es-GT"/>
        </w:rPr>
        <w:t>7</w:t>
      </w:r>
      <w:r w:rsidR="006116BE">
        <w:rPr>
          <w:b/>
          <w:lang w:val="es-GT"/>
        </w:rPr>
        <w:t>2</w:t>
      </w:r>
      <w:r>
        <w:rPr>
          <w:b/>
          <w:lang w:val="es-GT"/>
        </w:rPr>
        <w:t>.</w:t>
      </w:r>
      <w:r>
        <w:rPr>
          <w:b/>
          <w:lang w:val="es-GT"/>
        </w:rPr>
        <w:tab/>
      </w:r>
      <w:r w:rsidR="001D26B1">
        <w:rPr>
          <w:b/>
          <w:lang w:val="es-GT"/>
        </w:rPr>
        <w:t>E</w:t>
      </w:r>
      <w:r w:rsidR="005A4EAE" w:rsidRPr="00370063">
        <w:rPr>
          <w:b/>
          <w:lang w:val="es-GT"/>
        </w:rPr>
        <w:t>l Subcomité recomienda al Estado parte que vele por</w:t>
      </w:r>
      <w:r w:rsidR="006116BE">
        <w:rPr>
          <w:b/>
          <w:lang w:val="es-GT"/>
        </w:rPr>
        <w:t xml:space="preserve"> </w:t>
      </w:r>
      <w:r w:rsidR="005A4EAE" w:rsidRPr="00370063">
        <w:rPr>
          <w:b/>
          <w:lang w:val="es-GT"/>
        </w:rPr>
        <w:t xml:space="preserve">que los registros sin ropa e íntimos se ajusten a los criterios de utilización necesaria, razonable y proporcional. Si se llevan a cabo registros corporales, han de practicarse en condiciones higiénicas, por personal calificado y del mismo sexo que la persona registrada y han de ser compatibles con la dignidad humana y el respeto de los derechos fundamentales. </w:t>
      </w:r>
      <w:r w:rsidR="006E0BE9">
        <w:rPr>
          <w:b/>
          <w:lang w:val="es-GT"/>
        </w:rPr>
        <w:t>L</w:t>
      </w:r>
      <w:r w:rsidR="005A4EAE" w:rsidRPr="00370063">
        <w:rPr>
          <w:b/>
          <w:lang w:val="es-GT"/>
        </w:rPr>
        <w:t>os registros vaginales o anales invasivos</w:t>
      </w:r>
      <w:r w:rsidR="006E0BE9">
        <w:rPr>
          <w:b/>
          <w:lang w:val="es-GT"/>
        </w:rPr>
        <w:t xml:space="preserve"> deben ser prohibidos</w:t>
      </w:r>
      <w:r w:rsidR="005A4EAE" w:rsidRPr="00112E55">
        <w:rPr>
          <w:rStyle w:val="FootnoteReference"/>
        </w:rPr>
        <w:footnoteReference w:id="24"/>
      </w:r>
      <w:r w:rsidR="005A4EAE">
        <w:rPr>
          <w:b/>
          <w:lang w:val="es-GT"/>
        </w:rPr>
        <w:t>.</w:t>
      </w:r>
    </w:p>
    <w:p w:rsidR="005A4EAE" w:rsidRDefault="00DB7C11" w:rsidP="00F2343A">
      <w:pPr>
        <w:pStyle w:val="SingleTxtG"/>
        <w:rPr>
          <w:b/>
        </w:rPr>
      </w:pPr>
      <w:r>
        <w:rPr>
          <w:b/>
        </w:rPr>
        <w:t>7</w:t>
      </w:r>
      <w:r w:rsidR="006116BE">
        <w:rPr>
          <w:b/>
        </w:rPr>
        <w:t>3</w:t>
      </w:r>
      <w:r>
        <w:rPr>
          <w:b/>
        </w:rPr>
        <w:t>.</w:t>
      </w:r>
      <w:r>
        <w:rPr>
          <w:b/>
        </w:rPr>
        <w:tab/>
      </w:r>
      <w:r w:rsidR="006116BE">
        <w:rPr>
          <w:b/>
        </w:rPr>
        <w:t>E</w:t>
      </w:r>
      <w:r w:rsidR="005A4EAE" w:rsidRPr="00B42FE5">
        <w:rPr>
          <w:b/>
        </w:rPr>
        <w:t xml:space="preserve">l personal que atiende a las visitas </w:t>
      </w:r>
      <w:r w:rsidR="006116BE">
        <w:rPr>
          <w:b/>
        </w:rPr>
        <w:t>debe ser</w:t>
      </w:r>
      <w:r w:rsidR="005A4EAE" w:rsidRPr="00B42FE5">
        <w:rPr>
          <w:b/>
        </w:rPr>
        <w:t xml:space="preserve"> capacitado sobre su</w:t>
      </w:r>
      <w:r w:rsidR="006116BE">
        <w:rPr>
          <w:b/>
        </w:rPr>
        <w:t xml:space="preserve"> obligación</w:t>
      </w:r>
      <w:r w:rsidR="005A4EAE" w:rsidRPr="00B42FE5">
        <w:rPr>
          <w:b/>
        </w:rPr>
        <w:t xml:space="preserve"> de respet</w:t>
      </w:r>
      <w:r w:rsidR="006116BE">
        <w:rPr>
          <w:b/>
        </w:rPr>
        <w:t xml:space="preserve">o </w:t>
      </w:r>
      <w:r w:rsidR="005A4EAE" w:rsidRPr="00B42FE5">
        <w:rPr>
          <w:b/>
        </w:rPr>
        <w:t>a los derechos de todas las personas</w:t>
      </w:r>
      <w:r w:rsidR="006116BE">
        <w:rPr>
          <w:b/>
        </w:rPr>
        <w:t>. Se debe</w:t>
      </w:r>
      <w:r w:rsidR="005A4EAE">
        <w:rPr>
          <w:b/>
        </w:rPr>
        <w:t xml:space="preserve"> instal</w:t>
      </w:r>
      <w:r w:rsidR="006116BE">
        <w:rPr>
          <w:b/>
        </w:rPr>
        <w:t>ar</w:t>
      </w:r>
      <w:r w:rsidR="005A4EAE">
        <w:rPr>
          <w:b/>
        </w:rPr>
        <w:t xml:space="preserve"> u</w:t>
      </w:r>
      <w:r w:rsidR="005A4EAE" w:rsidRPr="00B42FE5">
        <w:rPr>
          <w:b/>
        </w:rPr>
        <w:t xml:space="preserve">n sistema independiente de denuncias de maltrato </w:t>
      </w:r>
      <w:r w:rsidR="005A4EAE">
        <w:rPr>
          <w:b/>
        </w:rPr>
        <w:t>que incluya investigaciones independientes y sanciones.</w:t>
      </w:r>
    </w:p>
    <w:p w:rsidR="00AB529F" w:rsidRDefault="005D7E1A" w:rsidP="00526BD1">
      <w:pPr>
        <w:pStyle w:val="H23G"/>
        <w:rPr>
          <w:lang w:val="es-ES_tradnl"/>
        </w:rPr>
      </w:pPr>
      <w:r w:rsidRPr="00E407F9">
        <w:rPr>
          <w:lang w:val="es-ES_tradnl"/>
        </w:rPr>
        <w:tab/>
      </w:r>
      <w:r w:rsidR="008321B3" w:rsidRPr="00E407F9">
        <w:rPr>
          <w:lang w:val="es-ES_tradnl"/>
        </w:rPr>
        <w:t>3</w:t>
      </w:r>
      <w:r w:rsidRPr="00E407F9">
        <w:rPr>
          <w:lang w:val="es-ES_tradnl"/>
        </w:rPr>
        <w:t>.</w:t>
      </w:r>
      <w:r w:rsidRPr="00E407F9">
        <w:rPr>
          <w:lang w:val="es-ES_tradnl"/>
        </w:rPr>
        <w:tab/>
      </w:r>
      <w:r w:rsidR="00AB529F">
        <w:rPr>
          <w:lang w:val="es-ES_tradnl"/>
        </w:rPr>
        <w:t>Violencia en situación de encierro</w:t>
      </w:r>
    </w:p>
    <w:p w:rsidR="003D3BF7" w:rsidRDefault="006116BE" w:rsidP="000521FE">
      <w:pPr>
        <w:pStyle w:val="SingleTxtG"/>
      </w:pPr>
      <w:r>
        <w:t>74</w:t>
      </w:r>
      <w:r w:rsidR="00DB7C11">
        <w:t>.</w:t>
      </w:r>
      <w:r w:rsidR="00DB7C11">
        <w:tab/>
      </w:r>
      <w:r w:rsidR="00322847">
        <w:t>E</w:t>
      </w:r>
      <w:r w:rsidR="005A4EAE" w:rsidRPr="00F964B3">
        <w:t xml:space="preserve">l SPT </w:t>
      </w:r>
      <w:r w:rsidR="005A4EAE">
        <w:t>recibió</w:t>
      </w:r>
      <w:r w:rsidR="005A4EAE" w:rsidRPr="00F964B3">
        <w:t xml:space="preserve"> testimonios reiterados y concordantes según los cuales las </w:t>
      </w:r>
      <w:r w:rsidR="00466A0B">
        <w:t>PPL</w:t>
      </w:r>
      <w:r w:rsidR="005A4EAE" w:rsidRPr="00F964B3">
        <w:t xml:space="preserve"> </w:t>
      </w:r>
      <w:r w:rsidR="005A4EAE">
        <w:t>est</w:t>
      </w:r>
      <w:r w:rsidR="00322847">
        <w:t>án</w:t>
      </w:r>
      <w:r w:rsidR="005A4EAE">
        <w:t xml:space="preserve"> </w:t>
      </w:r>
      <w:r w:rsidR="005A4EAE" w:rsidRPr="00F964B3">
        <w:t>sometidas a un control en que el personal penitenciario de “contacto cotidiano”, encabezado por</w:t>
      </w:r>
      <w:r w:rsidR="00322847">
        <w:t xml:space="preserve"> el</w:t>
      </w:r>
      <w:r w:rsidR="005A4EAE" w:rsidRPr="00F964B3">
        <w:t xml:space="preserve"> jefe de pabellón o por el de vigilancia y tratamiento, maneja todo lo referente a la transmisión de reclamos, peticiones, necesidades y régimen disciplinario. Para sus fines se apoya</w:t>
      </w:r>
      <w:r w:rsidR="005A4EAE">
        <w:t xml:space="preserve"> en</w:t>
      </w:r>
      <w:r w:rsidR="008F7BD4">
        <w:t xml:space="preserve"> los llamados “limpieza” o “faj</w:t>
      </w:r>
      <w:r w:rsidR="005A4EAE" w:rsidRPr="00F964B3">
        <w:t xml:space="preserve">ineros”, </w:t>
      </w:r>
      <w:r w:rsidR="00725268">
        <w:t>que son PPL</w:t>
      </w:r>
      <w:r w:rsidR="005A4EAE" w:rsidRPr="00F964B3">
        <w:t xml:space="preserve"> que </w:t>
      </w:r>
      <w:r w:rsidR="005A4EAE">
        <w:t>s</w:t>
      </w:r>
      <w:r w:rsidR="00322847">
        <w:t>irven</w:t>
      </w:r>
      <w:r w:rsidR="005A4EAE" w:rsidRPr="00F964B3">
        <w:t xml:space="preserve"> de enlace entre el resto de los internos y la administración penitenciaria. En es</w:t>
      </w:r>
      <w:r w:rsidR="00123312">
        <w:t>t</w:t>
      </w:r>
      <w:r w:rsidR="005A4EAE" w:rsidRPr="00F964B3">
        <w:t xml:space="preserve">e </w:t>
      </w:r>
      <w:r w:rsidR="00123312">
        <w:t xml:space="preserve">contexto </w:t>
      </w:r>
      <w:r w:rsidR="005A4EAE" w:rsidRPr="00F964B3">
        <w:t xml:space="preserve">el SPT recibió </w:t>
      </w:r>
      <w:r w:rsidR="00123312">
        <w:t>quejas</w:t>
      </w:r>
      <w:r w:rsidR="005A4EAE" w:rsidRPr="00F964B3">
        <w:t xml:space="preserve"> relativas a: robo o sustracción de pertenencias; amenazas; extorsiones para tener acceso a mayor seguridad o mejor trato a cambio de dinero; ingreso y venta de estupefacientes; agresiones físicas; provocación de peleas y conflictos entre internos con fines de diversión o control, con la aquiescencia del personal penitenciario; traslados internos a pabellones más conflictivos o de aislamiento; reducción de porción alimentaria</w:t>
      </w:r>
      <w:r w:rsidR="005A4EAE">
        <w:t xml:space="preserve"> y de visitas</w:t>
      </w:r>
      <w:r w:rsidR="005A4EAE" w:rsidRPr="00F964B3">
        <w:t xml:space="preserve">; </w:t>
      </w:r>
      <w:r w:rsidR="005A4EAE">
        <w:t xml:space="preserve">así como </w:t>
      </w:r>
      <w:r w:rsidR="005A4EAE" w:rsidRPr="00F964B3">
        <w:t>acceso privilegiado a programas educativos y laborales</w:t>
      </w:r>
      <w:r w:rsidR="005A4EAE">
        <w:t>.</w:t>
      </w:r>
      <w:r w:rsidR="003D3BF7">
        <w:t xml:space="preserve"> </w:t>
      </w:r>
    </w:p>
    <w:p w:rsidR="001113D6" w:rsidRDefault="00B60AED" w:rsidP="000521FE">
      <w:pPr>
        <w:pStyle w:val="SingleTxtG"/>
      </w:pPr>
      <w:r>
        <w:t>75</w:t>
      </w:r>
      <w:r w:rsidR="00DB7C11">
        <w:t>.</w:t>
      </w:r>
      <w:r w:rsidR="00DB7C11">
        <w:tab/>
      </w:r>
      <w:r w:rsidR="005A4EAE" w:rsidRPr="00F964B3">
        <w:t>Esta dinámica de amenazas y riesgos,</w:t>
      </w:r>
      <w:r w:rsidR="005A4EAE">
        <w:t xml:space="preserve"> la falta de un sistema </w:t>
      </w:r>
      <w:r w:rsidR="00322847">
        <w:t>eficaz para denunciar e investigar abusos</w:t>
      </w:r>
      <w:r w:rsidR="00AB529F">
        <w:t xml:space="preserve"> y e</w:t>
      </w:r>
      <w:r w:rsidR="005A4EAE" w:rsidRPr="00F964B3">
        <w:t xml:space="preserve">l temor a sufrir represalias por </w:t>
      </w:r>
      <w:r w:rsidR="00322847">
        <w:t xml:space="preserve">haber denunciado </w:t>
      </w:r>
      <w:r w:rsidR="00123312">
        <w:t>hacen</w:t>
      </w:r>
      <w:r w:rsidR="005A4EAE" w:rsidRPr="00F964B3">
        <w:t xml:space="preserve"> que una persona privada de libertad, aun</w:t>
      </w:r>
      <w:r w:rsidR="00AB529F">
        <w:t>que</w:t>
      </w:r>
      <w:r w:rsidR="005A4EAE" w:rsidRPr="00F964B3">
        <w:t xml:space="preserve"> </w:t>
      </w:r>
      <w:r w:rsidR="00574F51">
        <w:t xml:space="preserve">en el mejor de los casos </w:t>
      </w:r>
      <w:r w:rsidR="005A4EAE" w:rsidRPr="00F964B3">
        <w:t xml:space="preserve">no </w:t>
      </w:r>
      <w:r w:rsidR="005A4EAE">
        <w:t>ha</w:t>
      </w:r>
      <w:r w:rsidR="00322847">
        <w:t>ya</w:t>
      </w:r>
      <w:r w:rsidR="005A4EAE" w:rsidRPr="00F964B3">
        <w:t xml:space="preserve"> sido víctima directa de hechos</w:t>
      </w:r>
      <w:r w:rsidR="00AB529F">
        <w:t xml:space="preserve"> violentos</w:t>
      </w:r>
      <w:r w:rsidR="005A4EAE" w:rsidRPr="00F964B3">
        <w:t>, viv</w:t>
      </w:r>
      <w:r w:rsidR="00123312">
        <w:t>a</w:t>
      </w:r>
      <w:r w:rsidR="005A4EAE" w:rsidRPr="00F964B3">
        <w:t xml:space="preserve"> en un constante temor de sufrir algún tipo de </w:t>
      </w:r>
      <w:r w:rsidR="00123312">
        <w:t>agresión</w:t>
      </w:r>
      <w:r w:rsidR="005A4EAE" w:rsidRPr="00F964B3">
        <w:t xml:space="preserve"> hacia sí misma, su familia o sus pertenencias</w:t>
      </w:r>
      <w:r w:rsidR="005A4EAE">
        <w:t>.</w:t>
      </w:r>
      <w:r w:rsidR="003D3BF7">
        <w:t xml:space="preserve"> </w:t>
      </w:r>
      <w:r w:rsidR="005A4EAE" w:rsidRPr="00F964B3">
        <w:t>El SPT fue testigo de un episodio signif</w:t>
      </w:r>
      <w:r w:rsidR="00681D3F">
        <w:t>icativo ocurrido en la Unidad</w:t>
      </w:r>
      <w:r w:rsidR="005A4EAE" w:rsidRPr="00F964B3">
        <w:t xml:space="preserve"> 1, Lisandro Olmos</w:t>
      </w:r>
      <w:r w:rsidR="00681D3F">
        <w:t xml:space="preserve"> (U1)</w:t>
      </w:r>
      <w:r w:rsidR="005A4EAE" w:rsidRPr="00F964B3">
        <w:t xml:space="preserve">, en el que </w:t>
      </w:r>
      <w:r w:rsidR="00322847">
        <w:t>un</w:t>
      </w:r>
      <w:r w:rsidR="00FB30CB">
        <w:t xml:space="preserve"> interno</w:t>
      </w:r>
      <w:r w:rsidR="00322847">
        <w:t xml:space="preserve"> en una celda de aislamiento afirmó haber recibido de </w:t>
      </w:r>
      <w:r w:rsidR="005A4EAE" w:rsidRPr="00F964B3">
        <w:t xml:space="preserve"> agentes penitenciarios  un arma casera</w:t>
      </w:r>
      <w:r w:rsidR="005A4EAE">
        <w:t xml:space="preserve"> </w:t>
      </w:r>
      <w:r w:rsidR="005A4EAE" w:rsidRPr="00F964B3">
        <w:t>(“faca”) con la instrucción de privar de la vida a otro interno, amenazándole de represalias en caso de no llevar a cabo</w:t>
      </w:r>
      <w:r w:rsidR="00322847">
        <w:t xml:space="preserve"> el encargo</w:t>
      </w:r>
      <w:r w:rsidR="005A4EAE" w:rsidRPr="00F964B3">
        <w:t xml:space="preserve">. </w:t>
      </w:r>
      <w:r w:rsidR="001113D6">
        <w:t xml:space="preserve">Cuando el SPT informó de esta situación a las autoridades penitenciarias éstas llevaron </w:t>
      </w:r>
      <w:r w:rsidR="005A4EAE" w:rsidRPr="00F964B3">
        <w:t>a cabo una requisa de la celda, localizándose el arma en cuestión</w:t>
      </w:r>
      <w:r w:rsidR="005A4EAE">
        <w:t>.</w:t>
      </w:r>
      <w:r w:rsidR="001113D6">
        <w:t xml:space="preserve"> </w:t>
      </w:r>
    </w:p>
    <w:p w:rsidR="001113D6" w:rsidRDefault="00B60AED" w:rsidP="000521FE">
      <w:pPr>
        <w:pStyle w:val="SingleTxtG"/>
      </w:pPr>
      <w:r>
        <w:t>76</w:t>
      </w:r>
      <w:r w:rsidR="00DB7C11">
        <w:t>.</w:t>
      </w:r>
      <w:r w:rsidR="00DB7C11">
        <w:tab/>
      </w:r>
      <w:r w:rsidR="005A4EAE">
        <w:t xml:space="preserve">El SPT </w:t>
      </w:r>
      <w:r w:rsidR="0071731D">
        <w:t>toma nota de la información proporcionada por el Estado Parte</w:t>
      </w:r>
      <w:r w:rsidR="00574F51">
        <w:t>,</w:t>
      </w:r>
      <w:r w:rsidR="0071731D">
        <w:t xml:space="preserve"> </w:t>
      </w:r>
      <w:r w:rsidR="00574F51">
        <w:t xml:space="preserve">con posterioridad a la visita, </w:t>
      </w:r>
      <w:r w:rsidR="0071731D">
        <w:t xml:space="preserve">de que sobre este hecho </w:t>
      </w:r>
      <w:r w:rsidR="00322EB7">
        <w:t>se</w:t>
      </w:r>
      <w:r w:rsidR="00681D3F">
        <w:t xml:space="preserve"> </w:t>
      </w:r>
      <w:r w:rsidR="005A4EAE">
        <w:t>inició un proce</w:t>
      </w:r>
      <w:r w:rsidR="00370B2A">
        <w:t>dimiento</w:t>
      </w:r>
      <w:r w:rsidR="005A4EAE">
        <w:t xml:space="preserve"> administrativo</w:t>
      </w:r>
      <w:r w:rsidR="0071731D">
        <w:t>, el cual advirtió fallas en las requisas, en los controles de ingreso, en el acceso a las celdas y pabellones y en los mecanismos de prevención de hechos violentos</w:t>
      </w:r>
      <w:r w:rsidR="00CD7F4F">
        <w:t>. Ello resultó en la imputación de cuatro agentes por una falta disciplinaria</w:t>
      </w:r>
      <w:r w:rsidR="00370B2A">
        <w:t>.</w:t>
      </w:r>
      <w:r w:rsidR="001113D6">
        <w:t xml:space="preserve"> El SPT observa, sin embargo, que los hechos no fueron puestos en conocimiento d</w:t>
      </w:r>
      <w:r w:rsidR="00FB30CB">
        <w:t>el Ministerio Público sino que la investigación ha sido meramente administrativa</w:t>
      </w:r>
      <w:r w:rsidR="007367AE">
        <w:t>. Esto</w:t>
      </w:r>
      <w:r w:rsidR="00FB30CB">
        <w:t xml:space="preserve"> induce a pensar que las autoridades penitenciarias se conducen como un estado dentro del </w:t>
      </w:r>
      <w:r w:rsidR="00725268">
        <w:t>E</w:t>
      </w:r>
      <w:r w:rsidR="00FB30CB">
        <w:t xml:space="preserve">stado. </w:t>
      </w:r>
      <w:r w:rsidR="00FB30CB" w:rsidRPr="00FB30CB">
        <w:rPr>
          <w:b/>
        </w:rPr>
        <w:t>El SPT queda a la espera de información complementaria sobre la investigación y sobre la situación del interno en cuestión</w:t>
      </w:r>
      <w:r w:rsidR="00725268">
        <w:rPr>
          <w:b/>
        </w:rPr>
        <w:t xml:space="preserve"> y, en especial, que no haya sido ni sea víctima de eventuales represalias.</w:t>
      </w:r>
    </w:p>
    <w:p w:rsidR="0084497C" w:rsidRDefault="00B60AED" w:rsidP="000521FE">
      <w:pPr>
        <w:pStyle w:val="SingleTxtG"/>
      </w:pPr>
      <w:r>
        <w:t>77</w:t>
      </w:r>
      <w:r w:rsidR="00DB7C11">
        <w:t>.</w:t>
      </w:r>
      <w:r w:rsidR="00DB7C11">
        <w:tab/>
      </w:r>
      <w:r w:rsidR="00042FFC">
        <w:t>Más allá del incidente en cuestión</w:t>
      </w:r>
      <w:r w:rsidR="00574F51">
        <w:t xml:space="preserve">, </w:t>
      </w:r>
      <w:r w:rsidR="00042FFC">
        <w:t>el SPT percibió en la U1</w:t>
      </w:r>
      <w:r w:rsidR="00723F71">
        <w:t xml:space="preserve"> </w:t>
      </w:r>
      <w:r w:rsidR="00042FFC">
        <w:t xml:space="preserve">un clima palpable de brutalidad y miedo a todos los niveles. Aunque los internos, en general, eran reacios a hablar con los miembros del SPT y la actitud de los guardias </w:t>
      </w:r>
      <w:r w:rsidR="00574F51">
        <w:t xml:space="preserve">obstaculizó en gran medida poder realizar </w:t>
      </w:r>
      <w:r w:rsidR="00042FFC">
        <w:t>entrevistas confidenciales</w:t>
      </w:r>
      <w:r w:rsidR="00574F51">
        <w:t>,</w:t>
      </w:r>
      <w:r w:rsidR="00042FFC">
        <w:t xml:space="preserve"> algunos internos apuntaron a la existencia de muertes disfrazadas de suicidios</w:t>
      </w:r>
      <w:r w:rsidR="00E45090">
        <w:t xml:space="preserve">. Además, </w:t>
      </w:r>
      <w:r w:rsidR="00723F71">
        <w:t xml:space="preserve">el alto número de privados de libertad que </w:t>
      </w:r>
      <w:r w:rsidR="00D8617F">
        <w:t xml:space="preserve">esta institución </w:t>
      </w:r>
      <w:r w:rsidR="00723F71">
        <w:t xml:space="preserve">alberga, unido a </w:t>
      </w:r>
      <w:r w:rsidR="00E45090">
        <w:t xml:space="preserve">la vetustez, suciedad y deficiente mantenimiento del edificio, contribuyen a las condiciones inhumanas en las que viven y a una orientación </w:t>
      </w:r>
      <w:r w:rsidR="00723F71">
        <w:t>no menos inhumana d</w:t>
      </w:r>
      <w:r w:rsidR="00E45090">
        <w:t>e la gestión de los internos</w:t>
      </w:r>
      <w:r w:rsidR="00723F71">
        <w:t>.</w:t>
      </w:r>
      <w:r w:rsidR="00E45090">
        <w:t xml:space="preserve"> </w:t>
      </w:r>
    </w:p>
    <w:p w:rsidR="00723F71" w:rsidRDefault="00B60AED" w:rsidP="000521FE">
      <w:pPr>
        <w:pStyle w:val="SingleTxtG"/>
        <w:rPr>
          <w:b/>
        </w:rPr>
      </w:pPr>
      <w:r>
        <w:rPr>
          <w:b/>
        </w:rPr>
        <w:t>7</w:t>
      </w:r>
      <w:r w:rsidR="00DB7C11">
        <w:rPr>
          <w:b/>
        </w:rPr>
        <w:t>8.</w:t>
      </w:r>
      <w:r w:rsidR="00DB7C11">
        <w:rPr>
          <w:b/>
        </w:rPr>
        <w:tab/>
      </w:r>
      <w:r w:rsidR="00723F71" w:rsidRPr="00877AC2">
        <w:rPr>
          <w:b/>
        </w:rPr>
        <w:t>El SPT considera que la U</w:t>
      </w:r>
      <w:r w:rsidR="000D7ADC">
        <w:rPr>
          <w:b/>
        </w:rPr>
        <w:t xml:space="preserve">nidad </w:t>
      </w:r>
      <w:r w:rsidR="00723F71" w:rsidRPr="00877AC2">
        <w:rPr>
          <w:b/>
        </w:rPr>
        <w:t xml:space="preserve">1 </w:t>
      </w:r>
      <w:r w:rsidR="00877AC2">
        <w:rPr>
          <w:b/>
        </w:rPr>
        <w:t xml:space="preserve">Lisandro Olmos </w:t>
      </w:r>
      <w:r w:rsidR="00723F71" w:rsidRPr="00877AC2">
        <w:rPr>
          <w:b/>
        </w:rPr>
        <w:t>debe ser clausurada o com</w:t>
      </w:r>
      <w:r w:rsidR="00877AC2" w:rsidRPr="00877AC2">
        <w:rPr>
          <w:b/>
        </w:rPr>
        <w:t>pletamente remodelada.</w:t>
      </w:r>
    </w:p>
    <w:p w:rsidR="001823FF" w:rsidRDefault="00B60AED" w:rsidP="00D26C53">
      <w:pPr>
        <w:pStyle w:val="SingleTxtG"/>
      </w:pPr>
      <w:r>
        <w:t>79</w:t>
      </w:r>
      <w:r w:rsidR="00DB7C11">
        <w:rPr>
          <w:lang w:val="es-ES_tradnl"/>
        </w:rPr>
        <w:t>.</w:t>
      </w:r>
      <w:r w:rsidR="00DB7C11">
        <w:rPr>
          <w:lang w:val="es-ES_tradnl"/>
        </w:rPr>
        <w:tab/>
      </w:r>
      <w:r w:rsidR="001823FF">
        <w:rPr>
          <w:lang w:val="es-ES_tradnl"/>
        </w:rPr>
        <w:t>El</w:t>
      </w:r>
      <w:r w:rsidR="001823FF">
        <w:t xml:space="preserve"> SPT recibió testimonios sobre el recurso a la tortura como medida disciplinaria y para reprimir demandas de las </w:t>
      </w:r>
      <w:r w:rsidR="00466A0B">
        <w:t>PPL</w:t>
      </w:r>
      <w:r w:rsidR="001823FF">
        <w:t xml:space="preserve">. Ejemplo de estos testimonios fue el de una persona privada de libertad en una unidad federal que presentaba heridas en un  brazo como consecuencia  de una golpiza propinada por personal penitenciario </w:t>
      </w:r>
      <w:r w:rsidR="00D8617F">
        <w:t xml:space="preserve">con ocasión de una requisa, </w:t>
      </w:r>
      <w:r w:rsidR="001823FF">
        <w:t>en presencia de</w:t>
      </w:r>
      <w:r w:rsidR="00D8617F">
        <w:t>l</w:t>
      </w:r>
      <w:r w:rsidR="001823FF">
        <w:t xml:space="preserve"> director</w:t>
      </w:r>
      <w:r w:rsidR="00D8617F">
        <w:t>,</w:t>
      </w:r>
      <w:r w:rsidR="001823FF">
        <w:t xml:space="preserve"> subdirector</w:t>
      </w:r>
      <w:r w:rsidR="00D8617F">
        <w:t xml:space="preserve"> y personal médico</w:t>
      </w:r>
      <w:r w:rsidR="001823FF">
        <w:t xml:space="preserve"> de la unidad. Afirmó haber recibido golpes en las manos, pies y  la cabeza y quemaduras hechas con un fierro cal</w:t>
      </w:r>
      <w:r w:rsidR="00D26C53">
        <w:t xml:space="preserve">iente. </w:t>
      </w:r>
      <w:r w:rsidR="000D7ADC">
        <w:t>En una unidad del SPB</w:t>
      </w:r>
      <w:r w:rsidR="001823FF">
        <w:t xml:space="preserve"> el SPT recibió quejas de  agresión física y verbal por parte de la guardia contra mujeres privadas de libertad.</w:t>
      </w:r>
    </w:p>
    <w:p w:rsidR="00362D2A" w:rsidRDefault="00DB7C11" w:rsidP="00362D2A">
      <w:pPr>
        <w:pStyle w:val="SingleTxtG"/>
        <w:rPr>
          <w:lang w:val="es-GT"/>
        </w:rPr>
      </w:pPr>
      <w:r>
        <w:rPr>
          <w:lang w:val="es-GT"/>
        </w:rPr>
        <w:t>8</w:t>
      </w:r>
      <w:r w:rsidR="00D26C53">
        <w:rPr>
          <w:lang w:val="es-GT"/>
        </w:rPr>
        <w:t>0</w:t>
      </w:r>
      <w:r>
        <w:rPr>
          <w:lang w:val="es-GT"/>
        </w:rPr>
        <w:t>.</w:t>
      </w:r>
      <w:r>
        <w:rPr>
          <w:lang w:val="es-GT"/>
        </w:rPr>
        <w:tab/>
      </w:r>
      <w:r w:rsidR="00362D2A" w:rsidRPr="003E59BC">
        <w:rPr>
          <w:lang w:val="es-GT"/>
        </w:rPr>
        <w:t>El SPT recibi</w:t>
      </w:r>
      <w:r w:rsidR="00362D2A">
        <w:rPr>
          <w:lang w:val="es-GT"/>
        </w:rPr>
        <w:t xml:space="preserve">ó alegaciones que las requisas que practicaba la guardia dentro de los pabellones y </w:t>
      </w:r>
      <w:r w:rsidR="00110934">
        <w:rPr>
          <w:lang w:val="es-GT"/>
        </w:rPr>
        <w:t>después de las</w:t>
      </w:r>
      <w:r w:rsidR="00362D2A">
        <w:rPr>
          <w:lang w:val="es-GT"/>
        </w:rPr>
        <w:t xml:space="preserve"> visitas incluían  flexiones repetitivas en desnudo</w:t>
      </w:r>
      <w:r w:rsidR="00110934">
        <w:rPr>
          <w:lang w:val="es-GT"/>
        </w:rPr>
        <w:t xml:space="preserve"> y</w:t>
      </w:r>
      <w:r w:rsidR="00362D2A">
        <w:rPr>
          <w:lang w:val="es-GT"/>
        </w:rPr>
        <w:t xml:space="preserve"> se utilizaban como una forma de sancionar y amedrentar a los internos. </w:t>
      </w:r>
    </w:p>
    <w:p w:rsidR="001823FF" w:rsidRDefault="000D7ADC" w:rsidP="001823FF">
      <w:pPr>
        <w:pStyle w:val="SingleTxtG"/>
      </w:pPr>
      <w:r>
        <w:t>8</w:t>
      </w:r>
      <w:r w:rsidR="00D26C53">
        <w:t>1</w:t>
      </w:r>
      <w:r w:rsidR="00DB7C11">
        <w:t>.</w:t>
      </w:r>
      <w:r w:rsidR="00DB7C11">
        <w:tab/>
      </w:r>
      <w:r w:rsidR="001823FF">
        <w:t xml:space="preserve">Al SPT le preocupa el uso recurrente y sistemático de armas y exceso de fuerza por parte del sistema penitenciario. El SPT fue testigo de un operativo de seguridad en la U3 </w:t>
      </w:r>
      <w:r>
        <w:t xml:space="preserve">con ocasión de </w:t>
      </w:r>
      <w:r w:rsidR="001823FF">
        <w:t xml:space="preserve">una requisa. Varios testimonios indicaron que minutos antes </w:t>
      </w:r>
      <w:r w:rsidR="00E53B71">
        <w:t xml:space="preserve">la guardia realizó </w:t>
      </w:r>
      <w:r w:rsidR="001823FF">
        <w:t xml:space="preserve">disparos con balas de caucho y disparaba directa y cercanamente contra las </w:t>
      </w:r>
      <w:r w:rsidR="00466A0B">
        <w:t>PPL</w:t>
      </w:r>
      <w:r w:rsidR="001823FF">
        <w:t xml:space="preserve"> en casos de desórdenes. Los agentes obligaron a cada </w:t>
      </w:r>
      <w:r w:rsidR="008512B8">
        <w:t>interno</w:t>
      </w:r>
      <w:r w:rsidR="001823FF">
        <w:t xml:space="preserve"> a desnudarse y revisar su ropa frente a ellos y autoridades penitenciarias.</w:t>
      </w:r>
    </w:p>
    <w:p w:rsidR="00D26C53" w:rsidRDefault="00D26C53" w:rsidP="001823FF">
      <w:pPr>
        <w:pStyle w:val="SingleTxtG"/>
      </w:pPr>
      <w:r>
        <w:rPr>
          <w:lang w:val="es-ES_tradnl"/>
        </w:rPr>
        <w:t>82.</w:t>
      </w:r>
      <w:r>
        <w:rPr>
          <w:lang w:val="es-ES_tradnl"/>
        </w:rPr>
        <w:tab/>
        <w:t>Preocupa igualmente al SPT el número de muertes tratadas como suicidios y las causadas por incendios, así como la falta de investigación para aclararlas y deducir responsabilidades.</w:t>
      </w:r>
    </w:p>
    <w:p w:rsidR="000B0896" w:rsidRDefault="009F51BB" w:rsidP="004252C5">
      <w:pPr>
        <w:pStyle w:val="SingleTxtG"/>
        <w:rPr>
          <w:lang w:val="es-ES_tradnl"/>
        </w:rPr>
      </w:pPr>
      <w:r>
        <w:rPr>
          <w:lang w:val="es-ES_tradnl"/>
        </w:rPr>
        <w:t>8</w:t>
      </w:r>
      <w:r w:rsidR="00D26C53">
        <w:rPr>
          <w:lang w:val="es-ES_tradnl"/>
        </w:rPr>
        <w:t>3</w:t>
      </w:r>
      <w:r w:rsidR="000D7ADC">
        <w:rPr>
          <w:lang w:val="es-ES_tradnl"/>
        </w:rPr>
        <w:t>.</w:t>
      </w:r>
      <w:r w:rsidR="000D7ADC">
        <w:rPr>
          <w:lang w:val="es-ES_tradnl"/>
        </w:rPr>
        <w:tab/>
      </w:r>
      <w:r w:rsidR="00D26C53">
        <w:rPr>
          <w:lang w:val="es-ES_tradnl"/>
        </w:rPr>
        <w:t>Est</w:t>
      </w:r>
      <w:r w:rsidR="000B0896">
        <w:rPr>
          <w:lang w:val="es-ES_tradnl"/>
        </w:rPr>
        <w:t>e escenario de violencia coincide con información obtenida de otros organismos de protección de derechos humanos</w:t>
      </w:r>
      <w:r w:rsidR="004252C5">
        <w:rPr>
          <w:lang w:val="es-ES_tradnl"/>
        </w:rPr>
        <w:t xml:space="preserve"> durante la fecha de la visita del SPT, en particular con la adopción de medidas cautelares por parte de la Comisión Interamericana de Derechos Humanos a favor de personas detenidas en las Unidades 46, 47 y 48 del Servicio Penitenciario Bonaerense. </w:t>
      </w:r>
    </w:p>
    <w:p w:rsidR="00AB6F52" w:rsidRDefault="00D26C53" w:rsidP="001823FF">
      <w:pPr>
        <w:pStyle w:val="SingleTxtG"/>
        <w:rPr>
          <w:b/>
        </w:rPr>
      </w:pPr>
      <w:r>
        <w:rPr>
          <w:b/>
          <w:lang w:val="es-ES_tradnl"/>
        </w:rPr>
        <w:t>84</w:t>
      </w:r>
      <w:r w:rsidR="00DB7C11">
        <w:rPr>
          <w:b/>
        </w:rPr>
        <w:t>.</w:t>
      </w:r>
      <w:r w:rsidR="00DB7C11">
        <w:rPr>
          <w:b/>
        </w:rPr>
        <w:tab/>
      </w:r>
      <w:r w:rsidR="008B4D4C">
        <w:rPr>
          <w:b/>
        </w:rPr>
        <w:t>El SPT considera que</w:t>
      </w:r>
      <w:r w:rsidR="001823FF" w:rsidRPr="00334521">
        <w:rPr>
          <w:b/>
        </w:rPr>
        <w:t xml:space="preserve"> la tortura y los malos tratos </w:t>
      </w:r>
      <w:r w:rsidR="008B4D4C">
        <w:rPr>
          <w:b/>
        </w:rPr>
        <w:t xml:space="preserve">forman parte de una situación </w:t>
      </w:r>
      <w:r w:rsidR="000521FE">
        <w:rPr>
          <w:b/>
        </w:rPr>
        <w:t xml:space="preserve">de </w:t>
      </w:r>
      <w:r w:rsidR="001823FF" w:rsidRPr="00334521">
        <w:rPr>
          <w:b/>
        </w:rPr>
        <w:t>violencia estructural en condición de encierro</w:t>
      </w:r>
      <w:r w:rsidR="008B4D4C">
        <w:rPr>
          <w:b/>
        </w:rPr>
        <w:t xml:space="preserve"> y constituyen prácticas fuertemente arraigadas en la manera de proceder del personal penitenciario</w:t>
      </w:r>
      <w:r w:rsidR="00072174">
        <w:rPr>
          <w:b/>
        </w:rPr>
        <w:t xml:space="preserve"> en Argentina</w:t>
      </w:r>
      <w:r w:rsidR="008B4D4C">
        <w:rPr>
          <w:b/>
        </w:rPr>
        <w:t>.</w:t>
      </w:r>
      <w:r w:rsidR="00BB35D0">
        <w:rPr>
          <w:b/>
        </w:rPr>
        <w:t xml:space="preserve"> Autoridades judiciales y gubernamentales de la Provincia de Buenos Aires explicaron al SPT las medidas </w:t>
      </w:r>
      <w:r w:rsidR="00AB6F52">
        <w:rPr>
          <w:b/>
        </w:rPr>
        <w:t>adoptadas</w:t>
      </w:r>
      <w:r w:rsidR="00BB35D0">
        <w:rPr>
          <w:b/>
        </w:rPr>
        <w:t xml:space="preserve"> para combatir la tortura y malos tratos</w:t>
      </w:r>
      <w:r w:rsidR="00AB6F52">
        <w:rPr>
          <w:b/>
        </w:rPr>
        <w:t>, pero manifestaron que el sistema de prevención es incipiente</w:t>
      </w:r>
      <w:r w:rsidR="00E97BD6">
        <w:rPr>
          <w:b/>
        </w:rPr>
        <w:t xml:space="preserve">, </w:t>
      </w:r>
      <w:r w:rsidR="00AB6F52">
        <w:rPr>
          <w:b/>
        </w:rPr>
        <w:t>que es mucho lo que queda por hacer</w:t>
      </w:r>
      <w:r w:rsidR="00E97BD6">
        <w:rPr>
          <w:b/>
        </w:rPr>
        <w:t xml:space="preserve"> y que </w:t>
      </w:r>
      <w:r w:rsidR="00752631">
        <w:rPr>
          <w:b/>
        </w:rPr>
        <w:t>la obtención de resultados pasa por la coordinación y cooperación entre las</w:t>
      </w:r>
      <w:r w:rsidR="005E04BF">
        <w:rPr>
          <w:b/>
        </w:rPr>
        <w:t xml:space="preserve"> diferentes</w:t>
      </w:r>
      <w:r w:rsidR="00752631">
        <w:rPr>
          <w:b/>
        </w:rPr>
        <w:t xml:space="preserve"> instituciones con competencia en la materia</w:t>
      </w:r>
      <w:r w:rsidR="00AB6F52">
        <w:rPr>
          <w:b/>
        </w:rPr>
        <w:t>.</w:t>
      </w:r>
    </w:p>
    <w:p w:rsidR="001823FF" w:rsidRDefault="00D26C53" w:rsidP="001823FF">
      <w:pPr>
        <w:pStyle w:val="SingleTxtG"/>
        <w:rPr>
          <w:b/>
        </w:rPr>
      </w:pPr>
      <w:r>
        <w:rPr>
          <w:b/>
        </w:rPr>
        <w:t>85</w:t>
      </w:r>
      <w:r w:rsidR="00DB7C11">
        <w:rPr>
          <w:b/>
        </w:rPr>
        <w:t>.</w:t>
      </w:r>
      <w:r w:rsidR="00DB7C11">
        <w:rPr>
          <w:b/>
        </w:rPr>
        <w:tab/>
      </w:r>
      <w:r w:rsidR="00AB6F52">
        <w:rPr>
          <w:b/>
        </w:rPr>
        <w:t xml:space="preserve">El </w:t>
      </w:r>
      <w:r w:rsidR="001823FF" w:rsidRPr="00334521">
        <w:rPr>
          <w:b/>
        </w:rPr>
        <w:t xml:space="preserve">SPT recomienda la elaboración e implementación de un plan nacional penitenciario de combate </w:t>
      </w:r>
      <w:r w:rsidR="001823FF">
        <w:rPr>
          <w:b/>
        </w:rPr>
        <w:t>a</w:t>
      </w:r>
      <w:r w:rsidR="001823FF" w:rsidRPr="00334521">
        <w:rPr>
          <w:b/>
        </w:rPr>
        <w:t xml:space="preserve"> la violencia estructural que incluya</w:t>
      </w:r>
      <w:r w:rsidR="001823FF">
        <w:rPr>
          <w:b/>
        </w:rPr>
        <w:t>:</w:t>
      </w:r>
    </w:p>
    <w:p w:rsidR="001823FF" w:rsidRDefault="001823FF" w:rsidP="001823FF">
      <w:pPr>
        <w:pStyle w:val="SingleTxtG"/>
        <w:ind w:firstLine="567"/>
        <w:rPr>
          <w:b/>
        </w:rPr>
      </w:pPr>
      <w:r w:rsidRPr="00334521">
        <w:rPr>
          <w:b/>
        </w:rPr>
        <w:t>a)</w:t>
      </w:r>
      <w:r w:rsidRPr="00334521">
        <w:rPr>
          <w:b/>
        </w:rPr>
        <w:tab/>
        <w:t xml:space="preserve">Mejorar las condiciones del personal penitenciario, en lo relativo a su capacitación y actualización permanente en materia de derechos humanos aplicados a la función penitenciaria, con miras a lograr un cambio de cultura institucional en el </w:t>
      </w:r>
      <w:r>
        <w:rPr>
          <w:b/>
        </w:rPr>
        <w:t xml:space="preserve">que las cuestiones de seguridad dejen de tener primacía y se ponga el énfasis en la asistencia y el </w:t>
      </w:r>
      <w:r w:rsidRPr="00334521">
        <w:rPr>
          <w:b/>
        </w:rPr>
        <w:t xml:space="preserve">trato digno a las </w:t>
      </w:r>
      <w:r w:rsidR="00466A0B">
        <w:rPr>
          <w:b/>
        </w:rPr>
        <w:t>PPL</w:t>
      </w:r>
      <w:r w:rsidRPr="00334521">
        <w:rPr>
          <w:b/>
        </w:rPr>
        <w:t>. Los protocolos de formación y actuación penitenciaria deberán revisarse en el mismo sentido</w:t>
      </w:r>
      <w:r w:rsidR="00F015E1">
        <w:rPr>
          <w:b/>
        </w:rPr>
        <w:t xml:space="preserve"> y adecuarse a la doctrina de los derechos humanos en situación de encierro</w:t>
      </w:r>
      <w:r>
        <w:rPr>
          <w:b/>
        </w:rPr>
        <w:t>;</w:t>
      </w:r>
    </w:p>
    <w:p w:rsidR="001823FF" w:rsidRDefault="001823FF" w:rsidP="001823FF">
      <w:pPr>
        <w:pStyle w:val="SingleTxtG"/>
        <w:ind w:firstLine="567"/>
        <w:rPr>
          <w:b/>
        </w:rPr>
      </w:pPr>
      <w:r>
        <w:rPr>
          <w:b/>
        </w:rPr>
        <w:t>b)</w:t>
      </w:r>
      <w:r>
        <w:rPr>
          <w:b/>
        </w:rPr>
        <w:tab/>
        <w:t>Velar</w:t>
      </w:r>
      <w:r w:rsidRPr="00277BE2">
        <w:rPr>
          <w:b/>
        </w:rPr>
        <w:t xml:space="preserve"> por</w:t>
      </w:r>
      <w:r w:rsidR="006B149B">
        <w:rPr>
          <w:b/>
        </w:rPr>
        <w:t xml:space="preserve"> </w:t>
      </w:r>
      <w:r w:rsidRPr="00277BE2">
        <w:rPr>
          <w:b/>
        </w:rPr>
        <w:t>que la consignación presupuestaria destinada a los servicios penitenciarios sea suficiente para que esté integrada por personal motivado</w:t>
      </w:r>
      <w:r w:rsidR="00FA12F3">
        <w:rPr>
          <w:b/>
        </w:rPr>
        <w:t>,</w:t>
      </w:r>
      <w:r w:rsidRPr="00277BE2">
        <w:rPr>
          <w:b/>
        </w:rPr>
        <w:t xml:space="preserve"> </w:t>
      </w:r>
      <w:r w:rsidR="0028289D">
        <w:rPr>
          <w:b/>
        </w:rPr>
        <w:t>debidamente remunerado</w:t>
      </w:r>
      <w:r w:rsidR="00FA12F3">
        <w:rPr>
          <w:b/>
        </w:rPr>
        <w:t xml:space="preserve"> y en número suficiente para atender las necesidades de los centros</w:t>
      </w:r>
      <w:r>
        <w:rPr>
          <w:b/>
        </w:rPr>
        <w:t xml:space="preserve">; </w:t>
      </w:r>
    </w:p>
    <w:p w:rsidR="001823FF" w:rsidRDefault="001823FF" w:rsidP="001823FF">
      <w:pPr>
        <w:pStyle w:val="SingleTxtG"/>
        <w:ind w:firstLine="567"/>
        <w:rPr>
          <w:b/>
        </w:rPr>
      </w:pPr>
      <w:r>
        <w:rPr>
          <w:b/>
        </w:rPr>
        <w:t>c</w:t>
      </w:r>
      <w:r w:rsidRPr="00334521">
        <w:rPr>
          <w:b/>
        </w:rPr>
        <w:t>)</w:t>
      </w:r>
      <w:r w:rsidRPr="00334521">
        <w:rPr>
          <w:b/>
        </w:rPr>
        <w:tab/>
        <w:t>Efectuar una evaluación de puestos y desempeño en todos los niveles, en especial de los agentes penitenciarios de primer contacto;</w:t>
      </w:r>
    </w:p>
    <w:p w:rsidR="00067FB5" w:rsidRDefault="00067FB5" w:rsidP="001823FF">
      <w:pPr>
        <w:pStyle w:val="SingleTxtG"/>
        <w:ind w:firstLine="567"/>
        <w:rPr>
          <w:b/>
        </w:rPr>
      </w:pPr>
      <w:r>
        <w:rPr>
          <w:b/>
        </w:rPr>
        <w:t>d)</w:t>
      </w:r>
      <w:r>
        <w:rPr>
          <w:b/>
        </w:rPr>
        <w:tab/>
        <w:t>Fortalecer mecanismos externos de control y políticas eficaces de protección de víctimas y testigos de hechos de violencia, torturas y malos tratos</w:t>
      </w:r>
      <w:r w:rsidR="00AD2951">
        <w:rPr>
          <w:b/>
        </w:rPr>
        <w:t>. En este marco el SPT recomienda que se garantice a la Procuración Penitenciaria el acceso a los sumarios de responsabilidad administrativa</w:t>
      </w:r>
      <w:r>
        <w:rPr>
          <w:b/>
        </w:rPr>
        <w:t>;</w:t>
      </w:r>
    </w:p>
    <w:p w:rsidR="001823FF" w:rsidRDefault="00067FB5" w:rsidP="001823FF">
      <w:pPr>
        <w:pStyle w:val="SingleTxtG"/>
        <w:ind w:firstLine="567"/>
        <w:rPr>
          <w:b/>
        </w:rPr>
      </w:pPr>
      <w:r>
        <w:rPr>
          <w:b/>
        </w:rPr>
        <w:t>e</w:t>
      </w:r>
      <w:r w:rsidR="001823FF" w:rsidRPr="00334521">
        <w:rPr>
          <w:b/>
        </w:rPr>
        <w:t>)</w:t>
      </w:r>
      <w:r w:rsidR="001823FF" w:rsidRPr="00334521">
        <w:rPr>
          <w:b/>
        </w:rPr>
        <w:tab/>
        <w:t xml:space="preserve">Establecer un sistema transparente y sin riesgo para que los privados de libertad puedan canalizar sus quejas y reclamos administrativos por </w:t>
      </w:r>
      <w:r w:rsidR="001823FF">
        <w:rPr>
          <w:b/>
        </w:rPr>
        <w:t>casos de tortura y malos tratos</w:t>
      </w:r>
      <w:r w:rsidR="00F015E1">
        <w:rPr>
          <w:b/>
        </w:rPr>
        <w:t xml:space="preserve"> o de cualquier otra naturaleza</w:t>
      </w:r>
      <w:r w:rsidR="001823FF">
        <w:rPr>
          <w:b/>
        </w:rPr>
        <w:t>. En este sentido, el SPT toma nota de que, con posterioridad a su visita, el SPB decidió instalar un sistema de urnas para canalizar quejas en forma confidencial a las cuales sólo el director de cada unidad tendrá acceso. El SPT solicita información sobre los resultados</w:t>
      </w:r>
      <w:r w:rsidR="00F015E1">
        <w:rPr>
          <w:b/>
        </w:rPr>
        <w:t xml:space="preserve"> y el impacto</w:t>
      </w:r>
      <w:r w:rsidR="001823FF">
        <w:rPr>
          <w:b/>
        </w:rPr>
        <w:t xml:space="preserve"> obtenido mediante este sistema.</w:t>
      </w:r>
    </w:p>
    <w:p w:rsidR="001823FF" w:rsidRPr="001823FF" w:rsidRDefault="006B149B" w:rsidP="005D7E1A">
      <w:pPr>
        <w:pStyle w:val="SingleTxtG"/>
        <w:rPr>
          <w:b/>
          <w:lang w:val="es-ES_tradnl"/>
        </w:rPr>
      </w:pPr>
      <w:r>
        <w:rPr>
          <w:b/>
          <w:lang w:val="es-ES_tradnl"/>
        </w:rPr>
        <w:t>86</w:t>
      </w:r>
      <w:r w:rsidR="00DB7C11">
        <w:rPr>
          <w:b/>
          <w:lang w:val="es-ES_tradnl"/>
        </w:rPr>
        <w:t>.</w:t>
      </w:r>
      <w:r w:rsidR="00DB7C11">
        <w:rPr>
          <w:b/>
          <w:lang w:val="es-ES_tradnl"/>
        </w:rPr>
        <w:tab/>
      </w:r>
      <w:r w:rsidR="00362D2A">
        <w:rPr>
          <w:b/>
          <w:lang w:val="es-ES_tradnl"/>
        </w:rPr>
        <w:t>Igualmente, el SPT insta al Estado Parte a que:</w:t>
      </w:r>
    </w:p>
    <w:p w:rsidR="00362D2A" w:rsidRDefault="005A4EAE" w:rsidP="00362D2A">
      <w:pPr>
        <w:pStyle w:val="SingleTxtG"/>
        <w:ind w:firstLine="567"/>
        <w:rPr>
          <w:b/>
          <w:lang w:val="es-GT"/>
        </w:rPr>
      </w:pPr>
      <w:r w:rsidRPr="00623D48">
        <w:rPr>
          <w:b/>
          <w:lang w:val="es-GT"/>
        </w:rPr>
        <w:t>a)</w:t>
      </w:r>
      <w:r w:rsidRPr="00623D48">
        <w:rPr>
          <w:b/>
          <w:lang w:val="es-GT"/>
        </w:rPr>
        <w:tab/>
      </w:r>
      <w:r w:rsidR="00362D2A" w:rsidRPr="00623D48">
        <w:rPr>
          <w:b/>
          <w:lang w:val="es-GT"/>
        </w:rPr>
        <w:t xml:space="preserve">Reafirme inequívocamente la prohibición absoluta de la tortura y condene públicamente tal práctica, </w:t>
      </w:r>
      <w:r w:rsidR="00362D2A">
        <w:rPr>
          <w:b/>
          <w:lang w:val="es-GT"/>
        </w:rPr>
        <w:t xml:space="preserve">señalando </w:t>
      </w:r>
      <w:r w:rsidR="00362D2A" w:rsidRPr="00623D48">
        <w:rPr>
          <w:b/>
          <w:lang w:val="es-GT"/>
        </w:rPr>
        <w:t xml:space="preserve"> que quien cometa tales actos o se haga cómplice o partícipe de torturas </w:t>
      </w:r>
      <w:r w:rsidR="00362D2A">
        <w:rPr>
          <w:b/>
          <w:lang w:val="es-GT"/>
        </w:rPr>
        <w:t>incurrirá en responsabilidad penal</w:t>
      </w:r>
      <w:r w:rsidR="00F015E1">
        <w:rPr>
          <w:b/>
          <w:lang w:val="es-GT"/>
        </w:rPr>
        <w:t xml:space="preserve"> y civil y podría comprometer la responsabilidad internacional del Estado (responsabilidad objetiva)</w:t>
      </w:r>
      <w:r w:rsidR="00362D2A">
        <w:rPr>
          <w:b/>
          <w:lang w:val="es-GT"/>
        </w:rPr>
        <w:t>;</w:t>
      </w:r>
    </w:p>
    <w:p w:rsidR="005A4EAE" w:rsidRDefault="00362D2A" w:rsidP="005A4EAE">
      <w:pPr>
        <w:pStyle w:val="SingleTxtG"/>
        <w:ind w:firstLine="567"/>
        <w:rPr>
          <w:b/>
          <w:lang w:val="es-GT"/>
        </w:rPr>
      </w:pPr>
      <w:r w:rsidRPr="00623D48">
        <w:rPr>
          <w:b/>
          <w:lang w:val="es-GT"/>
        </w:rPr>
        <w:t>b)</w:t>
      </w:r>
      <w:r>
        <w:rPr>
          <w:b/>
          <w:lang w:val="es-GT"/>
        </w:rPr>
        <w:tab/>
      </w:r>
      <w:r w:rsidR="005A4EAE" w:rsidRPr="00623D48">
        <w:rPr>
          <w:b/>
          <w:lang w:val="es-GT"/>
        </w:rPr>
        <w:t>Garantice la investigación diligente e imparcial de todas las denuncias de tortura y malos tratos</w:t>
      </w:r>
      <w:r w:rsidR="006666AC">
        <w:rPr>
          <w:b/>
          <w:lang w:val="es-GT"/>
        </w:rPr>
        <w:t xml:space="preserve"> que se produzcan dentro del sistema penitenciario</w:t>
      </w:r>
      <w:r w:rsidR="0098158F">
        <w:rPr>
          <w:b/>
          <w:lang w:val="es-GT"/>
        </w:rPr>
        <w:t>. En este sentido solicita al Estado parte le proporcione datos estadísticos sobre investigaciones  administrativas y judiciales realizadas en casos de muertes violentas, torturas y malos tratos</w:t>
      </w:r>
      <w:r w:rsidR="005A4EAE">
        <w:rPr>
          <w:b/>
          <w:lang w:val="es-GT"/>
        </w:rPr>
        <w:t>;</w:t>
      </w:r>
    </w:p>
    <w:p w:rsidR="005A4EAE" w:rsidRDefault="005A4EAE" w:rsidP="005A4EAE">
      <w:pPr>
        <w:pStyle w:val="SingleTxtG"/>
        <w:ind w:firstLine="567"/>
        <w:rPr>
          <w:b/>
          <w:lang w:val="es-GT"/>
        </w:rPr>
      </w:pPr>
      <w:r w:rsidRPr="00623D48">
        <w:rPr>
          <w:b/>
          <w:lang w:val="es-GT"/>
        </w:rPr>
        <w:t>c)</w:t>
      </w:r>
      <w:r w:rsidRPr="00623D48">
        <w:rPr>
          <w:b/>
          <w:lang w:val="es-GT"/>
        </w:rPr>
        <w:tab/>
        <w:t>Vele por</w:t>
      </w:r>
      <w:r w:rsidR="006B149B">
        <w:rPr>
          <w:b/>
          <w:lang w:val="es-GT"/>
        </w:rPr>
        <w:t xml:space="preserve"> </w:t>
      </w:r>
      <w:r w:rsidRPr="00623D48">
        <w:rPr>
          <w:b/>
          <w:lang w:val="es-GT"/>
        </w:rPr>
        <w:t xml:space="preserve">que en caso de tortura y malos tratos, los presuntos </w:t>
      </w:r>
      <w:r w:rsidR="00804524">
        <w:rPr>
          <w:b/>
          <w:lang w:val="es-GT"/>
        </w:rPr>
        <w:t>responsables</w:t>
      </w:r>
      <w:r w:rsidRPr="00623D48">
        <w:rPr>
          <w:b/>
          <w:lang w:val="es-GT"/>
        </w:rPr>
        <w:t xml:space="preserve"> sean inmediatamente suspendidos de sus funciones mientras dure la investigación y sean destituidos si son declarados culpables</w:t>
      </w:r>
      <w:r>
        <w:rPr>
          <w:b/>
          <w:lang w:val="es-GT"/>
        </w:rPr>
        <w:t>;</w:t>
      </w:r>
    </w:p>
    <w:p w:rsidR="008653E1" w:rsidRDefault="001823FF" w:rsidP="001823FF">
      <w:pPr>
        <w:pStyle w:val="SingleTxtG"/>
      </w:pPr>
      <w:r w:rsidRPr="00F6054B">
        <w:tab/>
      </w:r>
      <w:r w:rsidR="00362D2A" w:rsidRPr="00042FFC">
        <w:rPr>
          <w:b/>
        </w:rPr>
        <w:t>d)</w:t>
      </w:r>
      <w:r w:rsidR="00362D2A" w:rsidRPr="00042FFC">
        <w:rPr>
          <w:b/>
        </w:rPr>
        <w:tab/>
      </w:r>
      <w:r w:rsidR="008653E1">
        <w:rPr>
          <w:b/>
        </w:rPr>
        <w:t>Modifique la reglamentación en materia de requisas para garantizar el respeto a la dignidad y los derechos tanto de los privados de libertad como de las personas que los visitan;</w:t>
      </w:r>
    </w:p>
    <w:p w:rsidR="005A4EAE" w:rsidRPr="005A4EAE" w:rsidRDefault="00BD4478" w:rsidP="005A4EAE">
      <w:pPr>
        <w:pStyle w:val="SingleTxtG"/>
        <w:ind w:firstLine="567"/>
        <w:rPr>
          <w:lang w:val="es-ES_tradnl"/>
        </w:rPr>
      </w:pPr>
      <w:r>
        <w:rPr>
          <w:b/>
          <w:lang w:val="es-GT"/>
        </w:rPr>
        <w:t>e</w:t>
      </w:r>
      <w:r w:rsidR="005A4EAE" w:rsidRPr="00623D48">
        <w:rPr>
          <w:b/>
          <w:lang w:val="es-GT"/>
        </w:rPr>
        <w:t>)</w:t>
      </w:r>
      <w:r w:rsidR="005A4EAE" w:rsidRPr="00623D48">
        <w:rPr>
          <w:b/>
          <w:lang w:val="es-GT"/>
        </w:rPr>
        <w:tab/>
        <w:t xml:space="preserve">Establezca reglas claras sobre el uso </w:t>
      </w:r>
      <w:r w:rsidR="00804524">
        <w:rPr>
          <w:b/>
          <w:lang w:val="es-GT"/>
        </w:rPr>
        <w:t xml:space="preserve">de </w:t>
      </w:r>
      <w:r w:rsidR="005A4EAE">
        <w:rPr>
          <w:b/>
          <w:lang w:val="es-GT"/>
        </w:rPr>
        <w:t>armas dentro de los recintos</w:t>
      </w:r>
      <w:r w:rsidR="005A4EAE" w:rsidRPr="00623D48">
        <w:rPr>
          <w:b/>
          <w:lang w:val="es-GT"/>
        </w:rPr>
        <w:t xml:space="preserve">, para garantizar que </w:t>
      </w:r>
      <w:r w:rsidR="00804524">
        <w:rPr>
          <w:b/>
          <w:lang w:val="es-GT"/>
        </w:rPr>
        <w:t xml:space="preserve">dicho uso </w:t>
      </w:r>
      <w:r w:rsidR="005A4EAE" w:rsidRPr="00623D48">
        <w:rPr>
          <w:b/>
          <w:lang w:val="es-GT"/>
        </w:rPr>
        <w:t>se ajuste estrictamente a los principios de proporcionalidad y necesidad. Debe llevarse un registro del uso de todos los medios coercitivos, incluidos los no letales</w:t>
      </w:r>
      <w:r w:rsidR="005A4EAE">
        <w:rPr>
          <w:b/>
          <w:lang w:val="es-GT"/>
        </w:rPr>
        <w:t>.</w:t>
      </w:r>
    </w:p>
    <w:p w:rsidR="00362D2A" w:rsidRPr="001823FF" w:rsidRDefault="006B149B" w:rsidP="00362D2A">
      <w:pPr>
        <w:pStyle w:val="SingleTxtG"/>
        <w:rPr>
          <w:b/>
          <w:lang w:val="es-ES_tradnl"/>
        </w:rPr>
      </w:pPr>
      <w:r>
        <w:rPr>
          <w:lang w:val="es-ES_tradnl"/>
        </w:rPr>
        <w:t>87</w:t>
      </w:r>
      <w:r w:rsidR="00DB7C11">
        <w:rPr>
          <w:lang w:val="es-ES_tradnl"/>
        </w:rPr>
        <w:t>.</w:t>
      </w:r>
      <w:r w:rsidR="00DB7C11">
        <w:rPr>
          <w:lang w:val="es-ES_tradnl"/>
        </w:rPr>
        <w:tab/>
      </w:r>
      <w:r w:rsidR="00362D2A" w:rsidRPr="00E209E4">
        <w:rPr>
          <w:lang w:val="es-ES_tradnl"/>
        </w:rPr>
        <w:t>El SPT toma nota de la información proporcionada por el Estado de que, con posterioridad a su visita, se ha conformado una comisión para estudiar el rol de los llamados “limpieza”.</w:t>
      </w:r>
      <w:r w:rsidR="00362D2A" w:rsidRPr="001823FF">
        <w:rPr>
          <w:b/>
          <w:lang w:val="es-ES_tradnl"/>
        </w:rPr>
        <w:t xml:space="preserve"> El SPT espera ser informado de las conclusiones de dicho estudio.</w:t>
      </w:r>
    </w:p>
    <w:p w:rsidR="001823FF" w:rsidRDefault="006B149B" w:rsidP="001823FF">
      <w:pPr>
        <w:pStyle w:val="SingleTxtG"/>
        <w:rPr>
          <w:lang w:val="es-ES_tradnl"/>
        </w:rPr>
      </w:pPr>
      <w:r>
        <w:t>88</w:t>
      </w:r>
      <w:r w:rsidR="00DB7C11">
        <w:t>.</w:t>
      </w:r>
      <w:r w:rsidR="00DB7C11">
        <w:tab/>
      </w:r>
      <w:r w:rsidR="001823FF">
        <w:t>E</w:t>
      </w:r>
      <w:r w:rsidR="001823FF" w:rsidRPr="00F964B3">
        <w:t xml:space="preserve">l SPT </w:t>
      </w:r>
      <w:r w:rsidR="001823FF">
        <w:t xml:space="preserve">entrevistó a algunos internos en </w:t>
      </w:r>
      <w:r w:rsidR="00820048">
        <w:t xml:space="preserve">unidades de </w:t>
      </w:r>
      <w:r w:rsidR="001823FF">
        <w:t xml:space="preserve">la provincia de Buenos Aires a quienes se les aplicaba </w:t>
      </w:r>
      <w:r w:rsidR="001823FF" w:rsidRPr="00F964B3">
        <w:t xml:space="preserve"> </w:t>
      </w:r>
      <w:r w:rsidR="001823FF">
        <w:t xml:space="preserve">el “Programa de Pabellones de Prevención de Violencia”, consistente en mantener a la persona en </w:t>
      </w:r>
      <w:r w:rsidR="001823FF" w:rsidRPr="00F964B3">
        <w:t xml:space="preserve">un régimen de aislamiento durante 23 horas por una hora de salida </w:t>
      </w:r>
      <w:r w:rsidR="00820048">
        <w:t xml:space="preserve">a patio </w:t>
      </w:r>
      <w:r w:rsidR="001823FF" w:rsidRPr="00F964B3">
        <w:t>individual</w:t>
      </w:r>
      <w:r w:rsidR="00820048">
        <w:t>,</w:t>
      </w:r>
      <w:r w:rsidR="001823FF" w:rsidRPr="00F964B3">
        <w:t xml:space="preserve"> durante nueve meses</w:t>
      </w:r>
      <w:r w:rsidR="001823FF">
        <w:t>. Este programa, sin embargo, no parecía  abordar las causas generadoras de la violencia</w:t>
      </w:r>
      <w:r w:rsidR="001823FF" w:rsidRPr="00F964B3">
        <w:t xml:space="preserve">. </w:t>
      </w:r>
      <w:r w:rsidR="001823FF">
        <w:t xml:space="preserve">El SPT toma nota de la información proporcionada por el Estado Parte de que, con posterioridad a la visita, se realizó una evaluación del Programa y se decidió dejarlo sin efecto. </w:t>
      </w:r>
      <w:r w:rsidR="00BD4478">
        <w:t>L</w:t>
      </w:r>
      <w:r w:rsidR="001823FF">
        <w:t xml:space="preserve">os internos que participaban en el mismo han pasado a formar parte del “Programa Provincial de Prevención de Violencia”, el cual prioriza el trabajo grupal, estableciendo pautas de convivencia dirigidas a reducir los niveles de conflictividad, con ayuda de profesionales de distintas disciplinas. </w:t>
      </w:r>
    </w:p>
    <w:p w:rsidR="008321B3" w:rsidRPr="00BD4478" w:rsidRDefault="000521FE" w:rsidP="00356BF2">
      <w:pPr>
        <w:pStyle w:val="H1G"/>
      </w:pPr>
      <w:r w:rsidRPr="000521FE">
        <w:tab/>
      </w:r>
      <w:r w:rsidR="00BD4478" w:rsidRPr="00BD4478">
        <w:t>C</w:t>
      </w:r>
      <w:r w:rsidR="00CA7675" w:rsidRPr="00BD4478">
        <w:t>.</w:t>
      </w:r>
      <w:r w:rsidR="00CA7675" w:rsidRPr="00BD4478">
        <w:tab/>
        <w:t xml:space="preserve"> Centros de detención juvenil</w:t>
      </w:r>
    </w:p>
    <w:p w:rsidR="001E6EE8" w:rsidRDefault="00820048" w:rsidP="000521FE">
      <w:pPr>
        <w:pStyle w:val="SingleTxtG"/>
      </w:pPr>
      <w:r>
        <w:t>8</w:t>
      </w:r>
      <w:r w:rsidR="00DB7C11">
        <w:t>9.</w:t>
      </w:r>
      <w:r w:rsidR="00DB7C11">
        <w:tab/>
      </w:r>
      <w:r w:rsidR="003D4110" w:rsidRPr="003D4110">
        <w:t xml:space="preserve">El SPT visitó </w:t>
      </w:r>
      <w:r w:rsidR="000615E3">
        <w:t>los</w:t>
      </w:r>
      <w:r w:rsidR="003D4110" w:rsidRPr="003D4110">
        <w:t xml:space="preserve"> centro</w:t>
      </w:r>
      <w:r w:rsidR="000615E3">
        <w:t>s</w:t>
      </w:r>
      <w:r w:rsidR="003D4110" w:rsidRPr="003D4110">
        <w:t xml:space="preserve"> cerrado</w:t>
      </w:r>
      <w:r w:rsidR="000615E3">
        <w:t>s</w:t>
      </w:r>
      <w:r w:rsidR="003D4110" w:rsidRPr="003D4110">
        <w:t xml:space="preserve"> de Almafuerte en La Plata y el de Lomas de Zamora. En el primero</w:t>
      </w:r>
      <w:r w:rsidR="003D4110">
        <w:t>,</w:t>
      </w:r>
      <w:r w:rsidR="003D4110" w:rsidRPr="003D4110">
        <w:t xml:space="preserve"> </w:t>
      </w:r>
      <w:r w:rsidR="003D4110">
        <w:t>además de</w:t>
      </w:r>
      <w:r w:rsidR="003D4110" w:rsidRPr="003D4110">
        <w:t xml:space="preserve"> las malas condiciones edilicias</w:t>
      </w:r>
      <w:r w:rsidR="003D4110">
        <w:t xml:space="preserve">, </w:t>
      </w:r>
      <w:r w:rsidR="000F6470">
        <w:t xml:space="preserve">el SPT observó un </w:t>
      </w:r>
      <w:r w:rsidR="00D364D3">
        <w:t>ambiente opresivo caracterizado por un</w:t>
      </w:r>
      <w:r w:rsidR="003D4110" w:rsidRPr="003D4110">
        <w:t xml:space="preserve"> régimen de encierro </w:t>
      </w:r>
      <w:r w:rsidR="000F6470">
        <w:t>conforme al cual l</w:t>
      </w:r>
      <w:r w:rsidR="003D4110" w:rsidRPr="003D4110">
        <w:t xml:space="preserve">os detenidos se mueven continuamente en espacios cerrados (celda, comedor, escuela, patio), pero no circulan de manera libre y fluida entre los mismos. No tienen acceso </w:t>
      </w:r>
      <w:r>
        <w:t xml:space="preserve">diario </w:t>
      </w:r>
      <w:r w:rsidR="003D4110" w:rsidRPr="003D4110">
        <w:t xml:space="preserve">a recreación en espacios </w:t>
      </w:r>
      <w:r w:rsidR="000F6470">
        <w:t>al aire libre</w:t>
      </w:r>
      <w:r w:rsidR="003D4110" w:rsidRPr="003D4110">
        <w:t xml:space="preserve">, </w:t>
      </w:r>
      <w:r>
        <w:t xml:space="preserve">sino esporádico, </w:t>
      </w:r>
      <w:r w:rsidR="003D4110" w:rsidRPr="003D4110">
        <w:t>a pesar de que el centro cuenta con un campo verde aledaño. En el espacio común o comedor, donde l</w:t>
      </w:r>
      <w:r w:rsidR="000F6470">
        <w:t>os jóvenes detenidos pasan mucho tiempo</w:t>
      </w:r>
      <w:r w:rsidR="003D4110" w:rsidRPr="003D4110">
        <w:t xml:space="preserve"> prácticamente sin actividad alguna, </w:t>
      </w:r>
      <w:r>
        <w:t xml:space="preserve">incluso </w:t>
      </w:r>
      <w:r w:rsidR="003D4110" w:rsidRPr="003D4110">
        <w:t>acceder al baño se vuelve engorroso, ya que pasa por llamar a uno de los asistentes para que abra la puerta y los acompañe. Además</w:t>
      </w:r>
      <w:r w:rsidR="000F6470">
        <w:t xml:space="preserve"> de</w:t>
      </w:r>
      <w:r w:rsidR="003D4110" w:rsidRPr="003D4110">
        <w:t xml:space="preserve"> pasa</w:t>
      </w:r>
      <w:r w:rsidR="000F6470">
        <w:t>r</w:t>
      </w:r>
      <w:r w:rsidR="003D4110" w:rsidRPr="003D4110">
        <w:t xml:space="preserve"> muchas horas al día en sus celdas individuales</w:t>
      </w:r>
      <w:r w:rsidR="000F6470">
        <w:t>, l</w:t>
      </w:r>
      <w:r w:rsidR="003D4110" w:rsidRPr="003D4110">
        <w:t xml:space="preserve">as sanciones disciplinarias consisten en aislamiento en éstas </w:t>
      </w:r>
      <w:r w:rsidR="0053218B">
        <w:t>hasta un máximo de 10</w:t>
      </w:r>
      <w:r w:rsidR="003D4110" w:rsidRPr="003D4110">
        <w:t xml:space="preserve"> días. Las requisas se hacen dos veces al día, para lo cual se les obliga a desnudarse y a hacer flexiones.</w:t>
      </w:r>
      <w:r w:rsidR="000F6470">
        <w:t xml:space="preserve"> </w:t>
      </w:r>
    </w:p>
    <w:p w:rsidR="000F6470" w:rsidRPr="00CA7675" w:rsidRDefault="001E6EE8" w:rsidP="000521FE">
      <w:pPr>
        <w:pStyle w:val="SingleTxtG"/>
        <w:rPr>
          <w:lang w:val="es-ES_tradnl"/>
        </w:rPr>
      </w:pPr>
      <w:r>
        <w:t>9</w:t>
      </w:r>
      <w:r w:rsidR="00820048">
        <w:t>0</w:t>
      </w:r>
      <w:r>
        <w:t>.</w:t>
      </w:r>
      <w:r>
        <w:tab/>
      </w:r>
      <w:r w:rsidR="003D4110" w:rsidRPr="003D4110">
        <w:t xml:space="preserve">Similar régimen disciplinario se aplica en el centro de Lomas de Zamora. En éste, el régimen de salida a patio no es tan </w:t>
      </w:r>
      <w:r w:rsidR="00820048">
        <w:t xml:space="preserve">limitado </w:t>
      </w:r>
      <w:r w:rsidR="003D4110" w:rsidRPr="003D4110">
        <w:t xml:space="preserve">como el anterior, pero también adolece de </w:t>
      </w:r>
      <w:r w:rsidR="00820048">
        <w:t>restricciones</w:t>
      </w:r>
      <w:r w:rsidR="003D4110" w:rsidRPr="003D4110">
        <w:t xml:space="preserve"> excesivas, ya que no es diario sino de días alternos.</w:t>
      </w:r>
      <w:r w:rsidR="000F6470">
        <w:t xml:space="preserve"> </w:t>
      </w:r>
      <w:r w:rsidR="000F6470">
        <w:rPr>
          <w:lang w:val="es-ES_tradnl"/>
        </w:rPr>
        <w:t>El SPT recibió información relativa a la falta de control judicial efectivo de las sanciones impuestas a los jóvenes dentro de estos centros. A veces las sanciones ni siquiera son registradas, a fin de no dar intervención a los defensores.</w:t>
      </w:r>
    </w:p>
    <w:p w:rsidR="003D4110" w:rsidRPr="003D4110" w:rsidRDefault="001E6EE8" w:rsidP="000521FE">
      <w:pPr>
        <w:pStyle w:val="SingleTxtG"/>
      </w:pPr>
      <w:r>
        <w:t>9</w:t>
      </w:r>
      <w:r w:rsidR="00820048">
        <w:t>1</w:t>
      </w:r>
      <w:r w:rsidR="00DB7C11">
        <w:t>.</w:t>
      </w:r>
      <w:r w:rsidR="00DB7C11">
        <w:tab/>
      </w:r>
      <w:r w:rsidR="003D4110" w:rsidRPr="003D4110">
        <w:t>En ambos centros se observó falta de capacitación y de experticia entre los asistentes de minoridad,</w:t>
      </w:r>
      <w:r w:rsidR="007417A2">
        <w:t xml:space="preserve"> como ellos mismos reconocieron,</w:t>
      </w:r>
      <w:r w:rsidR="003D4110" w:rsidRPr="003D4110">
        <w:t xml:space="preserve"> por lo que es urgente que se establezcan programas adecuados para asegurar una formación de base y una puesta al día periódica. También en ambos centros se observó escasez </w:t>
      </w:r>
      <w:r w:rsidR="007417A2">
        <w:t>de profesionales</w:t>
      </w:r>
      <w:r w:rsidR="003D4110" w:rsidRPr="003D4110">
        <w:t>, incluidos maestros y psicólogos, así como una notable precariedad de los espacios físicos y medios con que cuentan estos profesionales para trabajar. En el centro de Lomas de Zamora, por ejemplo, la actividad docente por alumno se limita a 90 minutos por día.</w:t>
      </w:r>
    </w:p>
    <w:p w:rsidR="003D4110" w:rsidRPr="003D4110" w:rsidRDefault="00DB7C11" w:rsidP="000521FE">
      <w:pPr>
        <w:pStyle w:val="SingleTxtG"/>
      </w:pPr>
      <w:r>
        <w:t>9</w:t>
      </w:r>
      <w:r w:rsidR="00820048">
        <w:t>2</w:t>
      </w:r>
      <w:r>
        <w:t>.</w:t>
      </w:r>
      <w:r>
        <w:tab/>
      </w:r>
      <w:r w:rsidR="003D4110" w:rsidRPr="003D4110">
        <w:t>Muchos de los jóvenes, incluidos menores de edad</w:t>
      </w:r>
      <w:r w:rsidR="001E6EE8">
        <w:t>,</w:t>
      </w:r>
      <w:r w:rsidR="003D4110" w:rsidRPr="003D4110">
        <w:t xml:space="preserve"> con quienes el SPT se entrevistó</w:t>
      </w:r>
      <w:r w:rsidR="009F7E20">
        <w:t>,</w:t>
      </w:r>
      <w:r w:rsidR="003D4110" w:rsidRPr="003D4110">
        <w:t xml:space="preserve"> refirieron haber sido objeto de palizas y otros malos tratos en el momento de ser detenidos por la policía y en las comisarías. Igualmente, expresaron su sentimiento de que, haber delinquido una vez era un estigma que les acompañaría el resto de sus vidas.</w:t>
      </w:r>
    </w:p>
    <w:p w:rsidR="00F2343A" w:rsidRDefault="00DB7C11" w:rsidP="00F2343A">
      <w:pPr>
        <w:pStyle w:val="SingleTxtG"/>
        <w:rPr>
          <w:b/>
        </w:rPr>
      </w:pPr>
      <w:r>
        <w:rPr>
          <w:b/>
        </w:rPr>
        <w:t>9</w:t>
      </w:r>
      <w:r w:rsidR="00820048">
        <w:rPr>
          <w:b/>
        </w:rPr>
        <w:t>3</w:t>
      </w:r>
      <w:r>
        <w:rPr>
          <w:b/>
        </w:rPr>
        <w:t>.</w:t>
      </w:r>
      <w:r>
        <w:rPr>
          <w:b/>
        </w:rPr>
        <w:tab/>
      </w:r>
      <w:r w:rsidR="005A4EAE">
        <w:rPr>
          <w:b/>
        </w:rPr>
        <w:t>De conformidad con las normas internacionales</w:t>
      </w:r>
      <w:r w:rsidR="005A4EAE">
        <w:rPr>
          <w:rStyle w:val="FootnoteReference"/>
          <w:b/>
        </w:rPr>
        <w:footnoteReference w:id="25"/>
      </w:r>
      <w:r w:rsidR="005A4EAE">
        <w:rPr>
          <w:b/>
        </w:rPr>
        <w:t xml:space="preserve"> </w:t>
      </w:r>
      <w:r w:rsidR="005A4EAE" w:rsidRPr="00B0238F">
        <w:rPr>
          <w:b/>
        </w:rPr>
        <w:t>el Subcomité recomienda al Estado parte que</w:t>
      </w:r>
      <w:r w:rsidR="005A4EAE">
        <w:rPr>
          <w:b/>
        </w:rPr>
        <w:t>:</w:t>
      </w:r>
    </w:p>
    <w:p w:rsidR="00B52A1F" w:rsidRDefault="005A4EAE" w:rsidP="005A4EAE">
      <w:pPr>
        <w:pStyle w:val="SingleTxtG"/>
        <w:ind w:firstLine="567"/>
        <w:rPr>
          <w:b/>
        </w:rPr>
      </w:pPr>
      <w:r w:rsidRPr="00B0238F">
        <w:rPr>
          <w:b/>
        </w:rPr>
        <w:t>a)</w:t>
      </w:r>
      <w:r>
        <w:rPr>
          <w:b/>
        </w:rPr>
        <w:t xml:space="preserve"> </w:t>
      </w:r>
      <w:r>
        <w:rPr>
          <w:b/>
        </w:rPr>
        <w:tab/>
      </w:r>
      <w:r w:rsidR="00B52A1F">
        <w:rPr>
          <w:b/>
        </w:rPr>
        <w:t>Tome medidas para modificar el enfoque punitivo que impera en los centros</w:t>
      </w:r>
      <w:r w:rsidR="008200C5">
        <w:rPr>
          <w:b/>
        </w:rPr>
        <w:t xml:space="preserve"> de personas menores de edad</w:t>
      </w:r>
      <w:r w:rsidR="00B52A1F">
        <w:rPr>
          <w:b/>
        </w:rPr>
        <w:t xml:space="preserve"> y para que el régimen en los mismos favorezca la resocialización y no el aislamiento. La práctica de ejercicio físico diario al aire libre debe ser garantizada; </w:t>
      </w:r>
    </w:p>
    <w:p w:rsidR="005A4EAE" w:rsidRDefault="00640B38" w:rsidP="005A4EAE">
      <w:pPr>
        <w:pStyle w:val="SingleTxtG"/>
        <w:ind w:firstLine="567"/>
        <w:rPr>
          <w:b/>
        </w:rPr>
      </w:pPr>
      <w:r>
        <w:rPr>
          <w:b/>
        </w:rPr>
        <w:t>b</w:t>
      </w:r>
      <w:r w:rsidR="005A4EAE" w:rsidRPr="00B0238F">
        <w:rPr>
          <w:b/>
        </w:rPr>
        <w:t>)</w:t>
      </w:r>
      <w:r w:rsidR="005A4EAE">
        <w:rPr>
          <w:b/>
        </w:rPr>
        <w:t xml:space="preserve"> </w:t>
      </w:r>
      <w:r w:rsidR="005A4EAE">
        <w:rPr>
          <w:b/>
        </w:rPr>
        <w:tab/>
      </w:r>
      <w:r w:rsidR="005A4EAE" w:rsidRPr="00B0238F">
        <w:rPr>
          <w:b/>
        </w:rPr>
        <w:t>Amplíe la oferta de formación</w:t>
      </w:r>
      <w:r w:rsidR="001E6EE8">
        <w:rPr>
          <w:b/>
        </w:rPr>
        <w:t xml:space="preserve"> con miras a facilitar la reintegración de los jóvenes </w:t>
      </w:r>
      <w:r w:rsidR="005A4EAE" w:rsidRPr="00B0238F">
        <w:rPr>
          <w:b/>
        </w:rPr>
        <w:t>en la sociedad</w:t>
      </w:r>
      <w:r w:rsidR="005A4EAE">
        <w:rPr>
          <w:b/>
        </w:rPr>
        <w:t>;</w:t>
      </w:r>
    </w:p>
    <w:p w:rsidR="005A4EAE" w:rsidRDefault="00640B38" w:rsidP="005A4EAE">
      <w:pPr>
        <w:pStyle w:val="SingleTxtG"/>
        <w:ind w:firstLine="567"/>
        <w:rPr>
          <w:b/>
        </w:rPr>
      </w:pPr>
      <w:r>
        <w:rPr>
          <w:b/>
        </w:rPr>
        <w:t>c</w:t>
      </w:r>
      <w:r w:rsidR="005A4EAE" w:rsidRPr="00B0238F">
        <w:rPr>
          <w:b/>
        </w:rPr>
        <w:t>)</w:t>
      </w:r>
      <w:r w:rsidR="005A4EAE">
        <w:rPr>
          <w:b/>
        </w:rPr>
        <w:t xml:space="preserve"> </w:t>
      </w:r>
      <w:r w:rsidR="005A4EAE">
        <w:rPr>
          <w:b/>
        </w:rPr>
        <w:tab/>
      </w:r>
      <w:r w:rsidR="005A4EAE" w:rsidRPr="00B0238F">
        <w:rPr>
          <w:b/>
        </w:rPr>
        <w:t xml:space="preserve">Mantenga y aliente la participación de los padres durante todo el período de aplicación de medidas socioeducativas, para que los </w:t>
      </w:r>
      <w:r w:rsidR="009F51BB">
        <w:rPr>
          <w:b/>
        </w:rPr>
        <w:t>jóvenes</w:t>
      </w:r>
      <w:r w:rsidR="005A4EAE" w:rsidRPr="00B0238F">
        <w:rPr>
          <w:b/>
        </w:rPr>
        <w:t xml:space="preserve"> puedan seguir en contacto constante con sus familias</w:t>
      </w:r>
      <w:r w:rsidR="005A4EAE">
        <w:rPr>
          <w:b/>
        </w:rPr>
        <w:t>;</w:t>
      </w:r>
    </w:p>
    <w:p w:rsidR="005A4EAE" w:rsidRDefault="00640B38" w:rsidP="005A4EAE">
      <w:pPr>
        <w:pStyle w:val="SingleTxtG"/>
        <w:ind w:firstLine="567"/>
        <w:rPr>
          <w:b/>
        </w:rPr>
      </w:pPr>
      <w:r>
        <w:rPr>
          <w:b/>
        </w:rPr>
        <w:t>d</w:t>
      </w:r>
      <w:r w:rsidR="005A4EAE">
        <w:rPr>
          <w:b/>
        </w:rPr>
        <w:t xml:space="preserve">) </w:t>
      </w:r>
      <w:r w:rsidR="005A4EAE">
        <w:rPr>
          <w:b/>
        </w:rPr>
        <w:tab/>
      </w:r>
      <w:r w:rsidR="005A4EAE" w:rsidRPr="00B5534F">
        <w:rPr>
          <w:b/>
        </w:rPr>
        <w:t xml:space="preserve">Garantice que los </w:t>
      </w:r>
      <w:r w:rsidR="009F51BB">
        <w:rPr>
          <w:b/>
        </w:rPr>
        <w:t>jóvenes</w:t>
      </w:r>
      <w:r w:rsidR="005A4EAE" w:rsidRPr="00B5534F">
        <w:rPr>
          <w:b/>
        </w:rPr>
        <w:t xml:space="preserve"> puedan recibir asistencia letrada gratuita e independiente y acceder a un mecanismo de denuncia </w:t>
      </w:r>
      <w:r w:rsidR="009F51BB">
        <w:rPr>
          <w:b/>
        </w:rPr>
        <w:t xml:space="preserve">de malos tratos </w:t>
      </w:r>
      <w:r w:rsidR="005A4EAE" w:rsidRPr="00B5534F">
        <w:rPr>
          <w:b/>
        </w:rPr>
        <w:t>independiente y eficaz</w:t>
      </w:r>
      <w:r w:rsidR="005A4EAE">
        <w:rPr>
          <w:b/>
        </w:rPr>
        <w:t>.</w:t>
      </w:r>
    </w:p>
    <w:p w:rsidR="00F2343A" w:rsidRDefault="00640B38" w:rsidP="00D364D3">
      <w:pPr>
        <w:pStyle w:val="SingleTxtG"/>
        <w:ind w:firstLine="567"/>
        <w:rPr>
          <w:b/>
        </w:rPr>
      </w:pPr>
      <w:r>
        <w:rPr>
          <w:b/>
        </w:rPr>
        <w:t>e</w:t>
      </w:r>
      <w:r w:rsidR="00D364D3">
        <w:rPr>
          <w:b/>
        </w:rPr>
        <w:t>)</w:t>
      </w:r>
      <w:r w:rsidR="00D364D3">
        <w:rPr>
          <w:b/>
        </w:rPr>
        <w:tab/>
        <w:t xml:space="preserve">Se elabore </w:t>
      </w:r>
      <w:r w:rsidR="009802A6">
        <w:rPr>
          <w:b/>
        </w:rPr>
        <w:t xml:space="preserve">un plan para que, tanto a nivel federal como provincial, se mejoren </w:t>
      </w:r>
      <w:r w:rsidR="005A4EAE" w:rsidRPr="00CD6A68">
        <w:rPr>
          <w:b/>
        </w:rPr>
        <w:t xml:space="preserve"> las infraestructuras y la capacitación del personal</w:t>
      </w:r>
      <w:r w:rsidR="005A4EAE">
        <w:rPr>
          <w:b/>
        </w:rPr>
        <w:t xml:space="preserve"> </w:t>
      </w:r>
      <w:r w:rsidR="009802A6">
        <w:rPr>
          <w:b/>
        </w:rPr>
        <w:t xml:space="preserve">que </w:t>
      </w:r>
      <w:r w:rsidR="005A4EAE">
        <w:rPr>
          <w:b/>
        </w:rPr>
        <w:t>trabaja con jóvenes  detenidos.</w:t>
      </w:r>
    </w:p>
    <w:p w:rsidR="005D7E1A" w:rsidRDefault="005D7E1A" w:rsidP="005D7E1A">
      <w:pPr>
        <w:pStyle w:val="H1G"/>
        <w:rPr>
          <w:lang w:val="pt-BR"/>
        </w:rPr>
      </w:pPr>
      <w:r w:rsidRPr="00B52A1F">
        <w:rPr>
          <w:lang w:val="es-ES_tradnl"/>
        </w:rPr>
        <w:tab/>
      </w:r>
      <w:bookmarkStart w:id="6" w:name="_Toc332721031"/>
      <w:r w:rsidRPr="003C6B23">
        <w:rPr>
          <w:lang w:val="es-ES_tradnl"/>
        </w:rPr>
        <w:t>D.</w:t>
      </w:r>
      <w:r w:rsidRPr="00E0145C">
        <w:rPr>
          <w:lang w:val="pt-BR"/>
        </w:rPr>
        <w:tab/>
      </w:r>
      <w:bookmarkEnd w:id="6"/>
      <w:r w:rsidR="008321B3" w:rsidRPr="00E0145C">
        <w:rPr>
          <w:lang w:val="pt-BR"/>
        </w:rPr>
        <w:t>Instituciones psiquiátricas</w:t>
      </w:r>
      <w:r w:rsidR="00F2343A" w:rsidRPr="00E0145C">
        <w:rPr>
          <w:lang w:val="pt-BR"/>
        </w:rPr>
        <w:t xml:space="preserve"> </w:t>
      </w:r>
    </w:p>
    <w:p w:rsidR="009F51BB" w:rsidRDefault="00820048" w:rsidP="000521FE">
      <w:pPr>
        <w:pStyle w:val="SingleTxtG"/>
      </w:pPr>
      <w:r>
        <w:t>94</w:t>
      </w:r>
      <w:r w:rsidR="00DB7C11">
        <w:t>.</w:t>
      </w:r>
      <w:r w:rsidR="00DB7C11">
        <w:tab/>
      </w:r>
      <w:r w:rsidR="008C2ACB" w:rsidRPr="002E0685">
        <w:t>El SPT visitó establecimientos psiquiátricos, inclu</w:t>
      </w:r>
      <w:r w:rsidR="008C2ACB">
        <w:t>yendo</w:t>
      </w:r>
      <w:r w:rsidR="008C2ACB" w:rsidRPr="002E0685">
        <w:t xml:space="preserve"> instituciones para personas cuya admisión ha sido ordenada en el contexto de un procedimiento penal</w:t>
      </w:r>
      <w:r w:rsidR="00267F48">
        <w:t>,</w:t>
      </w:r>
      <w:r w:rsidR="008C2ACB" w:rsidRPr="002E0685">
        <w:t xml:space="preserve"> así como establecimientos que alojan, además de los pacientes voluntarios, a personas que han sido hospitalizadas involuntariamente </w:t>
      </w:r>
      <w:r w:rsidR="008C2ACB">
        <w:t xml:space="preserve">como resultado </w:t>
      </w:r>
      <w:r w:rsidR="008C2ACB" w:rsidRPr="002E0685">
        <w:t xml:space="preserve"> de procesos civiles.  </w:t>
      </w:r>
    </w:p>
    <w:p w:rsidR="00267F48" w:rsidRPr="007658BE" w:rsidRDefault="00F43604" w:rsidP="000521FE">
      <w:pPr>
        <w:pStyle w:val="SingleTxtG"/>
      </w:pPr>
      <w:r>
        <w:t>95</w:t>
      </w:r>
      <w:r w:rsidR="009F51BB">
        <w:t>.</w:t>
      </w:r>
      <w:r w:rsidR="009F51BB">
        <w:tab/>
      </w:r>
      <w:r w:rsidR="008C2ACB" w:rsidRPr="002E0685">
        <w:t xml:space="preserve">La Ley Nacional de Salud Mental N° 26657, aprobada en noviembre de 2010, es aplicable a todas </w:t>
      </w:r>
      <w:r w:rsidR="008C2ACB">
        <w:t>est</w:t>
      </w:r>
      <w:r w:rsidR="008C2ACB" w:rsidRPr="002E0685">
        <w:t xml:space="preserve">as situaciones </w:t>
      </w:r>
      <w:r w:rsidR="008C2ACB">
        <w:t xml:space="preserve">en todo el territorio nacional. </w:t>
      </w:r>
      <w:r w:rsidR="008C2ACB" w:rsidRPr="002E0685">
        <w:rPr>
          <w:rStyle w:val="hps"/>
        </w:rPr>
        <w:t>En el momento de</w:t>
      </w:r>
      <w:r w:rsidR="008C2ACB" w:rsidRPr="002E0685">
        <w:t xml:space="preserve"> su </w:t>
      </w:r>
      <w:r w:rsidR="008C2ACB" w:rsidRPr="002E0685">
        <w:rPr>
          <w:rStyle w:val="hps"/>
        </w:rPr>
        <w:t>aprobación,</w:t>
      </w:r>
      <w:r w:rsidR="008C2ACB" w:rsidRPr="002E0685">
        <w:t xml:space="preserve"> </w:t>
      </w:r>
      <w:r w:rsidR="008C2ACB" w:rsidRPr="002E0685">
        <w:rPr>
          <w:rStyle w:val="hps"/>
        </w:rPr>
        <w:t>esta ley</w:t>
      </w:r>
      <w:r w:rsidR="008C2ACB" w:rsidRPr="002E0685">
        <w:t xml:space="preserve"> </w:t>
      </w:r>
      <w:r w:rsidR="008C2ACB" w:rsidRPr="002E0685">
        <w:rPr>
          <w:rStyle w:val="hps"/>
        </w:rPr>
        <w:t>fue ampliamente reconocida</w:t>
      </w:r>
      <w:r w:rsidR="008C2ACB" w:rsidRPr="002E0685">
        <w:t xml:space="preserve"> </w:t>
      </w:r>
      <w:r w:rsidR="008C2ACB" w:rsidRPr="002E0685">
        <w:rPr>
          <w:rStyle w:val="hps"/>
        </w:rPr>
        <w:t>como un paso importante</w:t>
      </w:r>
      <w:r w:rsidR="008C2ACB" w:rsidRPr="002E0685">
        <w:t xml:space="preserve"> </w:t>
      </w:r>
      <w:r w:rsidR="008C2ACB" w:rsidRPr="002E0685">
        <w:rPr>
          <w:rStyle w:val="hps"/>
        </w:rPr>
        <w:t>para garantizar los</w:t>
      </w:r>
      <w:r w:rsidR="008C2ACB" w:rsidRPr="002E0685">
        <w:t xml:space="preserve"> </w:t>
      </w:r>
      <w:r w:rsidR="008C2ACB" w:rsidRPr="002E0685">
        <w:rPr>
          <w:rStyle w:val="hps"/>
        </w:rPr>
        <w:t xml:space="preserve">derechos de las </w:t>
      </w:r>
      <w:r w:rsidR="008C2ACB">
        <w:t xml:space="preserve">personas con discapacidad intelectual o psicosocial </w:t>
      </w:r>
      <w:r w:rsidR="008C2ACB" w:rsidRPr="002E0685">
        <w:rPr>
          <w:rStyle w:val="hps"/>
        </w:rPr>
        <w:t>y mejorar su</w:t>
      </w:r>
      <w:r w:rsidR="008C2ACB" w:rsidRPr="002E0685">
        <w:t xml:space="preserve"> </w:t>
      </w:r>
      <w:r w:rsidR="008C2ACB" w:rsidRPr="002E0685">
        <w:rPr>
          <w:rStyle w:val="hps"/>
        </w:rPr>
        <w:t>tratamiento y</w:t>
      </w:r>
      <w:r w:rsidR="008C2ACB" w:rsidRPr="002E0685">
        <w:t xml:space="preserve"> </w:t>
      </w:r>
      <w:r w:rsidR="008C2ACB" w:rsidRPr="002E0685">
        <w:rPr>
          <w:rStyle w:val="hps"/>
        </w:rPr>
        <w:t>situación.</w:t>
      </w:r>
      <w:r w:rsidR="008C2ACB" w:rsidRPr="002E0685">
        <w:rPr>
          <w:lang w:eastAsia="en-GB"/>
        </w:rPr>
        <w:t xml:space="preserve"> </w:t>
      </w:r>
      <w:r w:rsidR="008C2ACB" w:rsidRPr="002E0685">
        <w:t xml:space="preserve">Sin embargo, </w:t>
      </w:r>
      <w:r w:rsidR="00267F48">
        <w:t xml:space="preserve">la ley </w:t>
      </w:r>
      <w:r w:rsidR="008C2ACB" w:rsidRPr="002E0685">
        <w:t xml:space="preserve">no ha sido </w:t>
      </w:r>
      <w:r w:rsidR="00267F48">
        <w:t>aún</w:t>
      </w:r>
      <w:r w:rsidR="008C2ACB" w:rsidRPr="002E0685">
        <w:t xml:space="preserve"> reglamentada, lo cual ha tenido como consecuencia una aplicación  parcial, según el criterio, recursos y buen entender de cada institución. </w:t>
      </w:r>
      <w:r w:rsidR="00267F48" w:rsidRPr="007658BE">
        <w:t xml:space="preserve">Detrás de la falta de reglamentación existe una polarización profesional que no ha sido resuelta, así como intereses corporativistas de sectores que se sienten excluidos e insatisfechos por el nuevo modelo de servicios de salud establecido en la ley. </w:t>
      </w:r>
      <w:r w:rsidR="006F50B8">
        <w:t>M</w:t>
      </w:r>
      <w:r w:rsidR="006F50B8" w:rsidRPr="007658BE">
        <w:t xml:space="preserve">uchos de los profesionales del área de salud mental </w:t>
      </w:r>
      <w:r w:rsidR="00D95C05">
        <w:t xml:space="preserve">con los que el SPT se entrevistó </w:t>
      </w:r>
      <w:r w:rsidR="006F50B8" w:rsidRPr="007658BE">
        <w:t xml:space="preserve">no </w:t>
      </w:r>
      <w:r w:rsidR="00D95C05">
        <w:t xml:space="preserve"> tenían</w:t>
      </w:r>
      <w:r w:rsidR="006F50B8" w:rsidRPr="007658BE">
        <w:t xml:space="preserve"> una comprensión clara de sus disposiciones. Las explicaciones proporcionadas al SPT sobre sobre su aplicación concreta eran confusas e incluso contradictorias. </w:t>
      </w:r>
    </w:p>
    <w:p w:rsidR="008C2ACB" w:rsidRPr="00267F48" w:rsidRDefault="00D95C05" w:rsidP="000521FE">
      <w:pPr>
        <w:pStyle w:val="SingleTxtG"/>
        <w:rPr>
          <w:b/>
        </w:rPr>
      </w:pPr>
      <w:r>
        <w:rPr>
          <w:b/>
        </w:rPr>
        <w:t>96</w:t>
      </w:r>
      <w:r w:rsidR="00DB7C11">
        <w:rPr>
          <w:b/>
        </w:rPr>
        <w:t>.</w:t>
      </w:r>
      <w:r w:rsidR="00DB7C11">
        <w:rPr>
          <w:b/>
        </w:rPr>
        <w:tab/>
      </w:r>
      <w:r w:rsidR="00267F48">
        <w:rPr>
          <w:b/>
        </w:rPr>
        <w:t>El SPT recomienda se dé celeridad a la a</w:t>
      </w:r>
      <w:r w:rsidR="00267F48" w:rsidRPr="00267F48">
        <w:rPr>
          <w:b/>
        </w:rPr>
        <w:t xml:space="preserve">dopción del reglamento </w:t>
      </w:r>
      <w:r>
        <w:rPr>
          <w:b/>
        </w:rPr>
        <w:t>correspondiente,</w:t>
      </w:r>
      <w:r w:rsidR="00267F48">
        <w:rPr>
          <w:b/>
        </w:rPr>
        <w:t xml:space="preserve"> indispensable para la correcta aplicación de la nueva ley</w:t>
      </w:r>
      <w:r w:rsidR="00267F48" w:rsidRPr="00267F48">
        <w:rPr>
          <w:b/>
        </w:rPr>
        <w:t>.</w:t>
      </w:r>
      <w:r w:rsidR="006431AA">
        <w:rPr>
          <w:b/>
        </w:rPr>
        <w:t xml:space="preserve"> Elemento importante de esta reglamentación</w:t>
      </w:r>
      <w:r w:rsidR="009F51BB">
        <w:rPr>
          <w:b/>
        </w:rPr>
        <w:t>,</w:t>
      </w:r>
      <w:r w:rsidR="006431AA">
        <w:rPr>
          <w:b/>
        </w:rPr>
        <w:t xml:space="preserve"> cuya conformación debe ser objeto de celeridad</w:t>
      </w:r>
      <w:r w:rsidR="009F51BB">
        <w:rPr>
          <w:b/>
        </w:rPr>
        <w:t>,</w:t>
      </w:r>
      <w:r w:rsidR="006431AA">
        <w:rPr>
          <w:b/>
        </w:rPr>
        <w:t xml:space="preserve"> es el “órgano de revisión”, competente para monitorear el estatuto de las internaciones.</w:t>
      </w:r>
    </w:p>
    <w:p w:rsidR="00267F48" w:rsidRPr="005A3D92" w:rsidRDefault="00D95C05" w:rsidP="000521FE">
      <w:pPr>
        <w:pStyle w:val="SingleTxtG"/>
      </w:pPr>
      <w:r>
        <w:t>97</w:t>
      </w:r>
      <w:r w:rsidR="00DB7C11">
        <w:t>.</w:t>
      </w:r>
      <w:r w:rsidR="00DB7C11">
        <w:tab/>
      </w:r>
      <w:r w:rsidR="00267F48">
        <w:t xml:space="preserve">Preocupa </w:t>
      </w:r>
      <w:r w:rsidR="00267F48" w:rsidRPr="005A3D92">
        <w:t xml:space="preserve">al SPT </w:t>
      </w:r>
      <w:r w:rsidR="00267F48">
        <w:t xml:space="preserve">la ausencia de centros </w:t>
      </w:r>
      <w:r w:rsidR="00267F48" w:rsidRPr="005A3D92">
        <w:t>intermedios de atención social progresiva hasta el alta definitiva</w:t>
      </w:r>
      <w:r>
        <w:t>. Esto hace</w:t>
      </w:r>
      <w:r w:rsidR="00267F48" w:rsidRPr="005A3D92">
        <w:t xml:space="preserve"> que </w:t>
      </w:r>
      <w:r w:rsidR="00267F48">
        <w:t>la estancia de muchos pacientes en los</w:t>
      </w:r>
      <w:r w:rsidR="00267F48" w:rsidRPr="005A3D92">
        <w:t xml:space="preserve"> hospitales </w:t>
      </w:r>
      <w:r w:rsidR="00267F48">
        <w:t xml:space="preserve">psiquiátricos no obedezca a motivos terapéuticos, sino que los hospitales funcionan en buena medida como </w:t>
      </w:r>
      <w:r w:rsidR="00267F48" w:rsidRPr="005A3D92">
        <w:t>refugios de atención social para personas sin recurso</w:t>
      </w:r>
      <w:r w:rsidR="00267F48">
        <w:t>s ni apoyo familiar</w:t>
      </w:r>
      <w:r w:rsidR="00267F48" w:rsidRPr="005A3D92">
        <w:t>.</w:t>
      </w:r>
    </w:p>
    <w:p w:rsidR="006F50B8" w:rsidRPr="00CF111C" w:rsidRDefault="00D95C05" w:rsidP="000521FE">
      <w:pPr>
        <w:pStyle w:val="SingleTxtG"/>
        <w:rPr>
          <w:b/>
        </w:rPr>
      </w:pPr>
      <w:r>
        <w:rPr>
          <w:b/>
        </w:rPr>
        <w:t>98</w:t>
      </w:r>
      <w:r w:rsidR="00DB7C11">
        <w:rPr>
          <w:b/>
        </w:rPr>
        <w:t>.</w:t>
      </w:r>
      <w:r w:rsidR="00DB7C11">
        <w:rPr>
          <w:b/>
        </w:rPr>
        <w:tab/>
      </w:r>
      <w:r w:rsidR="006F50B8" w:rsidRPr="00CF111C">
        <w:rPr>
          <w:b/>
        </w:rPr>
        <w:t>El S</w:t>
      </w:r>
      <w:r w:rsidR="00F26116" w:rsidRPr="00CF111C">
        <w:rPr>
          <w:b/>
        </w:rPr>
        <w:t>PT recomienda la adopción de med</w:t>
      </w:r>
      <w:r w:rsidR="006F50B8" w:rsidRPr="00CF111C">
        <w:rPr>
          <w:b/>
        </w:rPr>
        <w:t xml:space="preserve">idas encaminadas a evitar la permanencia en los hospitales psiquiátricos de pacientes por razones socio-económicas y no médicas, tales como la creación de </w:t>
      </w:r>
      <w:r w:rsidR="008200C5">
        <w:rPr>
          <w:b/>
        </w:rPr>
        <w:t>“</w:t>
      </w:r>
      <w:r w:rsidR="006F50B8" w:rsidRPr="00CF111C">
        <w:rPr>
          <w:b/>
        </w:rPr>
        <w:t>casas de medio camino</w:t>
      </w:r>
      <w:r w:rsidR="008200C5">
        <w:rPr>
          <w:b/>
        </w:rPr>
        <w:t>”</w:t>
      </w:r>
      <w:r w:rsidR="006F50B8" w:rsidRPr="00CF111C">
        <w:rPr>
          <w:b/>
        </w:rPr>
        <w:t>.</w:t>
      </w:r>
    </w:p>
    <w:p w:rsidR="007658BE" w:rsidRPr="00B359B6" w:rsidRDefault="00D95C05" w:rsidP="00B359B6">
      <w:pPr>
        <w:pStyle w:val="SingleTxtG"/>
      </w:pPr>
      <w:r>
        <w:t>99</w:t>
      </w:r>
      <w:r w:rsidR="00DB7C11">
        <w:t>.</w:t>
      </w:r>
      <w:r w:rsidR="00DB7C11">
        <w:tab/>
      </w:r>
      <w:r w:rsidR="007658BE" w:rsidRPr="00B359B6">
        <w:t xml:space="preserve">El SPT observó el deficiente mantenimiento de las instalaciones de los centros de salud mental visitados. La situación del Hospital Interdisciplinario Psicoasistencial Borda es especialmente preocupante debido al extremo deterioro del edificio. El área de admisión y el espacio para médicos y personal de guardia presentan características de gran  decrepitud. Los cortes en el suministro de gas son frecuentes desde hace más de un año en muchos sectores y las zonas de baño están en total abandono. El personal manifestó que la comida que se proporcionaba a los pacientes era escasa y de ínfima calidad. </w:t>
      </w:r>
      <w:r w:rsidR="006A1622" w:rsidRPr="00B359B6">
        <w:t xml:space="preserve">El mobiliario y ropa de cama presentan similares signos de deterioro. </w:t>
      </w:r>
      <w:r w:rsidR="007658BE" w:rsidRPr="00B359B6">
        <w:t>El hecho de que el terreno sobre el que está asentado el hospital Borda sea considerado como potencialmente idóneo para construir un Centro Cívico, hace que sea visto como una amenaza para su cierre, lo que podría incidir en el poco o ningún interés para mejorar sus instalaciones y equipamiento y en el ambiente de ansiedad l</w:t>
      </w:r>
      <w:r w:rsidR="006A1622" w:rsidRPr="00B359B6">
        <w:t>aboral por el temor a su cierre. Similares condiciones de deterioro material se dan en el hospital Moyano.</w:t>
      </w:r>
    </w:p>
    <w:p w:rsidR="007658BE" w:rsidRPr="00B359B6" w:rsidRDefault="00DB7C11" w:rsidP="00B359B6">
      <w:pPr>
        <w:pStyle w:val="SingleTxtG"/>
      </w:pPr>
      <w:r>
        <w:t>10</w:t>
      </w:r>
      <w:r w:rsidR="00D95C05">
        <w:t>0</w:t>
      </w:r>
      <w:r>
        <w:t>.</w:t>
      </w:r>
      <w:r>
        <w:tab/>
      </w:r>
      <w:r w:rsidR="007658BE" w:rsidRPr="00B359B6">
        <w:t xml:space="preserve">Destaca igualmente la escasez de personal y de actividades previstas para las personas institucionalizadas. Faltan médicos, psicólogos y terapeutas ocupacionales. Los enfermeros se ocupan frecuentemente de un gran número de pacientes y hubo alegaciones de que, a veces,  los pacientes se quedan sin atención. Se recibió información de que los médicos cumplen menos de la mitad de su jornada laboral. En el Borda el 90% del personal solo estaría presente en las mañanas. También se recibieron quejas de </w:t>
      </w:r>
      <w:r w:rsidR="00F03F07">
        <w:t xml:space="preserve">sobre </w:t>
      </w:r>
      <w:r w:rsidR="007658BE" w:rsidRPr="00B359B6">
        <w:t xml:space="preserve">medicación como una forma de controlar a los pacientes, también vinculado a la falta de personal. </w:t>
      </w:r>
    </w:p>
    <w:p w:rsidR="00B93B1A" w:rsidRPr="00B359B6" w:rsidRDefault="00DB7C11" w:rsidP="00B359B6">
      <w:pPr>
        <w:pStyle w:val="SingleTxtG"/>
      </w:pPr>
      <w:r>
        <w:t>10</w:t>
      </w:r>
      <w:r w:rsidR="00D95C05">
        <w:t>1</w:t>
      </w:r>
      <w:r>
        <w:t>.</w:t>
      </w:r>
      <w:r>
        <w:tab/>
      </w:r>
      <w:r w:rsidR="00B93B1A" w:rsidRPr="00B359B6">
        <w:t>El SPT visitó el Hospital Penitenciario Central I de Ezeiza, donde se aplica el programa PRISMA. En este marco, l</w:t>
      </w:r>
      <w:r w:rsidR="00B93B1A" w:rsidRPr="00B359B6">
        <w:rPr>
          <w:rStyle w:val="hps"/>
        </w:rPr>
        <w:t>a atención</w:t>
      </w:r>
      <w:r w:rsidR="00B93B1A" w:rsidRPr="00B359B6">
        <w:t xml:space="preserve"> </w:t>
      </w:r>
      <w:r w:rsidR="00B93B1A" w:rsidRPr="00B359B6">
        <w:rPr>
          <w:rStyle w:val="hps"/>
        </w:rPr>
        <w:t>médica es prestada por</w:t>
      </w:r>
      <w:r w:rsidR="00B93B1A" w:rsidRPr="00B359B6">
        <w:t xml:space="preserve"> </w:t>
      </w:r>
      <w:r w:rsidR="00B93B1A" w:rsidRPr="00B359B6">
        <w:rPr>
          <w:rStyle w:val="hps"/>
        </w:rPr>
        <w:t>personal externo</w:t>
      </w:r>
      <w:r w:rsidR="00B93B1A" w:rsidRPr="00B359B6">
        <w:t xml:space="preserve">, </w:t>
      </w:r>
      <w:r w:rsidR="007E7F32" w:rsidRPr="00B359B6">
        <w:t xml:space="preserve">pero </w:t>
      </w:r>
      <w:r w:rsidR="00B93B1A" w:rsidRPr="00B359B6">
        <w:t xml:space="preserve">el mantenimiento del orden </w:t>
      </w:r>
      <w:r w:rsidR="00B93B1A" w:rsidRPr="00B359B6">
        <w:rPr>
          <w:rStyle w:val="hps"/>
        </w:rPr>
        <w:t>y de la seguridad es</w:t>
      </w:r>
      <w:r w:rsidR="00B93B1A" w:rsidRPr="00B359B6">
        <w:t xml:space="preserve"> </w:t>
      </w:r>
      <w:r w:rsidR="00B93B1A" w:rsidRPr="00B359B6">
        <w:rPr>
          <w:rStyle w:val="hps"/>
        </w:rPr>
        <w:t>responsabilidad del personal penitenciario</w:t>
      </w:r>
      <w:r w:rsidR="007E7F32" w:rsidRPr="00B359B6">
        <w:rPr>
          <w:rStyle w:val="hps"/>
        </w:rPr>
        <w:t xml:space="preserve"> quien</w:t>
      </w:r>
      <w:r w:rsidR="00B93B1A" w:rsidRPr="00B359B6">
        <w:rPr>
          <w:rStyle w:val="hps"/>
        </w:rPr>
        <w:t xml:space="preserve">, </w:t>
      </w:r>
      <w:r w:rsidR="007E7F32" w:rsidRPr="00B359B6">
        <w:rPr>
          <w:rStyle w:val="hps"/>
        </w:rPr>
        <w:t>d</w:t>
      </w:r>
      <w:r w:rsidR="00B93B1A" w:rsidRPr="00B359B6">
        <w:t>e acuerdo con la información recibida</w:t>
      </w:r>
      <w:r w:rsidR="007E7F32" w:rsidRPr="00B359B6">
        <w:t>,</w:t>
      </w:r>
      <w:r w:rsidR="00B93B1A" w:rsidRPr="00B359B6">
        <w:t xml:space="preserve"> no duda en recurrir a medidas de restricción física, tales como atar a los pacientes a la cama, amenazas y golpes. El temor de algunos de los </w:t>
      </w:r>
      <w:r w:rsidR="007E7F32" w:rsidRPr="00B359B6">
        <w:t xml:space="preserve">detenidos </w:t>
      </w:r>
      <w:r w:rsidR="00B93B1A" w:rsidRPr="00B359B6">
        <w:t xml:space="preserve">entrevistados </w:t>
      </w:r>
      <w:r w:rsidR="00D95C05">
        <w:t xml:space="preserve">por el SPT </w:t>
      </w:r>
      <w:r w:rsidR="00B93B1A" w:rsidRPr="00B359B6">
        <w:t xml:space="preserve">era evidente. Uno de </w:t>
      </w:r>
      <w:r w:rsidR="007E7F32" w:rsidRPr="00B359B6">
        <w:t>el</w:t>
      </w:r>
      <w:r w:rsidR="00B93B1A" w:rsidRPr="00B359B6">
        <w:t xml:space="preserve">los mostró la cicatriz en el cuello que le había dejado la soga con la que trató de ahorcarse debido al maltrato y hostigamiento por parte del personal de seguridad. </w:t>
      </w:r>
      <w:r w:rsidR="007E7F32" w:rsidRPr="00B359B6">
        <w:t xml:space="preserve">Otro manifestó haber recibido una paliza por los guardias que le acusaban de haberlos insultado y </w:t>
      </w:r>
      <w:r w:rsidR="00B93B1A" w:rsidRPr="00B359B6">
        <w:t>que incluso le dejó las marcas de las botas, lo que denunció en un juzgado.</w:t>
      </w:r>
    </w:p>
    <w:p w:rsidR="009D5200" w:rsidRPr="00A4156B" w:rsidRDefault="00DB7C11" w:rsidP="000521FE">
      <w:pPr>
        <w:pStyle w:val="SingleTxtG"/>
        <w:rPr>
          <w:b/>
          <w:lang w:val="es-GT"/>
        </w:rPr>
      </w:pPr>
      <w:r>
        <w:rPr>
          <w:b/>
          <w:lang w:val="es-GT"/>
        </w:rPr>
        <w:t>10</w:t>
      </w:r>
      <w:r w:rsidR="00D95C05">
        <w:rPr>
          <w:b/>
          <w:lang w:val="es-GT"/>
        </w:rPr>
        <w:t>2</w:t>
      </w:r>
      <w:r>
        <w:rPr>
          <w:b/>
          <w:lang w:val="es-GT"/>
        </w:rPr>
        <w:t>.</w:t>
      </w:r>
      <w:r>
        <w:rPr>
          <w:b/>
          <w:lang w:val="es-GT"/>
        </w:rPr>
        <w:tab/>
      </w:r>
      <w:r w:rsidR="009D5200" w:rsidRPr="00A4156B">
        <w:rPr>
          <w:b/>
          <w:lang w:val="es-GT"/>
        </w:rPr>
        <w:t xml:space="preserve">El SPT recomienda que el Estado realice una investigación sobre </w:t>
      </w:r>
      <w:r w:rsidR="00472200" w:rsidRPr="00A4156B">
        <w:rPr>
          <w:b/>
          <w:lang w:val="es-GT"/>
        </w:rPr>
        <w:t xml:space="preserve">el trato dispensado a los detenidos bajo tratamiento psiquiátrico </w:t>
      </w:r>
      <w:r w:rsidR="009D5200" w:rsidRPr="00A4156B">
        <w:rPr>
          <w:b/>
          <w:lang w:val="es-GT"/>
        </w:rPr>
        <w:t>por parte del personal</w:t>
      </w:r>
      <w:r w:rsidR="00472200" w:rsidRPr="00A4156B">
        <w:rPr>
          <w:b/>
          <w:lang w:val="es-GT"/>
        </w:rPr>
        <w:t xml:space="preserve"> penitenciario. El Estado debe igualmente velar por</w:t>
      </w:r>
      <w:r w:rsidR="00D95C05">
        <w:rPr>
          <w:b/>
          <w:lang w:val="es-GT"/>
        </w:rPr>
        <w:t xml:space="preserve"> </w:t>
      </w:r>
      <w:r w:rsidR="00472200" w:rsidRPr="00A4156B">
        <w:rPr>
          <w:b/>
          <w:lang w:val="es-GT"/>
        </w:rPr>
        <w:t xml:space="preserve">que este personal reciba una capacitación apropiada a </w:t>
      </w:r>
      <w:r w:rsidR="00D95C05">
        <w:rPr>
          <w:b/>
          <w:lang w:val="es-GT"/>
        </w:rPr>
        <w:t xml:space="preserve">su trabajo con </w:t>
      </w:r>
      <w:r w:rsidR="00472200" w:rsidRPr="00A4156B">
        <w:rPr>
          <w:b/>
          <w:lang w:val="es-GT"/>
        </w:rPr>
        <w:t xml:space="preserve">este tipo de detenidos. </w:t>
      </w:r>
    </w:p>
    <w:p w:rsidR="00E6339E" w:rsidRPr="00D95C05" w:rsidRDefault="00B359B6" w:rsidP="00B359B6">
      <w:pPr>
        <w:pStyle w:val="HChG"/>
        <w:rPr>
          <w:sz w:val="24"/>
          <w:szCs w:val="24"/>
          <w:lang w:val="es-ES_tradnl"/>
        </w:rPr>
      </w:pPr>
      <w:r>
        <w:rPr>
          <w:lang w:val="es-ES_tradnl"/>
        </w:rPr>
        <w:tab/>
      </w:r>
      <w:r w:rsidR="00795AFB" w:rsidRPr="00D95C05">
        <w:rPr>
          <w:sz w:val="24"/>
          <w:szCs w:val="24"/>
          <w:lang w:val="es-ES_tradnl"/>
        </w:rPr>
        <w:t>IV.</w:t>
      </w:r>
      <w:r w:rsidRPr="00D95C05">
        <w:rPr>
          <w:sz w:val="24"/>
          <w:szCs w:val="24"/>
          <w:lang w:val="es-ES_tradnl"/>
        </w:rPr>
        <w:tab/>
      </w:r>
      <w:r w:rsidR="00795AFB" w:rsidRPr="00D95C05">
        <w:rPr>
          <w:sz w:val="24"/>
          <w:szCs w:val="24"/>
          <w:lang w:val="es-ES_tradnl"/>
        </w:rPr>
        <w:t xml:space="preserve"> La investigación de la tortura</w:t>
      </w:r>
      <w:r w:rsidR="00E6339E" w:rsidRPr="00D95C05">
        <w:rPr>
          <w:sz w:val="24"/>
          <w:szCs w:val="24"/>
          <w:lang w:val="es-ES_tradnl"/>
        </w:rPr>
        <w:t xml:space="preserve"> </w:t>
      </w:r>
      <w:r w:rsidR="003D3BF7" w:rsidRPr="00D95C05">
        <w:rPr>
          <w:sz w:val="24"/>
          <w:szCs w:val="24"/>
          <w:lang w:val="es-ES_tradnl"/>
        </w:rPr>
        <w:t>y malos tratos</w:t>
      </w:r>
    </w:p>
    <w:p w:rsidR="006D46E4" w:rsidRPr="003E3034" w:rsidRDefault="00DB7C11" w:rsidP="00B359B6">
      <w:pPr>
        <w:pStyle w:val="SingleTxtG"/>
        <w:rPr>
          <w:b/>
        </w:rPr>
      </w:pPr>
      <w:r>
        <w:t>10</w:t>
      </w:r>
      <w:r w:rsidR="00D95C05">
        <w:t>3</w:t>
      </w:r>
      <w:r>
        <w:t>.</w:t>
      </w:r>
      <w:r>
        <w:tab/>
      </w:r>
      <w:r w:rsidR="006D46E4" w:rsidRPr="006D46E4">
        <w:t>El SPT pudo constatar que existe una divergencia importante entre los datos estadísticos de casos de tortura denunciados y efectivamente investigados por los órganos judiciales y los que figuran  en  las bases de datos</w:t>
      </w:r>
      <w:r w:rsidR="00B1778E">
        <w:t xml:space="preserve"> y registros</w:t>
      </w:r>
      <w:r w:rsidR="006D46E4" w:rsidRPr="006D46E4">
        <w:t xml:space="preserve"> de entidades públicas que realizan labores de inspectoría</w:t>
      </w:r>
      <w:r w:rsidR="00196A8A">
        <w:t>,</w:t>
      </w:r>
      <w:r w:rsidR="006D46E4" w:rsidRPr="006D46E4">
        <w:t xml:space="preserve"> como la Procuración Penitenciaria de la Nación, y otras instituciones vinculadas con el acceso a la justicia</w:t>
      </w:r>
      <w:r w:rsidR="00584860">
        <w:t>,</w:t>
      </w:r>
      <w:r w:rsidR="006D46E4" w:rsidRPr="006D46E4">
        <w:t xml:space="preserve"> como el Ministerio Público de la Defensa Penal en el ámbito Federal </w:t>
      </w:r>
      <w:r w:rsidR="00196A8A">
        <w:t>o algunas</w:t>
      </w:r>
      <w:r w:rsidR="006D46E4" w:rsidRPr="006D46E4">
        <w:t xml:space="preserve"> Defensorías P</w:t>
      </w:r>
      <w:r w:rsidR="00196A8A">
        <w:t>úblicas p</w:t>
      </w:r>
      <w:r w:rsidR="006D46E4" w:rsidRPr="006D46E4">
        <w:t>rovinciales</w:t>
      </w:r>
      <w:r w:rsidR="00AC4243">
        <w:t>,</w:t>
      </w:r>
      <w:r w:rsidR="00B1778E">
        <w:t xml:space="preserve"> como la Defensa Pública de la Provincia de Buenos Aires. </w:t>
      </w:r>
      <w:r w:rsidR="006D46E4" w:rsidRPr="006D46E4">
        <w:t>Lo mismo sucede respecto de otros registros</w:t>
      </w:r>
      <w:r w:rsidR="00AC4243">
        <w:t>,</w:t>
      </w:r>
      <w:r w:rsidR="006D46E4" w:rsidRPr="006D46E4">
        <w:t xml:space="preserve"> como los del Comité contra la Tortura de la Comisión Provincial por la Memoria.</w:t>
      </w:r>
      <w:r w:rsidR="00196A8A">
        <w:t xml:space="preserve"> </w:t>
      </w:r>
      <w:r w:rsidR="00B1778E">
        <w:t xml:space="preserve">Ese </w:t>
      </w:r>
      <w:r w:rsidR="00CE4568">
        <w:t xml:space="preserve">importante </w:t>
      </w:r>
      <w:r w:rsidR="00B1778E">
        <w:t>trabajo de veeduría por medio de  visitas</w:t>
      </w:r>
      <w:r w:rsidR="00CE4568">
        <w:t xml:space="preserve">, </w:t>
      </w:r>
      <w:r w:rsidR="00062B81">
        <w:t xml:space="preserve"> complementario al mandato</w:t>
      </w:r>
      <w:r w:rsidR="00627976">
        <w:t xml:space="preserve"> preventivo</w:t>
      </w:r>
      <w:r w:rsidR="00062B81">
        <w:t xml:space="preserve"> del SPT, debe fortalec</w:t>
      </w:r>
      <w:r w:rsidR="00CE4568">
        <w:t xml:space="preserve">erse, </w:t>
      </w:r>
      <w:r w:rsidR="00062B81">
        <w:t xml:space="preserve"> y no </w:t>
      </w:r>
      <w:r w:rsidR="00AC4243">
        <w:t xml:space="preserve">debe </w:t>
      </w:r>
      <w:r w:rsidR="00062B81">
        <w:t>ser amenazado con recortes presupuestarios o de otra naturaleza que pudiera</w:t>
      </w:r>
      <w:r w:rsidR="00DE6B96">
        <w:t>n</w:t>
      </w:r>
      <w:r w:rsidR="00062B81">
        <w:t xml:space="preserve"> debilitar </w:t>
      </w:r>
      <w:r w:rsidR="00DE6B96">
        <w:t xml:space="preserve">la labor de </w:t>
      </w:r>
      <w:r w:rsidR="00062B81">
        <w:t xml:space="preserve"> protección y prevención de la tortura y malos tratos</w:t>
      </w:r>
      <w:r w:rsidR="00DE6B96">
        <w:t xml:space="preserve">. </w:t>
      </w:r>
      <w:r w:rsidR="00DE6B96" w:rsidRPr="003E3034">
        <w:rPr>
          <w:b/>
        </w:rPr>
        <w:t xml:space="preserve">El SPT considera de gran importancia la labor de recogida de datos y registro de casos de tortura y malos tratos. No obstante, estima que las instancias mencionadas deben igualmente emplear sus esfuerzos en lograr </w:t>
      </w:r>
      <w:r w:rsidR="00E81E42" w:rsidRPr="003E3034">
        <w:rPr>
          <w:b/>
        </w:rPr>
        <w:t xml:space="preserve">que se refuercen los mecanismos institucionales de control, incluidos los judiciales, con miras a </w:t>
      </w:r>
      <w:r w:rsidR="00E81E42">
        <w:rPr>
          <w:b/>
        </w:rPr>
        <w:t xml:space="preserve">garantizar </w:t>
      </w:r>
      <w:r w:rsidR="00E81E42" w:rsidRPr="003E3034">
        <w:rPr>
          <w:b/>
        </w:rPr>
        <w:t>una mayor prevención y una menor impunidad</w:t>
      </w:r>
      <w:r w:rsidR="00062B81" w:rsidRPr="003E3034">
        <w:rPr>
          <w:b/>
        </w:rPr>
        <w:t>.</w:t>
      </w:r>
    </w:p>
    <w:p w:rsidR="006D46E4" w:rsidRPr="006D46E4" w:rsidRDefault="00DB7C11" w:rsidP="00B359B6">
      <w:pPr>
        <w:pStyle w:val="SingleTxtG"/>
      </w:pPr>
      <w:r>
        <w:t>10</w:t>
      </w:r>
      <w:r w:rsidR="00AC4243">
        <w:t>4</w:t>
      </w:r>
      <w:r>
        <w:t>.</w:t>
      </w:r>
      <w:r>
        <w:tab/>
      </w:r>
      <w:r w:rsidR="006D46E4" w:rsidRPr="006D46E4">
        <w:t xml:space="preserve">El SPT </w:t>
      </w:r>
      <w:r w:rsidR="00B542E1">
        <w:t>recibió abundante información</w:t>
      </w:r>
      <w:r w:rsidR="00BB35D0">
        <w:t>, tanto de autoridades como de organismos de la sociedad civil,</w:t>
      </w:r>
      <w:r w:rsidR="00B542E1">
        <w:t xml:space="preserve"> relativa a la falta de investigación de los casos de tortura y la impunidad que ello genera. Constituyen </w:t>
      </w:r>
      <w:r w:rsidR="006D46E4" w:rsidRPr="006D46E4">
        <w:t>obstáculos a la investigación</w:t>
      </w:r>
      <w:r w:rsidR="00CF2D38">
        <w:t>, entre otros</w:t>
      </w:r>
      <w:r w:rsidR="006D46E4" w:rsidRPr="006D46E4">
        <w:t xml:space="preserve">: </w:t>
      </w:r>
    </w:p>
    <w:p w:rsidR="006D46E4" w:rsidRDefault="00066F35" w:rsidP="00293779">
      <w:pPr>
        <w:pStyle w:val="SingleTxtG"/>
        <w:numPr>
          <w:ilvl w:val="0"/>
          <w:numId w:val="24"/>
        </w:numPr>
      </w:pPr>
      <w:r>
        <w:t>L</w:t>
      </w:r>
      <w:r w:rsidR="006D46E4" w:rsidRPr="006D46E4">
        <w:t>a falta de denuncias</w:t>
      </w:r>
      <w:r w:rsidR="00D53224">
        <w:t>, por la vía</w:t>
      </w:r>
      <w:r w:rsidR="006D46E4" w:rsidRPr="006D46E4">
        <w:t xml:space="preserve"> administrativa</w:t>
      </w:r>
      <w:r w:rsidR="00D53224">
        <w:t xml:space="preserve"> o judicial,</w:t>
      </w:r>
      <w:r w:rsidR="006D46E4" w:rsidRPr="006D46E4">
        <w:t xml:space="preserve"> en el ámbito penitenciario debido al temor de las víctimas a sufrir represalias</w:t>
      </w:r>
      <w:r w:rsidR="00D53224">
        <w:t xml:space="preserve">. Autoridades del Ministerio Público provincial manifestaron encontrarse con muchas dificultades para reunir pruebas por este motivo. </w:t>
      </w:r>
      <w:r w:rsidR="00C318C8">
        <w:t>Señalaron que a</w:t>
      </w:r>
      <w:r w:rsidR="00D53224">
        <w:t xml:space="preserve"> veces las víctimas denuncian los hechos inicialmente, pero con posterioridad </w:t>
      </w:r>
      <w:r w:rsidR="00293779">
        <w:t>no se ratifican en la demanda y que l</w:t>
      </w:r>
      <w:r w:rsidR="00C318C8">
        <w:t>os códigos carcelarios impiden a los in</w:t>
      </w:r>
      <w:r w:rsidR="00293779">
        <w:t>ternos denunciar con confianza;</w:t>
      </w:r>
    </w:p>
    <w:p w:rsidR="006D46E4" w:rsidRDefault="00CF2D38" w:rsidP="00293779">
      <w:pPr>
        <w:pStyle w:val="SingleTxtG"/>
        <w:numPr>
          <w:ilvl w:val="0"/>
          <w:numId w:val="24"/>
        </w:numPr>
      </w:pPr>
      <w:r>
        <w:t>La f</w:t>
      </w:r>
      <w:r w:rsidR="00D2495E">
        <w:t>alta de representación eficaz de las víctimas en el proceso penal;</w:t>
      </w:r>
    </w:p>
    <w:p w:rsidR="00EF14AD" w:rsidRPr="006D46E4" w:rsidRDefault="00293779" w:rsidP="00293779">
      <w:pPr>
        <w:pStyle w:val="SingleTxtG"/>
        <w:numPr>
          <w:ilvl w:val="0"/>
          <w:numId w:val="24"/>
        </w:numPr>
      </w:pPr>
      <w:r>
        <w:t xml:space="preserve">La falta de aplicación por parte de los fiscales </w:t>
      </w:r>
      <w:r w:rsidR="00EF14AD">
        <w:t>de un Protocolo sobre la investigación de casos de tortura</w:t>
      </w:r>
      <w:r>
        <w:t>, a pesar de que éste fue</w:t>
      </w:r>
      <w:r w:rsidR="00EF14AD">
        <w:t xml:space="preserve"> emitido por el Fiscal </w:t>
      </w:r>
      <w:r>
        <w:t>General de la Nación;</w:t>
      </w:r>
    </w:p>
    <w:p w:rsidR="006D46E4" w:rsidRDefault="00CF2D38" w:rsidP="00565F73">
      <w:pPr>
        <w:pStyle w:val="SingleTxtG"/>
        <w:numPr>
          <w:ilvl w:val="0"/>
          <w:numId w:val="24"/>
        </w:numPr>
      </w:pPr>
      <w:r>
        <w:t>La a</w:t>
      </w:r>
      <w:r w:rsidR="006D46E4" w:rsidRPr="006D46E4">
        <w:t>usencia de una línea de investigación sistémica que permita desarticular el entramado de actores que, tanto en el  ámbito policial como en el penitenciario, recurren a la tortura y malos tratos como medio de extorsión</w:t>
      </w:r>
      <w:r>
        <w:t>,</w:t>
      </w:r>
      <w:r w:rsidR="006D46E4" w:rsidRPr="006D46E4">
        <w:t xml:space="preserve"> para obtener benef</w:t>
      </w:r>
      <w:r w:rsidR="00AC4243">
        <w:t>icios económicos o de otro tipo;</w:t>
      </w:r>
      <w:r w:rsidR="006D46E4" w:rsidRPr="006D46E4">
        <w:t xml:space="preserve"> </w:t>
      </w:r>
    </w:p>
    <w:p w:rsidR="0070143F" w:rsidRPr="006D46E4" w:rsidRDefault="0070143F" w:rsidP="00565F73">
      <w:pPr>
        <w:pStyle w:val="SingleTxtG"/>
        <w:numPr>
          <w:ilvl w:val="0"/>
          <w:numId w:val="24"/>
        </w:numPr>
      </w:pPr>
      <w:r>
        <w:t>El limitado rol que en la práctica tienen los jueces de ejecución, a pesar de que el art. 25 inc. 3 del Código Procesal Penal Bonaerense les otorga la función de observar e</w:t>
      </w:r>
      <w:r>
        <w:rPr>
          <w:szCs w:val="16"/>
        </w:rPr>
        <w:t>l trato brindado a las PPL condenadas.</w:t>
      </w:r>
    </w:p>
    <w:p w:rsidR="006D46E4" w:rsidRDefault="00DB7C11" w:rsidP="00B359B6">
      <w:pPr>
        <w:pStyle w:val="SingleTxtG"/>
      </w:pPr>
      <w:r>
        <w:t>1</w:t>
      </w:r>
      <w:r w:rsidR="00AC4243">
        <w:t>05</w:t>
      </w:r>
      <w:r>
        <w:t>.</w:t>
      </w:r>
      <w:r>
        <w:tab/>
      </w:r>
      <w:r w:rsidR="00523753">
        <w:t>Constituye</w:t>
      </w:r>
      <w:r w:rsidR="00565F73">
        <w:t>n</w:t>
      </w:r>
      <w:r w:rsidR="00523753">
        <w:t xml:space="preserve"> igualmente un obstáculo a </w:t>
      </w:r>
      <w:r w:rsidR="006D46E4" w:rsidRPr="006D46E4">
        <w:t xml:space="preserve">la investigación de casos de tortura </w:t>
      </w:r>
      <w:r w:rsidR="00523753">
        <w:t>las deficiencias en materia de garantías a la i</w:t>
      </w:r>
      <w:r w:rsidR="006D46E4" w:rsidRPr="006D46E4">
        <w:t xml:space="preserve">ndependencia institucional de todos los actores que participan en la ruta de acceso a la justicia penal, especialmente los Ministerios Públicos Fiscales y  la Defensa Penal. Para el SPT resultó preocupante </w:t>
      </w:r>
      <w:r w:rsidR="00A20797">
        <w:t>la existencia en distintas p</w:t>
      </w:r>
      <w:r w:rsidR="006D46E4" w:rsidRPr="006D46E4">
        <w:t xml:space="preserve">rovincias </w:t>
      </w:r>
      <w:r w:rsidR="00A20797">
        <w:t xml:space="preserve">de un sistema </w:t>
      </w:r>
      <w:r w:rsidR="006D46E4" w:rsidRPr="006D46E4">
        <w:t>en que el Ministerio Público de la Defensa Penal y los Ministerios Públicos Fiscales se encuentren supeditados a una misma autoridad superior en cabeza de una Procuraduría General o Fiscalía. Esta situación dificulta la existencia de políticas institucionales adecuadas para cada uno de esos Ministerios</w:t>
      </w:r>
      <w:r w:rsidR="007C39A8">
        <w:t xml:space="preserve"> y</w:t>
      </w:r>
      <w:r w:rsidR="006D46E4" w:rsidRPr="006D46E4">
        <w:t xml:space="preserve"> disminuye sus autonomías funcionales y presupuestarias</w:t>
      </w:r>
      <w:r w:rsidR="007C39A8">
        <w:t>. Además,</w:t>
      </w:r>
      <w:r w:rsidR="006D46E4" w:rsidRPr="006D46E4">
        <w:t xml:space="preserve"> constituye un obstáculo a las garantías del debido proceso</w:t>
      </w:r>
      <w:r w:rsidR="007C39A8">
        <w:t xml:space="preserve">, al no respetar el principio de paridad de armas </w:t>
      </w:r>
      <w:r w:rsidR="002749D0">
        <w:t xml:space="preserve">entre la acusación y la defensa. Ello </w:t>
      </w:r>
      <w:r w:rsidR="007C39A8">
        <w:t xml:space="preserve">pese a que el sistema público </w:t>
      </w:r>
      <w:r w:rsidR="002749D0">
        <w:t xml:space="preserve">de defensa </w:t>
      </w:r>
      <w:r w:rsidR="007C39A8">
        <w:t xml:space="preserve">asiste a un gran porcentaje de personas sujetas a un proceso penal. </w:t>
      </w:r>
    </w:p>
    <w:p w:rsidR="00565F73" w:rsidRPr="006D46E4" w:rsidRDefault="00565F73" w:rsidP="00565F73">
      <w:pPr>
        <w:pStyle w:val="SingleTxtG"/>
      </w:pPr>
      <w:r>
        <w:t>1</w:t>
      </w:r>
      <w:r w:rsidR="002749D0">
        <w:t>06</w:t>
      </w:r>
      <w:r>
        <w:t>.</w:t>
      </w:r>
      <w:r>
        <w:tab/>
        <w:t xml:space="preserve">Respecto a la interposición de </w:t>
      </w:r>
      <w:r w:rsidR="00F362C0">
        <w:t>há</w:t>
      </w:r>
      <w:r>
        <w:t xml:space="preserve">beas corpus como vía para mejorar las condiciones de detención y hacer frente a situaciones de </w:t>
      </w:r>
      <w:r w:rsidR="00D658CF">
        <w:t xml:space="preserve">tortura y </w:t>
      </w:r>
      <w:r>
        <w:t>malos tratos, el SPT fue informado de que, en la práctica, esta acción ágil y expedita se ve frecuentemente desnaturalizada por los tribunales que deben resolver. A menudo se desvirtúa</w:t>
      </w:r>
      <w:r w:rsidR="005068F2">
        <w:t>n</w:t>
      </w:r>
      <w:r>
        <w:t xml:space="preserve"> tanto el procedimiento</w:t>
      </w:r>
      <w:r w:rsidR="005068F2">
        <w:t xml:space="preserve"> (</w:t>
      </w:r>
      <w:r>
        <w:t>que establece una audiencia y la comparecencia de la persona ante el juez</w:t>
      </w:r>
      <w:r w:rsidR="005068F2">
        <w:t>)</w:t>
      </w:r>
      <w:r>
        <w:t xml:space="preserve">, como su finalidad y objetivo, debido a la falta de tratamiento en tiempo oportuno o de respuesta adecuada. Se destaca igualmente la frecuente </w:t>
      </w:r>
      <w:r w:rsidR="00D658CF">
        <w:t>falta</w:t>
      </w:r>
      <w:r>
        <w:t xml:space="preserve"> de seguimiento en el cumplimiento de las decisiones judiciales,  que en muchas oportunidades resultan ser muy genéricas o se cumplen después de meses. En la provincia de Buenos Aires, la utilización de esta herramienta como forma de mejorar las condiciones de detención se ha visto obstaculizada con la reforma del artículo 417 del Código Procesal Penal, que permite al Ejecutivo recurrir las decisiones judiciales de h</w:t>
      </w:r>
      <w:r w:rsidR="00B07B97">
        <w:t>á</w:t>
      </w:r>
      <w:r>
        <w:t>beas corpus. En la actualidad estos recursos se interponen con mucha frecuencia y debido a ello las decisiones del juez que otorgó el h</w:t>
      </w:r>
      <w:r w:rsidR="00B07B97">
        <w:t>á</w:t>
      </w:r>
      <w:r>
        <w:t>beas corpus no se aplican o quedan pendientes de aplicación durante meses.</w:t>
      </w:r>
      <w:r w:rsidR="005068F2">
        <w:t xml:space="preserve"> </w:t>
      </w:r>
    </w:p>
    <w:p w:rsidR="003333BE" w:rsidRDefault="00DB7C11" w:rsidP="00B359B6">
      <w:pPr>
        <w:pStyle w:val="SingleTxtG"/>
      </w:pPr>
      <w:r>
        <w:t>1</w:t>
      </w:r>
      <w:r w:rsidR="002749D0">
        <w:t>07</w:t>
      </w:r>
      <w:r>
        <w:t>.</w:t>
      </w:r>
      <w:r>
        <w:tab/>
      </w:r>
      <w:r w:rsidR="00523753">
        <w:t>Otro aspecto objeto de preocupación para el SPT es l</w:t>
      </w:r>
      <w:r w:rsidR="00CF2D38" w:rsidRPr="006D46E4">
        <w:t>a tipifica</w:t>
      </w:r>
      <w:r w:rsidR="00CF2D38">
        <w:t xml:space="preserve">ción </w:t>
      </w:r>
      <w:r w:rsidR="00523753">
        <w:t xml:space="preserve">por parte de los jueces </w:t>
      </w:r>
      <w:r w:rsidR="00CF2D38">
        <w:t xml:space="preserve">de hechos de </w:t>
      </w:r>
      <w:r w:rsidR="00CF2D38" w:rsidRPr="006D46E4">
        <w:t>tortura</w:t>
      </w:r>
      <w:r w:rsidR="00CF2D38">
        <w:t xml:space="preserve"> bajo otras calificaciones</w:t>
      </w:r>
      <w:r w:rsidR="00CF2D38" w:rsidRPr="006D46E4">
        <w:t>,</w:t>
      </w:r>
      <w:r w:rsidR="00CF2D38">
        <w:t xml:space="preserve"> tales como</w:t>
      </w:r>
      <w:r w:rsidR="00CF2D38" w:rsidRPr="006D46E4">
        <w:t xml:space="preserve">  delitos de  lesiones, </w:t>
      </w:r>
      <w:r w:rsidR="006B6F7D">
        <w:t xml:space="preserve">apremios, </w:t>
      </w:r>
      <w:r w:rsidR="00CF2D38" w:rsidRPr="006D46E4">
        <w:t>abuso de autoridad,  uso excesiv</w:t>
      </w:r>
      <w:r w:rsidR="00CF2D38">
        <w:t>o de la fuerza, extorsión, etc.</w:t>
      </w:r>
      <w:r w:rsidR="00523753">
        <w:t xml:space="preserve">, que llevan aparejada una pena </w:t>
      </w:r>
      <w:r w:rsidR="006B6F7D">
        <w:t xml:space="preserve">y unos plazos de prescripción </w:t>
      </w:r>
      <w:r w:rsidR="00523753">
        <w:t>mucho menor</w:t>
      </w:r>
      <w:r w:rsidR="006B6F7D">
        <w:t>es</w:t>
      </w:r>
      <w:r w:rsidR="00523753">
        <w:t>.</w:t>
      </w:r>
      <w:r w:rsidR="00CF2D38">
        <w:t xml:space="preserve"> Est</w:t>
      </w:r>
      <w:r w:rsidR="00523753">
        <w:t>a práctica</w:t>
      </w:r>
      <w:r w:rsidR="00CF2D38">
        <w:t xml:space="preserve"> incide en </w:t>
      </w:r>
      <w:r w:rsidR="003333BE">
        <w:t xml:space="preserve">la existencia de un subregistro </w:t>
      </w:r>
      <w:r w:rsidR="00D658CF">
        <w:t xml:space="preserve">judicial </w:t>
      </w:r>
      <w:r w:rsidR="003333BE">
        <w:t xml:space="preserve">de los </w:t>
      </w:r>
      <w:r w:rsidR="00CF2D38">
        <w:t>casos de tortura</w:t>
      </w:r>
      <w:r w:rsidR="006B6F7D">
        <w:t xml:space="preserve"> y en la impunidad</w:t>
      </w:r>
      <w:r w:rsidR="003333BE">
        <w:t>.</w:t>
      </w:r>
    </w:p>
    <w:p w:rsidR="00AC63D9" w:rsidRPr="00565F73" w:rsidRDefault="00DB7C11" w:rsidP="00B359B6">
      <w:pPr>
        <w:pStyle w:val="SingleTxtG"/>
        <w:rPr>
          <w:b/>
        </w:rPr>
      </w:pPr>
      <w:r>
        <w:t>1</w:t>
      </w:r>
      <w:r w:rsidR="002749D0">
        <w:t>08</w:t>
      </w:r>
      <w:r>
        <w:t>.</w:t>
      </w:r>
      <w:r>
        <w:tab/>
      </w:r>
      <w:r w:rsidR="00AC63D9">
        <w:t>El SPT toma nota de que, tras la adopción del Decreto n° 168/11, corresponde a la Dirección de Inspección y Control, dependiente de la Subsecretaría de Política Criminal e Investigaciones Judiciales del Ministerio de Justicia y Seguridad de la Provincia de Buenos Aires, la sustanciación de los sumarios administrativos relacionados</w:t>
      </w:r>
      <w:r w:rsidR="005D194E">
        <w:t>, entre otros,</w:t>
      </w:r>
      <w:r w:rsidR="00AC63D9">
        <w:t xml:space="preserve"> con hechos de tortura y malos tratos en los establecimientos penitenciarios.</w:t>
      </w:r>
      <w:r w:rsidR="005D194E">
        <w:t xml:space="preserve"> Con ello se deja atrás el anterior procedimiento que era instruido por el Servicio Penitenciario. </w:t>
      </w:r>
      <w:r w:rsidR="00D658CF">
        <w:rPr>
          <w:b/>
        </w:rPr>
        <w:t xml:space="preserve">El SPT desea </w:t>
      </w:r>
      <w:r w:rsidR="005D194E" w:rsidRPr="00565F73">
        <w:rPr>
          <w:b/>
        </w:rPr>
        <w:t>recibir información sobre los resultados de los procedimientos que esta Dirección haya incoado</w:t>
      </w:r>
      <w:r w:rsidR="00042DAA" w:rsidRPr="00565F73">
        <w:rPr>
          <w:b/>
        </w:rPr>
        <w:t xml:space="preserve"> y la manera como estos procedimientos son realizados</w:t>
      </w:r>
      <w:r w:rsidR="005D194E" w:rsidRPr="00565F73">
        <w:rPr>
          <w:b/>
        </w:rPr>
        <w:t>.</w:t>
      </w:r>
    </w:p>
    <w:p w:rsidR="006D46E4" w:rsidRPr="00B359B6" w:rsidRDefault="00DB7C11" w:rsidP="00B359B6">
      <w:pPr>
        <w:pStyle w:val="SingleTxtG"/>
        <w:rPr>
          <w:b/>
        </w:rPr>
      </w:pPr>
      <w:r>
        <w:rPr>
          <w:b/>
        </w:rPr>
        <w:t>1</w:t>
      </w:r>
      <w:r w:rsidR="002749D0">
        <w:rPr>
          <w:b/>
        </w:rPr>
        <w:t>09</w:t>
      </w:r>
      <w:r>
        <w:rPr>
          <w:b/>
        </w:rPr>
        <w:t>.</w:t>
      </w:r>
      <w:r>
        <w:rPr>
          <w:b/>
        </w:rPr>
        <w:tab/>
      </w:r>
      <w:r w:rsidR="006D46E4" w:rsidRPr="00B359B6">
        <w:rPr>
          <w:b/>
        </w:rPr>
        <w:t xml:space="preserve">El SPT considera base fundamental para el combate de la impunidad </w:t>
      </w:r>
      <w:r w:rsidR="00AC63D9" w:rsidRPr="00B359B6">
        <w:rPr>
          <w:b/>
        </w:rPr>
        <w:t>en materia de</w:t>
      </w:r>
      <w:r w:rsidR="006D46E4" w:rsidRPr="00B359B6">
        <w:rPr>
          <w:b/>
        </w:rPr>
        <w:t xml:space="preserve"> tortura </w:t>
      </w:r>
      <w:r w:rsidR="00574F51" w:rsidRPr="00B359B6">
        <w:rPr>
          <w:b/>
        </w:rPr>
        <w:t>la instrumentación por</w:t>
      </w:r>
      <w:r w:rsidR="006D46E4" w:rsidRPr="00B359B6">
        <w:rPr>
          <w:b/>
        </w:rPr>
        <w:t xml:space="preserve"> el Estado Parte </w:t>
      </w:r>
      <w:r w:rsidR="00042DAA" w:rsidRPr="00B359B6">
        <w:rPr>
          <w:b/>
        </w:rPr>
        <w:t>de</w:t>
      </w:r>
      <w:r w:rsidR="006D46E4" w:rsidRPr="00B359B6">
        <w:rPr>
          <w:b/>
        </w:rPr>
        <w:t xml:space="preserve"> una política de investigación criminal que </w:t>
      </w:r>
      <w:r w:rsidR="00F54CA7" w:rsidRPr="00B359B6">
        <w:rPr>
          <w:b/>
        </w:rPr>
        <w:t>incluya</w:t>
      </w:r>
      <w:r w:rsidR="006D46E4" w:rsidRPr="00B359B6">
        <w:rPr>
          <w:b/>
        </w:rPr>
        <w:t xml:space="preserve">, entre otros, el mejoramiento de los mecanismos de denuncias administrativas a nivel penitenciario. </w:t>
      </w:r>
    </w:p>
    <w:p w:rsidR="006D46E4" w:rsidRDefault="00DB7C11" w:rsidP="00B359B6">
      <w:pPr>
        <w:pStyle w:val="SingleTxtG"/>
        <w:rPr>
          <w:b/>
        </w:rPr>
      </w:pPr>
      <w:r>
        <w:rPr>
          <w:b/>
        </w:rPr>
        <w:t>11</w:t>
      </w:r>
      <w:r w:rsidR="002749D0">
        <w:rPr>
          <w:b/>
        </w:rPr>
        <w:t>0</w:t>
      </w:r>
      <w:r>
        <w:rPr>
          <w:b/>
        </w:rPr>
        <w:t>.</w:t>
      </w:r>
      <w:r>
        <w:rPr>
          <w:b/>
        </w:rPr>
        <w:tab/>
      </w:r>
      <w:r w:rsidR="006D46E4" w:rsidRPr="00B359B6">
        <w:rPr>
          <w:b/>
        </w:rPr>
        <w:t>Los Ministerios Públicos Fiscales y de la Defensa Penal deben gozar de la respectiva independencia estructural y funcional. Asimismo, deben dotarse  de protocolos de actuación que faciliten la investigación de casos de tortura con plenas garantías procesales y  eliminen los obstáculos a la denuncia y posterior averiguación de los hechos. Esa labor de investigación se ver</w:t>
      </w:r>
      <w:r w:rsidR="00CF111C" w:rsidRPr="00B359B6">
        <w:rPr>
          <w:b/>
        </w:rPr>
        <w:t>ía</w:t>
      </w:r>
      <w:r w:rsidR="006D46E4" w:rsidRPr="00B359B6">
        <w:rPr>
          <w:b/>
        </w:rPr>
        <w:t xml:space="preserve"> fortalecida</w:t>
      </w:r>
      <w:r w:rsidR="00CF111C" w:rsidRPr="00B359B6">
        <w:rPr>
          <w:b/>
        </w:rPr>
        <w:t xml:space="preserve"> si se creara </w:t>
      </w:r>
      <w:r w:rsidR="006D46E4" w:rsidRPr="00B359B6">
        <w:rPr>
          <w:b/>
        </w:rPr>
        <w:t>una policía judicial</w:t>
      </w:r>
      <w:r w:rsidR="00565F73">
        <w:rPr>
          <w:b/>
        </w:rPr>
        <w:t xml:space="preserve"> independiente</w:t>
      </w:r>
      <w:r w:rsidR="00CF111C" w:rsidRPr="00B359B6">
        <w:rPr>
          <w:b/>
        </w:rPr>
        <w:t>, prevista en la Constitución, a órdenes de la Fiscalía</w:t>
      </w:r>
      <w:r w:rsidR="006D46E4" w:rsidRPr="00B359B6">
        <w:rPr>
          <w:b/>
        </w:rPr>
        <w:t>.</w:t>
      </w:r>
      <w:r w:rsidR="00565F73">
        <w:rPr>
          <w:b/>
        </w:rPr>
        <w:t xml:space="preserve"> Dicha policía debería poder investigar la responsabilidad de los funcionarios policiales y penitenciarios</w:t>
      </w:r>
      <w:r w:rsidR="00B07B97">
        <w:rPr>
          <w:b/>
        </w:rPr>
        <w:t xml:space="preserve"> por casos de tortura y malos tratos.</w:t>
      </w:r>
    </w:p>
    <w:p w:rsidR="000329F0" w:rsidRPr="003E3034" w:rsidRDefault="002749D0" w:rsidP="00B359B6">
      <w:pPr>
        <w:pStyle w:val="SingleTxtG"/>
        <w:rPr>
          <w:b/>
        </w:rPr>
      </w:pPr>
      <w:r>
        <w:rPr>
          <w:b/>
        </w:rPr>
        <w:t>111.</w:t>
      </w:r>
      <w:r>
        <w:rPr>
          <w:b/>
        </w:rPr>
        <w:tab/>
      </w:r>
      <w:r w:rsidR="000329F0" w:rsidRPr="00DA0880">
        <w:rPr>
          <w:b/>
        </w:rPr>
        <w:t xml:space="preserve">El SPT recomienda la adopción de medidas con miras </w:t>
      </w:r>
      <w:r w:rsidR="00A52634">
        <w:rPr>
          <w:b/>
        </w:rPr>
        <w:t>a modificar el régimen recursivo en  de</w:t>
      </w:r>
      <w:r w:rsidR="000329F0" w:rsidRPr="00DA0880">
        <w:rPr>
          <w:b/>
        </w:rPr>
        <w:t xml:space="preserve"> los procedimientos de hábeas corpus </w:t>
      </w:r>
      <w:r w:rsidR="00A52634">
        <w:rPr>
          <w:b/>
        </w:rPr>
        <w:t xml:space="preserve">a efecto de no hacer nugatorio </w:t>
      </w:r>
      <w:r w:rsidR="000329F0" w:rsidRPr="00DA0880">
        <w:rPr>
          <w:b/>
        </w:rPr>
        <w:t xml:space="preserve"> el cumplimiento efectivo y oportuno de las correspondientes sentencias</w:t>
      </w:r>
      <w:r w:rsidR="000329F0" w:rsidRPr="000329F0">
        <w:rPr>
          <w:b/>
        </w:rPr>
        <w:t>.</w:t>
      </w:r>
      <w:r w:rsidR="000329F0" w:rsidRPr="003E3034">
        <w:rPr>
          <w:b/>
        </w:rPr>
        <w:t xml:space="preserve">  </w:t>
      </w:r>
    </w:p>
    <w:p w:rsidR="000329F0" w:rsidRPr="000329F0" w:rsidRDefault="00D658CF" w:rsidP="00B359B6">
      <w:pPr>
        <w:pStyle w:val="SingleTxtG"/>
        <w:rPr>
          <w:b/>
        </w:rPr>
      </w:pPr>
      <w:r>
        <w:rPr>
          <w:b/>
        </w:rPr>
        <w:t>112.</w:t>
      </w:r>
      <w:r>
        <w:rPr>
          <w:b/>
        </w:rPr>
        <w:tab/>
      </w:r>
      <w:r w:rsidR="000329F0" w:rsidRPr="003E3034">
        <w:rPr>
          <w:b/>
        </w:rPr>
        <w:t xml:space="preserve">El SPT considera importante que se refuerce la figura del juez de ejecución, de manera que pueda cumplir </w:t>
      </w:r>
      <w:r>
        <w:rPr>
          <w:b/>
        </w:rPr>
        <w:t xml:space="preserve">la función </w:t>
      </w:r>
      <w:r w:rsidR="000329F0" w:rsidRPr="003E3034">
        <w:rPr>
          <w:b/>
        </w:rPr>
        <w:t>de observancia de las condiciones de detención de las PPL.</w:t>
      </w:r>
    </w:p>
    <w:p w:rsidR="00F54CA7" w:rsidRPr="00B359B6" w:rsidRDefault="00DB7C11" w:rsidP="00B359B6">
      <w:pPr>
        <w:pStyle w:val="SingleTxtG"/>
        <w:rPr>
          <w:b/>
        </w:rPr>
      </w:pPr>
      <w:r>
        <w:rPr>
          <w:b/>
        </w:rPr>
        <w:t>1</w:t>
      </w:r>
      <w:r w:rsidR="00565F73">
        <w:rPr>
          <w:b/>
        </w:rPr>
        <w:t>1</w:t>
      </w:r>
      <w:r w:rsidR="00D658CF">
        <w:rPr>
          <w:b/>
        </w:rPr>
        <w:t>3</w:t>
      </w:r>
      <w:r>
        <w:rPr>
          <w:b/>
        </w:rPr>
        <w:t>.</w:t>
      </w:r>
      <w:r>
        <w:rPr>
          <w:b/>
        </w:rPr>
        <w:tab/>
      </w:r>
      <w:r w:rsidR="001437CB" w:rsidRPr="00B359B6">
        <w:rPr>
          <w:b/>
        </w:rPr>
        <w:t>El SPT considera positiv</w:t>
      </w:r>
      <w:r w:rsidR="00D658CF">
        <w:rPr>
          <w:b/>
        </w:rPr>
        <w:t>a</w:t>
      </w:r>
      <w:r w:rsidR="001437CB" w:rsidRPr="00B359B6">
        <w:rPr>
          <w:b/>
        </w:rPr>
        <w:t xml:space="preserve"> la existencia a nivel federal y provincial de registros de casos de tortura. A fin de que estos registros constituyan una herramienta eficaz para el combate a la tortura y la impunidad asociada a ella,  las entidades correspondientes deberían coordinar esfuerzos a fin de establecer pautas comunes en cuanto a la forma de registrar los casos. </w:t>
      </w:r>
    </w:p>
    <w:p w:rsidR="00356BF2" w:rsidRDefault="00DB7C11" w:rsidP="00B359B6">
      <w:pPr>
        <w:pStyle w:val="SingleTxtG"/>
        <w:rPr>
          <w:b/>
        </w:rPr>
      </w:pPr>
      <w:r>
        <w:rPr>
          <w:b/>
        </w:rPr>
        <w:t>1</w:t>
      </w:r>
      <w:r w:rsidR="00565F73">
        <w:rPr>
          <w:b/>
        </w:rPr>
        <w:t>1</w:t>
      </w:r>
      <w:r w:rsidR="00D658CF">
        <w:rPr>
          <w:b/>
        </w:rPr>
        <w:t>4</w:t>
      </w:r>
      <w:r>
        <w:rPr>
          <w:b/>
        </w:rPr>
        <w:t>.</w:t>
      </w:r>
      <w:r>
        <w:rPr>
          <w:b/>
        </w:rPr>
        <w:tab/>
      </w:r>
      <w:r w:rsidR="006B6FB7" w:rsidRPr="00B359B6">
        <w:rPr>
          <w:b/>
        </w:rPr>
        <w:t xml:space="preserve">El SPT toma nota con interés de las medidas adoptadas por la Suprema Corte de Justicia de la Provincia de Buenos Aires en materia de </w:t>
      </w:r>
      <w:r w:rsidR="00823515" w:rsidRPr="00B359B6">
        <w:rPr>
          <w:b/>
        </w:rPr>
        <w:t xml:space="preserve">monitoreo de las </w:t>
      </w:r>
      <w:r w:rsidR="006B6FB7" w:rsidRPr="00B359B6">
        <w:rPr>
          <w:b/>
        </w:rPr>
        <w:t xml:space="preserve">condiciones de detención en los establecimientos penitenciarios y solicita recibir información sobre </w:t>
      </w:r>
      <w:r w:rsidR="00DB23DB" w:rsidRPr="00B359B6">
        <w:rPr>
          <w:b/>
        </w:rPr>
        <w:t>su evaluación</w:t>
      </w:r>
      <w:r w:rsidR="00823515" w:rsidRPr="00B359B6">
        <w:rPr>
          <w:b/>
        </w:rPr>
        <w:t xml:space="preserve"> </w:t>
      </w:r>
      <w:r w:rsidR="00DB23DB" w:rsidRPr="00B359B6">
        <w:rPr>
          <w:b/>
        </w:rPr>
        <w:t>de dicho monitoreo</w:t>
      </w:r>
      <w:r w:rsidR="003B1A39" w:rsidRPr="00B359B6">
        <w:rPr>
          <w:b/>
        </w:rPr>
        <w:t>, interacción con el Poder Ejecutivo</w:t>
      </w:r>
      <w:r w:rsidR="00DB23DB" w:rsidRPr="00B359B6">
        <w:rPr>
          <w:b/>
        </w:rPr>
        <w:t xml:space="preserve"> y perspectivas de actuación futura.</w:t>
      </w:r>
      <w:r w:rsidR="00823515" w:rsidRPr="00B359B6">
        <w:rPr>
          <w:b/>
        </w:rPr>
        <w:t xml:space="preserve"> </w:t>
      </w:r>
      <w:r w:rsidR="009D7763" w:rsidRPr="00B359B6">
        <w:rPr>
          <w:b/>
        </w:rPr>
        <w:t>Igualmente desea recibir información sobre el estado del anteproyecto sobre el Registro de Condenas para casos de Torturas, Tratos Crueles e Inhumanos.</w:t>
      </w:r>
    </w:p>
    <w:p w:rsidR="00356BF2" w:rsidRDefault="00356BF2">
      <w:pPr>
        <w:spacing w:line="240" w:lineRule="auto"/>
        <w:rPr>
          <w:b/>
        </w:rPr>
      </w:pPr>
      <w:r>
        <w:rPr>
          <w:b/>
        </w:rPr>
        <w:br w:type="page"/>
      </w:r>
    </w:p>
    <w:p w:rsidR="008F1A09" w:rsidRPr="00E407F9" w:rsidRDefault="008F1A09" w:rsidP="008F1A09">
      <w:pPr>
        <w:pStyle w:val="HChG"/>
        <w:rPr>
          <w:lang w:val="es-ES_tradnl"/>
        </w:rPr>
      </w:pPr>
      <w:bookmarkStart w:id="7" w:name="_Toc332721032"/>
      <w:r w:rsidRPr="00E407F9">
        <w:rPr>
          <w:lang w:val="es-ES_tradnl"/>
        </w:rPr>
        <w:t>Anexos</w:t>
      </w:r>
      <w:bookmarkEnd w:id="7"/>
    </w:p>
    <w:p w:rsidR="008F1A09" w:rsidRPr="00E407F9" w:rsidRDefault="008F1A09" w:rsidP="008F1A09">
      <w:pPr>
        <w:pStyle w:val="HChG"/>
        <w:rPr>
          <w:lang w:val="es-ES_tradnl"/>
        </w:rPr>
      </w:pPr>
      <w:bookmarkStart w:id="8" w:name="_Toc332721033"/>
      <w:r w:rsidRPr="00E407F9">
        <w:rPr>
          <w:lang w:val="es-ES_tradnl"/>
        </w:rPr>
        <w:t>Anexo I</w:t>
      </w:r>
      <w:bookmarkEnd w:id="8"/>
    </w:p>
    <w:p w:rsidR="008F1A09" w:rsidRPr="00E407F9" w:rsidRDefault="008F1A09" w:rsidP="008F1A09">
      <w:pPr>
        <w:pStyle w:val="HChG"/>
        <w:rPr>
          <w:lang w:val="es-ES_tradnl"/>
        </w:rPr>
      </w:pPr>
      <w:r w:rsidRPr="00E407F9">
        <w:rPr>
          <w:lang w:val="es-ES_tradnl"/>
        </w:rPr>
        <w:tab/>
      </w:r>
      <w:r w:rsidRPr="00E407F9">
        <w:rPr>
          <w:lang w:val="es-ES_tradnl"/>
        </w:rPr>
        <w:tab/>
      </w:r>
      <w:bookmarkStart w:id="9" w:name="_Toc332721034"/>
      <w:r w:rsidRPr="00E407F9">
        <w:rPr>
          <w:lang w:val="es-ES_tradnl"/>
        </w:rPr>
        <w:t>Lista de las personas con quienes se reunió el Subcomité</w:t>
      </w:r>
      <w:bookmarkEnd w:id="9"/>
    </w:p>
    <w:p w:rsidR="008F1A09" w:rsidRPr="00E407F9" w:rsidRDefault="008F1A09" w:rsidP="008F1A09">
      <w:pPr>
        <w:pStyle w:val="HChG"/>
        <w:rPr>
          <w:lang w:val="es-ES_tradnl"/>
        </w:rPr>
      </w:pPr>
      <w:r w:rsidRPr="00E407F9">
        <w:rPr>
          <w:lang w:val="es-ES_tradnl"/>
        </w:rPr>
        <w:tab/>
      </w:r>
      <w:bookmarkStart w:id="10" w:name="_Toc332721035"/>
      <w:r w:rsidRPr="00E407F9">
        <w:rPr>
          <w:lang w:val="es-ES_tradnl"/>
        </w:rPr>
        <w:t>I.</w:t>
      </w:r>
      <w:r w:rsidRPr="00E407F9">
        <w:rPr>
          <w:lang w:val="es-ES_tradnl"/>
        </w:rPr>
        <w:tab/>
        <w:t>Autoridades</w:t>
      </w:r>
      <w:bookmarkEnd w:id="10"/>
      <w:r w:rsidRPr="00E407F9">
        <w:rPr>
          <w:lang w:val="es-ES_tradnl"/>
        </w:rPr>
        <w:t xml:space="preserve"> </w:t>
      </w:r>
    </w:p>
    <w:p w:rsidR="008F1A09" w:rsidRPr="00E407F9" w:rsidRDefault="008F1A09" w:rsidP="008F1A09">
      <w:pPr>
        <w:pStyle w:val="H1G"/>
        <w:rPr>
          <w:lang w:val="es-ES_tradnl"/>
        </w:rPr>
      </w:pPr>
      <w:r w:rsidRPr="00E407F9">
        <w:rPr>
          <w:lang w:val="es-ES_tradnl"/>
        </w:rPr>
        <w:tab/>
      </w:r>
      <w:bookmarkStart w:id="11" w:name="_Toc332721036"/>
      <w:r w:rsidRPr="00E407F9">
        <w:rPr>
          <w:lang w:val="es-ES_tradnl"/>
        </w:rPr>
        <w:t>A.</w:t>
      </w:r>
      <w:r w:rsidRPr="00E407F9">
        <w:rPr>
          <w:lang w:val="es-ES_tradnl"/>
        </w:rPr>
        <w:tab/>
      </w:r>
      <w:bookmarkEnd w:id="11"/>
      <w:r w:rsidRPr="00E407F9">
        <w:rPr>
          <w:lang w:val="es-ES_tradnl"/>
        </w:rPr>
        <w:t>Autoridades federales</w:t>
      </w:r>
    </w:p>
    <w:p w:rsidR="008F1A09" w:rsidRPr="00E407F9" w:rsidRDefault="008F1A09" w:rsidP="008F1A09">
      <w:pPr>
        <w:pStyle w:val="Bullet1G"/>
        <w:numPr>
          <w:ilvl w:val="0"/>
          <w:numId w:val="1"/>
        </w:numPr>
        <w:rPr>
          <w:lang w:val="es-ES_tradnl"/>
        </w:rPr>
      </w:pPr>
      <w:r w:rsidRPr="00F51C84">
        <w:rPr>
          <w:lang w:val="es-ES_tradnl"/>
        </w:rPr>
        <w:t>Luis Alén, Subsecretario de Protección de Derechos Humanos, Secretaría de Derechos Humanos</w:t>
      </w:r>
    </w:p>
    <w:p w:rsidR="008F1A09" w:rsidRPr="00E407F9" w:rsidRDefault="008F1A09" w:rsidP="008F1A09">
      <w:pPr>
        <w:pStyle w:val="Bullet1G"/>
        <w:numPr>
          <w:ilvl w:val="0"/>
          <w:numId w:val="1"/>
        </w:numPr>
        <w:rPr>
          <w:lang w:val="es-ES_tradnl"/>
        </w:rPr>
      </w:pPr>
      <w:r>
        <w:rPr>
          <w:lang w:val="es-ES_tradnl"/>
        </w:rPr>
        <w:t xml:space="preserve">Andrea Gualde, </w:t>
      </w:r>
      <w:r w:rsidRPr="00F51C84">
        <w:rPr>
          <w:lang w:val="es-ES_tradnl"/>
        </w:rPr>
        <w:t>Directora Nacional de Asuntos Jurídicos en materia de Derechos Humanos, Secretaría de Derechos Humanos</w:t>
      </w:r>
    </w:p>
    <w:p w:rsidR="008F1A09" w:rsidRPr="00E407F9" w:rsidRDefault="008F1A09" w:rsidP="008F1A09">
      <w:pPr>
        <w:pStyle w:val="Bullet1G"/>
        <w:numPr>
          <w:ilvl w:val="0"/>
          <w:numId w:val="1"/>
        </w:numPr>
        <w:rPr>
          <w:lang w:val="es-ES_tradnl"/>
        </w:rPr>
      </w:pPr>
      <w:r>
        <w:rPr>
          <w:lang w:val="es-ES_tradnl"/>
        </w:rPr>
        <w:t>Federico Villegas Beltran, Ministro, Ministerio de Relaciones Exteriores y Culto</w:t>
      </w:r>
    </w:p>
    <w:p w:rsidR="008F1A09" w:rsidRDefault="008F1A09" w:rsidP="008F1A09">
      <w:pPr>
        <w:pStyle w:val="Bullet1G"/>
        <w:numPr>
          <w:ilvl w:val="0"/>
          <w:numId w:val="1"/>
        </w:numPr>
        <w:rPr>
          <w:lang w:val="es-ES_tradnl"/>
        </w:rPr>
      </w:pPr>
      <w:r>
        <w:rPr>
          <w:lang w:val="es-ES_tradnl"/>
        </w:rPr>
        <w:t>Laura Lopresti, Subsecretaría de Gestión Penitenciaria</w:t>
      </w:r>
    </w:p>
    <w:p w:rsidR="008F1A09" w:rsidRDefault="008F1A09" w:rsidP="008F1A09">
      <w:pPr>
        <w:pStyle w:val="Bullet1G"/>
        <w:numPr>
          <w:ilvl w:val="0"/>
          <w:numId w:val="1"/>
        </w:numPr>
        <w:rPr>
          <w:lang w:val="es-ES_tradnl"/>
        </w:rPr>
      </w:pPr>
      <w:r>
        <w:rPr>
          <w:lang w:val="es-ES_tradnl"/>
        </w:rPr>
        <w:t>Víctor Hortel, Director, Servicio Penitenciario Federal</w:t>
      </w:r>
    </w:p>
    <w:p w:rsidR="008F1A09" w:rsidRDefault="008F1A09" w:rsidP="008F1A09">
      <w:pPr>
        <w:pStyle w:val="Bullet1G"/>
        <w:numPr>
          <w:ilvl w:val="0"/>
          <w:numId w:val="1"/>
        </w:numPr>
        <w:rPr>
          <w:lang w:val="es-ES_tradnl"/>
        </w:rPr>
      </w:pPr>
      <w:r>
        <w:rPr>
          <w:lang w:val="es-ES_tradnl"/>
        </w:rPr>
        <w:t>Jorge Cevallos, Dirección Nacional del Servicio Penitenciario Federal</w:t>
      </w:r>
    </w:p>
    <w:p w:rsidR="008F1A09" w:rsidRDefault="008F1A09" w:rsidP="008F1A09">
      <w:pPr>
        <w:pStyle w:val="Bullet1G"/>
        <w:numPr>
          <w:ilvl w:val="0"/>
          <w:numId w:val="1"/>
        </w:numPr>
        <w:rPr>
          <w:lang w:val="es-ES_tradnl"/>
        </w:rPr>
      </w:pPr>
      <w:r>
        <w:rPr>
          <w:lang w:val="es-ES_tradnl"/>
        </w:rPr>
        <w:t>Carlos Fagalde, Subsecretario de Derechos para la Niñez, Adolescencia y Família</w:t>
      </w:r>
    </w:p>
    <w:p w:rsidR="008F1A09" w:rsidRDefault="008F1A09" w:rsidP="008F1A09">
      <w:pPr>
        <w:pStyle w:val="Bullet1G"/>
        <w:numPr>
          <w:ilvl w:val="0"/>
          <w:numId w:val="1"/>
        </w:numPr>
        <w:rPr>
          <w:lang w:val="es-ES_tradnl"/>
        </w:rPr>
      </w:pPr>
      <w:r>
        <w:rPr>
          <w:lang w:val="es-ES_tradnl"/>
        </w:rPr>
        <w:t>Natalia Federman, Directora de Derechos Humanos, Ministerio de Seguridad</w:t>
      </w:r>
    </w:p>
    <w:p w:rsidR="008F1A09" w:rsidRDefault="008F1A09" w:rsidP="008F1A09">
      <w:pPr>
        <w:pStyle w:val="Bullet1G"/>
        <w:numPr>
          <w:ilvl w:val="0"/>
          <w:numId w:val="1"/>
        </w:numPr>
        <w:rPr>
          <w:lang w:val="es-ES_tradnl"/>
        </w:rPr>
      </w:pPr>
      <w:r>
        <w:rPr>
          <w:lang w:val="es-ES_tradnl"/>
        </w:rPr>
        <w:t>Daniela Moreno, Dirección Nacional de Salud Mental y Adicciones</w:t>
      </w:r>
    </w:p>
    <w:p w:rsidR="008F1A09" w:rsidRDefault="008F1A09" w:rsidP="008F1A09">
      <w:pPr>
        <w:pStyle w:val="Bullet1G"/>
        <w:numPr>
          <w:ilvl w:val="0"/>
          <w:numId w:val="1"/>
        </w:numPr>
        <w:rPr>
          <w:lang w:val="es-ES_tradnl"/>
        </w:rPr>
      </w:pPr>
      <w:r>
        <w:rPr>
          <w:lang w:val="es-ES_tradnl"/>
        </w:rPr>
        <w:t>Graciela Natela, Dirección Nacional de Salud Mental y Adicciones</w:t>
      </w:r>
    </w:p>
    <w:p w:rsidR="008F1A09" w:rsidRDefault="008F1A09" w:rsidP="008F1A09">
      <w:pPr>
        <w:pStyle w:val="Bullet1G"/>
        <w:numPr>
          <w:ilvl w:val="0"/>
          <w:numId w:val="1"/>
        </w:numPr>
        <w:rPr>
          <w:lang w:val="es-ES_tradnl"/>
        </w:rPr>
      </w:pPr>
      <w:r>
        <w:rPr>
          <w:lang w:val="es-ES_tradnl"/>
        </w:rPr>
        <w:t>Stella Maris Martí</w:t>
      </w:r>
      <w:r w:rsidRPr="00D72EEC">
        <w:rPr>
          <w:lang w:val="es-ES_tradnl"/>
        </w:rPr>
        <w:t>nez, Defensora General, Defensoría General de la Nación</w:t>
      </w:r>
    </w:p>
    <w:p w:rsidR="008F1A09" w:rsidRPr="00D72EEC" w:rsidRDefault="008F1A09" w:rsidP="008F1A09">
      <w:pPr>
        <w:pStyle w:val="Bullet1G"/>
        <w:numPr>
          <w:ilvl w:val="0"/>
          <w:numId w:val="1"/>
        </w:numPr>
        <w:rPr>
          <w:lang w:val="es-ES_tradnl"/>
        </w:rPr>
      </w:pPr>
      <w:r>
        <w:rPr>
          <w:lang w:val="es-ES_tradnl"/>
        </w:rPr>
        <w:t>Silvia Martí</w:t>
      </w:r>
      <w:r w:rsidRPr="00721F23">
        <w:rPr>
          <w:lang w:val="es-ES_tradnl"/>
        </w:rPr>
        <w:t>nez – Defensora Oficial a cargo de la Comisión de Cárceles</w:t>
      </w:r>
    </w:p>
    <w:p w:rsidR="008F1A09" w:rsidRPr="00D72EEC" w:rsidRDefault="008F1A09" w:rsidP="008F1A09">
      <w:pPr>
        <w:pStyle w:val="Bullet1G"/>
        <w:numPr>
          <w:ilvl w:val="0"/>
          <w:numId w:val="1"/>
        </w:numPr>
        <w:rPr>
          <w:lang w:val="es-ES_tradnl"/>
        </w:rPr>
      </w:pPr>
      <w:r w:rsidRPr="00721F23">
        <w:rPr>
          <w:lang w:val="es-ES_tradnl"/>
        </w:rPr>
        <w:t>Marcos Filardi – Titular de la Comisión de DD.HH</w:t>
      </w:r>
    </w:p>
    <w:p w:rsidR="008F1A09" w:rsidRPr="00D72EEC" w:rsidRDefault="008F1A09" w:rsidP="008F1A09">
      <w:pPr>
        <w:pStyle w:val="Bullet1G"/>
        <w:numPr>
          <w:ilvl w:val="0"/>
          <w:numId w:val="1"/>
        </w:numPr>
        <w:rPr>
          <w:lang w:val="es-ES_tradnl"/>
        </w:rPr>
      </w:pPr>
      <w:r w:rsidRPr="00721F23">
        <w:rPr>
          <w:lang w:val="es-ES_tradnl"/>
        </w:rPr>
        <w:t>Nicolás Laino Comisión de DD.HH</w:t>
      </w:r>
    </w:p>
    <w:p w:rsidR="008F1A09" w:rsidRPr="00721F23" w:rsidRDefault="008F1A09" w:rsidP="008F1A09">
      <w:pPr>
        <w:pStyle w:val="Bullet1G"/>
        <w:numPr>
          <w:ilvl w:val="0"/>
          <w:numId w:val="1"/>
        </w:numPr>
        <w:rPr>
          <w:lang w:val="es-ES_tradnl"/>
        </w:rPr>
      </w:pPr>
      <w:r w:rsidRPr="00721F23">
        <w:rPr>
          <w:lang w:val="es-ES_tradnl"/>
        </w:rPr>
        <w:t>Augusto Aguer, Jefe de Area de Derechos Humanos y Administración de Justicia, Defensor del Pueblo de la Nación</w:t>
      </w:r>
    </w:p>
    <w:p w:rsidR="008F1A09" w:rsidRPr="00D72EEC" w:rsidRDefault="008F1A09" w:rsidP="008F1A09">
      <w:pPr>
        <w:pStyle w:val="Bullet1G"/>
        <w:numPr>
          <w:ilvl w:val="0"/>
          <w:numId w:val="1"/>
        </w:numPr>
        <w:rPr>
          <w:lang w:val="es-ES_tradnl"/>
        </w:rPr>
      </w:pPr>
      <w:r>
        <w:rPr>
          <w:lang w:val="es-ES_tradnl"/>
        </w:rPr>
        <w:t>Francisco Mugnolo, Procurador Penitenciario de la Nación</w:t>
      </w:r>
    </w:p>
    <w:p w:rsidR="008F1A09" w:rsidRDefault="008F1A09" w:rsidP="008F1A09">
      <w:pPr>
        <w:pStyle w:val="Bullet1G"/>
        <w:numPr>
          <w:ilvl w:val="0"/>
          <w:numId w:val="1"/>
        </w:numPr>
        <w:rPr>
          <w:lang w:val="es-ES_tradnl"/>
        </w:rPr>
      </w:pPr>
      <w:r>
        <w:rPr>
          <w:lang w:val="es-ES_tradnl"/>
        </w:rPr>
        <w:t xml:space="preserve">Mariana Sheehan, </w:t>
      </w:r>
      <w:r w:rsidRPr="00721F23">
        <w:rPr>
          <w:lang w:val="es-ES_tradnl"/>
        </w:rPr>
        <w:t>Coordinadora del Área de Relaciones Internacionales</w:t>
      </w:r>
      <w:r>
        <w:rPr>
          <w:lang w:val="es-ES_tradnl"/>
        </w:rPr>
        <w:t>,</w:t>
      </w:r>
      <w:r w:rsidRPr="00721F23">
        <w:rPr>
          <w:lang w:val="es-ES_tradnl"/>
        </w:rPr>
        <w:t xml:space="preserve"> Procuración</w:t>
      </w:r>
      <w:r>
        <w:rPr>
          <w:lang w:val="es-ES_tradnl"/>
        </w:rPr>
        <w:t xml:space="preserve"> Penitenciaria de la Nación.</w:t>
      </w:r>
    </w:p>
    <w:p w:rsidR="008F1A09" w:rsidRPr="00E407F9" w:rsidRDefault="008F1A09" w:rsidP="008F1A09">
      <w:pPr>
        <w:pStyle w:val="H1G"/>
        <w:rPr>
          <w:lang w:val="es-ES_tradnl"/>
        </w:rPr>
      </w:pPr>
      <w:r w:rsidRPr="00E407F9">
        <w:rPr>
          <w:lang w:val="es-ES_tradnl"/>
        </w:rPr>
        <w:tab/>
      </w:r>
      <w:bookmarkStart w:id="12" w:name="_Toc332721037"/>
      <w:r w:rsidRPr="00E407F9">
        <w:rPr>
          <w:lang w:val="es-ES_tradnl"/>
        </w:rPr>
        <w:t>B.</w:t>
      </w:r>
      <w:r w:rsidRPr="00E407F9">
        <w:rPr>
          <w:lang w:val="es-ES_tradnl"/>
        </w:rPr>
        <w:tab/>
      </w:r>
      <w:bookmarkEnd w:id="12"/>
      <w:r w:rsidRPr="00E407F9">
        <w:rPr>
          <w:lang w:val="es-ES_tradnl"/>
        </w:rPr>
        <w:t>Provincia de Buenos Aires</w:t>
      </w:r>
    </w:p>
    <w:p w:rsidR="008F1A09" w:rsidRPr="00E407F9" w:rsidRDefault="008F1A09" w:rsidP="008F1A09">
      <w:pPr>
        <w:pStyle w:val="Bullet1G"/>
        <w:numPr>
          <w:ilvl w:val="0"/>
          <w:numId w:val="1"/>
        </w:numPr>
        <w:rPr>
          <w:lang w:val="es-ES_tradnl"/>
        </w:rPr>
      </w:pPr>
      <w:r w:rsidRPr="00E407F9">
        <w:rPr>
          <w:lang w:val="es-ES_tradnl"/>
        </w:rPr>
        <w:t>Ricardo Casal, Ministro de Justicia y Seguridad</w:t>
      </w:r>
    </w:p>
    <w:p w:rsidR="008F1A09" w:rsidRPr="00E407F9" w:rsidRDefault="008F1A09" w:rsidP="008F1A09">
      <w:pPr>
        <w:pStyle w:val="Bullet1G"/>
        <w:numPr>
          <w:ilvl w:val="0"/>
          <w:numId w:val="1"/>
        </w:numPr>
        <w:rPr>
          <w:lang w:val="es-ES_tradnl"/>
        </w:rPr>
      </w:pPr>
      <w:r w:rsidRPr="00E407F9">
        <w:rPr>
          <w:lang w:val="es-ES_tradnl"/>
        </w:rPr>
        <w:t>Cesar Albarrac</w:t>
      </w:r>
      <w:r>
        <w:rPr>
          <w:lang w:val="es-ES_tradnl"/>
        </w:rPr>
        <w:t>í</w:t>
      </w:r>
      <w:r w:rsidRPr="00E407F9">
        <w:rPr>
          <w:lang w:val="es-ES_tradnl"/>
        </w:rPr>
        <w:t>n, Subsecretario de Política Criminal e Investigaciones Judiciales</w:t>
      </w:r>
    </w:p>
    <w:p w:rsidR="008F1A09" w:rsidRDefault="008F1A09" w:rsidP="008F1A09">
      <w:pPr>
        <w:pStyle w:val="Bullet1G"/>
        <w:numPr>
          <w:ilvl w:val="0"/>
          <w:numId w:val="1"/>
        </w:numPr>
        <w:rPr>
          <w:lang w:val="es-ES_tradnl"/>
        </w:rPr>
      </w:pPr>
      <w:r>
        <w:rPr>
          <w:lang w:val="es-ES_tradnl"/>
        </w:rPr>
        <w:t>Emiliano Baloira, Subsecretario Operativo</w:t>
      </w:r>
    </w:p>
    <w:p w:rsidR="008F1A09" w:rsidRDefault="008F1A09" w:rsidP="008F1A09">
      <w:pPr>
        <w:pStyle w:val="Bullet1G"/>
        <w:numPr>
          <w:ilvl w:val="0"/>
          <w:numId w:val="1"/>
        </w:numPr>
        <w:rPr>
          <w:lang w:val="es-ES_tradnl"/>
        </w:rPr>
      </w:pPr>
      <w:r>
        <w:rPr>
          <w:lang w:val="es-ES_tradnl"/>
        </w:rPr>
        <w:t>Christina Fioramonti, Senadora Provincial</w:t>
      </w:r>
    </w:p>
    <w:p w:rsidR="008F1A09" w:rsidRDefault="008F1A09" w:rsidP="008F1A09">
      <w:pPr>
        <w:pStyle w:val="Bullet1G"/>
        <w:numPr>
          <w:ilvl w:val="0"/>
          <w:numId w:val="1"/>
        </w:numPr>
        <w:rPr>
          <w:lang w:val="es-ES_tradnl"/>
        </w:rPr>
      </w:pPr>
      <w:r>
        <w:rPr>
          <w:lang w:val="es-ES_tradnl"/>
        </w:rPr>
        <w:t>Emilio López Muntaner, Senador Provincial</w:t>
      </w:r>
    </w:p>
    <w:p w:rsidR="008F1A09" w:rsidRPr="00E407F9" w:rsidRDefault="008F1A09" w:rsidP="008F1A09">
      <w:pPr>
        <w:pStyle w:val="Bullet1G"/>
        <w:numPr>
          <w:ilvl w:val="0"/>
          <w:numId w:val="1"/>
        </w:numPr>
        <w:rPr>
          <w:lang w:val="es-ES_tradnl"/>
        </w:rPr>
      </w:pPr>
      <w:r w:rsidRPr="00E407F9">
        <w:rPr>
          <w:lang w:val="es-ES_tradnl"/>
        </w:rPr>
        <w:t>Sergio Alejandre, Subsecretario de Salud del Ministerio de Salud de la Provincia de Buenos Aires</w:t>
      </w:r>
    </w:p>
    <w:p w:rsidR="008F1A09" w:rsidRPr="00E407F9" w:rsidRDefault="008F1A09" w:rsidP="008F1A09">
      <w:pPr>
        <w:pStyle w:val="Bullet1G"/>
        <w:numPr>
          <w:ilvl w:val="0"/>
          <w:numId w:val="1"/>
        </w:numPr>
        <w:rPr>
          <w:lang w:val="es-ES_tradnl"/>
        </w:rPr>
      </w:pPr>
      <w:r w:rsidRPr="00E407F9">
        <w:rPr>
          <w:lang w:val="es-ES_tradnl"/>
        </w:rPr>
        <w:t>Mario Calvo, Director Provincial de Salud Penitenciaria</w:t>
      </w:r>
    </w:p>
    <w:p w:rsidR="008F1A09" w:rsidRPr="00E407F9" w:rsidRDefault="008F1A09" w:rsidP="008F1A09">
      <w:pPr>
        <w:pStyle w:val="Bullet1G"/>
        <w:numPr>
          <w:ilvl w:val="0"/>
          <w:numId w:val="1"/>
        </w:numPr>
        <w:rPr>
          <w:lang w:val="es-ES_tradnl"/>
        </w:rPr>
      </w:pPr>
      <w:r w:rsidRPr="00E407F9">
        <w:rPr>
          <w:lang w:val="es-ES_tradnl"/>
        </w:rPr>
        <w:t>Florencia Piermarini, Jefa del Servicio Penitenciario Bonaerense</w:t>
      </w:r>
    </w:p>
    <w:p w:rsidR="008F1A09" w:rsidRDefault="008F1A09" w:rsidP="008F1A09">
      <w:pPr>
        <w:pStyle w:val="Bullet1G"/>
        <w:numPr>
          <w:ilvl w:val="0"/>
          <w:numId w:val="1"/>
        </w:numPr>
        <w:rPr>
          <w:lang w:val="es-ES_tradnl"/>
        </w:rPr>
      </w:pPr>
      <w:r w:rsidRPr="00E0145C">
        <w:rPr>
          <w:lang w:val="es-ES_tradnl"/>
        </w:rPr>
        <w:t>Pablo Navarro</w:t>
      </w:r>
      <w:r w:rsidRPr="00E407F9">
        <w:rPr>
          <w:lang w:val="es-ES_tradnl"/>
        </w:rPr>
        <w:t xml:space="preserve">, Secretario de Niñez y Adolescencia </w:t>
      </w:r>
    </w:p>
    <w:p w:rsidR="008F1A09" w:rsidRDefault="008F1A09" w:rsidP="008F1A09">
      <w:pPr>
        <w:pStyle w:val="Bullet1G"/>
        <w:numPr>
          <w:ilvl w:val="0"/>
          <w:numId w:val="1"/>
        </w:numPr>
        <w:rPr>
          <w:lang w:val="es-ES_tradnl"/>
        </w:rPr>
      </w:pPr>
      <w:r>
        <w:rPr>
          <w:lang w:val="es-ES_tradnl"/>
        </w:rPr>
        <w:t>Yanina Estévez, Subsecretaria de Responsabilidad Penal Juvenil de la Secretaría de Niñez y Adolescencia</w:t>
      </w:r>
    </w:p>
    <w:p w:rsidR="008F1A09" w:rsidRDefault="008F1A09" w:rsidP="008F1A09">
      <w:pPr>
        <w:pStyle w:val="Bullet1G"/>
        <w:numPr>
          <w:ilvl w:val="0"/>
          <w:numId w:val="1"/>
        </w:numPr>
        <w:rPr>
          <w:lang w:val="es-ES_tradnl"/>
        </w:rPr>
      </w:pPr>
      <w:r w:rsidRPr="00E407F9">
        <w:rPr>
          <w:lang w:val="es-ES_tradnl"/>
        </w:rPr>
        <w:t>Gustavo Nahmias, Subsecretario de Derechos Humanos</w:t>
      </w:r>
    </w:p>
    <w:p w:rsidR="008F1A09" w:rsidRDefault="008F1A09" w:rsidP="008F1A09">
      <w:pPr>
        <w:pStyle w:val="Bullet1G"/>
        <w:numPr>
          <w:ilvl w:val="0"/>
          <w:numId w:val="1"/>
        </w:numPr>
        <w:rPr>
          <w:lang w:val="es-ES_tradnl"/>
        </w:rPr>
      </w:pPr>
      <w:r>
        <w:rPr>
          <w:lang w:val="es-ES_tradnl"/>
        </w:rPr>
        <w:t>Natalia Savichevich, Directora Provincial de Política Penitenciaria</w:t>
      </w:r>
    </w:p>
    <w:p w:rsidR="008F1A09" w:rsidRPr="00E407F9" w:rsidRDefault="008F1A09" w:rsidP="008F1A09">
      <w:pPr>
        <w:pStyle w:val="Bullet1G"/>
        <w:numPr>
          <w:ilvl w:val="0"/>
          <w:numId w:val="1"/>
        </w:numPr>
        <w:rPr>
          <w:lang w:val="es-ES_tradnl"/>
        </w:rPr>
      </w:pPr>
      <w:r>
        <w:rPr>
          <w:lang w:val="es-ES_tradnl"/>
        </w:rPr>
        <w:t>Marcos Erregue, Director de Inspección y Control</w:t>
      </w:r>
    </w:p>
    <w:p w:rsidR="008F1A09" w:rsidRDefault="008F1A09" w:rsidP="008F1A09">
      <w:pPr>
        <w:pStyle w:val="Bullet1G"/>
        <w:numPr>
          <w:ilvl w:val="0"/>
          <w:numId w:val="1"/>
        </w:numPr>
        <w:rPr>
          <w:lang w:val="es-ES_tradnl"/>
        </w:rPr>
      </w:pPr>
      <w:r w:rsidRPr="00E407F9">
        <w:rPr>
          <w:lang w:val="es-ES_tradnl"/>
        </w:rPr>
        <w:t>Ignacio Nolfi, Subsecretario del Departamento de Derechos Humanos, Política Penitenciaria y Denuncias de la Procuración General de la Provincia de Buenos Aires</w:t>
      </w:r>
    </w:p>
    <w:p w:rsidR="008F1A09" w:rsidRDefault="008F1A09" w:rsidP="008F1A09">
      <w:pPr>
        <w:pStyle w:val="Bullet1G"/>
        <w:numPr>
          <w:ilvl w:val="0"/>
          <w:numId w:val="1"/>
        </w:numPr>
        <w:rPr>
          <w:lang w:val="es-ES_tradnl"/>
        </w:rPr>
      </w:pPr>
      <w:r>
        <w:rPr>
          <w:lang w:val="es-ES_tradnl"/>
        </w:rPr>
        <w:t xml:space="preserve">Maximiliano Pagani, Relator de la Procuración General de </w:t>
      </w:r>
      <w:r w:rsidRPr="00E407F9">
        <w:rPr>
          <w:lang w:val="es-ES_tradnl"/>
        </w:rPr>
        <w:t>la Provincia de Buenos Aires</w:t>
      </w:r>
    </w:p>
    <w:p w:rsidR="008F1A09" w:rsidRDefault="008F1A09" w:rsidP="008F1A09">
      <w:pPr>
        <w:pStyle w:val="Bullet1G"/>
        <w:numPr>
          <w:ilvl w:val="0"/>
          <w:numId w:val="1"/>
        </w:numPr>
        <w:rPr>
          <w:lang w:val="es-ES_tradnl"/>
        </w:rPr>
      </w:pPr>
      <w:r>
        <w:rPr>
          <w:lang w:val="es-ES_tradnl"/>
        </w:rPr>
        <w:t>Carlos Bonicatto, Defensor del Pueblo de la Provincia de Buenos Aires</w:t>
      </w:r>
    </w:p>
    <w:p w:rsidR="008F1A09" w:rsidRPr="00E407F9" w:rsidRDefault="008F1A09" w:rsidP="008F1A09">
      <w:pPr>
        <w:pStyle w:val="Bullet1G"/>
        <w:numPr>
          <w:ilvl w:val="0"/>
          <w:numId w:val="1"/>
        </w:numPr>
        <w:rPr>
          <w:lang w:val="es-ES_tradnl"/>
        </w:rPr>
      </w:pPr>
      <w:r>
        <w:rPr>
          <w:lang w:val="es-ES_tradnl"/>
        </w:rPr>
        <w:t>Guillermo Gentile, Secretario de Atención y Prevención contra la Violencia Institucional de la Defensoría del Pueblo</w:t>
      </w:r>
    </w:p>
    <w:p w:rsidR="008F1A09" w:rsidRDefault="008F1A09" w:rsidP="008F1A09">
      <w:pPr>
        <w:pStyle w:val="Bullet1G"/>
        <w:numPr>
          <w:ilvl w:val="0"/>
          <w:numId w:val="1"/>
        </w:numPr>
        <w:rPr>
          <w:lang w:val="es-ES_tradnl"/>
        </w:rPr>
      </w:pPr>
      <w:r>
        <w:rPr>
          <w:lang w:val="es-ES_tradnl"/>
        </w:rPr>
        <w:t>Carlos Martiarena, Secretario de Derechos Humanos y Garantías de la Defensoría del Pueblo</w:t>
      </w:r>
    </w:p>
    <w:p w:rsidR="008F1A09" w:rsidRPr="00275511" w:rsidRDefault="008F1A09" w:rsidP="008F1A09">
      <w:pPr>
        <w:pStyle w:val="Bullet1G"/>
        <w:numPr>
          <w:ilvl w:val="0"/>
          <w:numId w:val="1"/>
        </w:numPr>
        <w:rPr>
          <w:lang w:val="es-ES_tradnl"/>
        </w:rPr>
      </w:pPr>
      <w:r>
        <w:rPr>
          <w:lang w:val="es-ES_tradnl"/>
        </w:rPr>
        <w:t>Suprema Corte de Justicia de la Provincia de Buenos Aires</w:t>
      </w:r>
    </w:p>
    <w:p w:rsidR="008F1A09" w:rsidRPr="00E407F9" w:rsidRDefault="008F1A09" w:rsidP="008F1A09">
      <w:pPr>
        <w:pStyle w:val="H1G"/>
        <w:rPr>
          <w:lang w:val="es-ES_tradnl"/>
        </w:rPr>
      </w:pPr>
      <w:r w:rsidRPr="00E407F9">
        <w:rPr>
          <w:lang w:val="es-ES_tradnl"/>
        </w:rPr>
        <w:tab/>
      </w:r>
      <w:bookmarkStart w:id="13" w:name="_Toc332721040"/>
      <w:r w:rsidRPr="00E407F9">
        <w:rPr>
          <w:lang w:val="es-ES_tradnl"/>
        </w:rPr>
        <w:t>C.</w:t>
      </w:r>
      <w:r w:rsidRPr="00E407F9">
        <w:rPr>
          <w:lang w:val="es-ES_tradnl"/>
        </w:rPr>
        <w:tab/>
        <w:t>Naciones Unidas</w:t>
      </w:r>
      <w:bookmarkEnd w:id="13"/>
      <w:r w:rsidRPr="00E407F9">
        <w:rPr>
          <w:lang w:val="es-ES_tradnl"/>
        </w:rPr>
        <w:t xml:space="preserve"> </w:t>
      </w:r>
    </w:p>
    <w:p w:rsidR="008F1A09" w:rsidRPr="00E407F9" w:rsidRDefault="008F1A09" w:rsidP="008F1A09">
      <w:pPr>
        <w:pStyle w:val="Bullet1G"/>
        <w:numPr>
          <w:ilvl w:val="0"/>
          <w:numId w:val="1"/>
        </w:numPr>
        <w:rPr>
          <w:lang w:val="es-ES_tradnl"/>
        </w:rPr>
      </w:pPr>
      <w:r w:rsidRPr="00E407F9">
        <w:rPr>
          <w:lang w:val="es-ES_tradnl"/>
        </w:rPr>
        <w:t>Paolo Balladelli, Representante de la Organización Panamericana de la Salud (OPS)/ Organización Mundial de la Salud (OMS) en Argentina</w:t>
      </w:r>
    </w:p>
    <w:p w:rsidR="008F1A09" w:rsidRPr="00E407F9" w:rsidRDefault="008F1A09" w:rsidP="008F1A09">
      <w:pPr>
        <w:pStyle w:val="Bullet1G"/>
        <w:numPr>
          <w:ilvl w:val="0"/>
          <w:numId w:val="1"/>
        </w:numPr>
        <w:rPr>
          <w:lang w:val="es-ES_tradnl"/>
        </w:rPr>
      </w:pPr>
      <w:r w:rsidRPr="00E407F9">
        <w:rPr>
          <w:lang w:val="es-ES_tradnl"/>
        </w:rPr>
        <w:t>Hugo A. Cohen, Asesor Subregional en Salud Mental para Sudamérica, Organización Panamericana de la Salud (OPS) / Organización Mundial de la Salud (OMS)</w:t>
      </w:r>
    </w:p>
    <w:p w:rsidR="008F1A09" w:rsidRDefault="008F1A09" w:rsidP="008F1A09">
      <w:pPr>
        <w:pStyle w:val="Bullet1G"/>
        <w:numPr>
          <w:ilvl w:val="0"/>
          <w:numId w:val="1"/>
        </w:numPr>
        <w:rPr>
          <w:lang w:val="es-ES_tradnl"/>
        </w:rPr>
      </w:pPr>
      <w:r w:rsidRPr="00841E88">
        <w:rPr>
          <w:lang w:val="es-ES_tradnl"/>
        </w:rPr>
        <w:t>Juan Carlos</w:t>
      </w:r>
      <w:r>
        <w:rPr>
          <w:lang w:val="es-ES_tradnl"/>
        </w:rPr>
        <w:t xml:space="preserve"> Domínguez Lostalò, Representante del Instituto Latinoamericano de las Naciones Unidas para la Prevención del Delito y el Tratamiento del Delincuente (ILANUD) en Argentina</w:t>
      </w:r>
    </w:p>
    <w:p w:rsidR="008F1A09" w:rsidRPr="00841E88" w:rsidRDefault="008F1A09" w:rsidP="008F1A09">
      <w:pPr>
        <w:pStyle w:val="Bullet1G"/>
        <w:numPr>
          <w:ilvl w:val="0"/>
          <w:numId w:val="1"/>
        </w:numPr>
        <w:rPr>
          <w:lang w:val="es-ES_tradnl"/>
        </w:rPr>
      </w:pPr>
      <w:r w:rsidRPr="00841E88">
        <w:rPr>
          <w:lang w:val="es-ES_tradnl"/>
        </w:rPr>
        <w:t>Nora Luzi, Coordinadora del Área de Gobernabilidad Democrática del Programa de Naciones Unidas para el Desarrollo (PNUD)</w:t>
      </w:r>
    </w:p>
    <w:p w:rsidR="008F1A09" w:rsidRPr="00E407F9" w:rsidRDefault="008F1A09" w:rsidP="008F1A09">
      <w:pPr>
        <w:pStyle w:val="H1G"/>
        <w:rPr>
          <w:lang w:val="es-ES_tradnl"/>
        </w:rPr>
      </w:pPr>
      <w:r w:rsidRPr="00E407F9">
        <w:rPr>
          <w:lang w:val="es-ES_tradnl"/>
        </w:rPr>
        <w:tab/>
      </w:r>
      <w:bookmarkStart w:id="14" w:name="_Toc332721041"/>
      <w:r w:rsidRPr="00E407F9">
        <w:rPr>
          <w:lang w:val="es-ES_tradnl"/>
        </w:rPr>
        <w:t>D.</w:t>
      </w:r>
      <w:r w:rsidRPr="00E407F9">
        <w:rPr>
          <w:lang w:val="es-ES_tradnl"/>
        </w:rPr>
        <w:tab/>
        <w:t>Sociedad civil</w:t>
      </w:r>
      <w:bookmarkEnd w:id="14"/>
      <w:r w:rsidRPr="00E407F9">
        <w:rPr>
          <w:lang w:val="es-ES_tradnl"/>
        </w:rPr>
        <w:t xml:space="preserve"> </w:t>
      </w:r>
    </w:p>
    <w:p w:rsidR="008F1A09" w:rsidRPr="00E407F9" w:rsidRDefault="008F1A09" w:rsidP="008F1A09">
      <w:pPr>
        <w:pStyle w:val="Bullet1G"/>
        <w:numPr>
          <w:ilvl w:val="0"/>
          <w:numId w:val="1"/>
        </w:numPr>
        <w:rPr>
          <w:lang w:val="es-ES_tradnl"/>
        </w:rPr>
      </w:pPr>
      <w:r>
        <w:rPr>
          <w:lang w:val="es-ES_tradnl"/>
        </w:rPr>
        <w:t>Asamblea Permanente por l</w:t>
      </w:r>
      <w:r w:rsidRPr="00E407F9">
        <w:rPr>
          <w:lang w:val="es-ES_tradnl"/>
        </w:rPr>
        <w:t>os Derechos Humanos (APDH)</w:t>
      </w:r>
    </w:p>
    <w:p w:rsidR="008F1A09" w:rsidRPr="00E407F9" w:rsidRDefault="008F1A09" w:rsidP="008F1A09">
      <w:pPr>
        <w:pStyle w:val="Bullet1G"/>
        <w:numPr>
          <w:ilvl w:val="0"/>
          <w:numId w:val="1"/>
        </w:numPr>
        <w:rPr>
          <w:lang w:val="es-ES_tradnl"/>
        </w:rPr>
      </w:pPr>
      <w:r w:rsidRPr="00E407F9">
        <w:rPr>
          <w:lang w:val="es-ES_tradnl"/>
        </w:rPr>
        <w:t>Asociación Civil La Cantora</w:t>
      </w:r>
    </w:p>
    <w:p w:rsidR="008F1A09" w:rsidRPr="00E407F9" w:rsidRDefault="008F1A09" w:rsidP="008F1A09">
      <w:pPr>
        <w:pStyle w:val="Bullet1G"/>
        <w:numPr>
          <w:ilvl w:val="0"/>
          <w:numId w:val="1"/>
        </w:numPr>
        <w:rPr>
          <w:lang w:val="es-ES_tradnl"/>
        </w:rPr>
      </w:pPr>
      <w:r w:rsidRPr="00E407F9">
        <w:rPr>
          <w:lang w:val="es-ES_tradnl"/>
        </w:rPr>
        <w:t>Asociación Civil Pensamiento Penal</w:t>
      </w:r>
    </w:p>
    <w:p w:rsidR="008F1A09" w:rsidRPr="00E407F9" w:rsidRDefault="008F1A09" w:rsidP="008F1A09">
      <w:pPr>
        <w:pStyle w:val="Bullet1G"/>
        <w:numPr>
          <w:ilvl w:val="0"/>
          <w:numId w:val="1"/>
        </w:numPr>
        <w:rPr>
          <w:lang w:val="es-ES_tradnl"/>
        </w:rPr>
      </w:pPr>
      <w:r w:rsidRPr="00E407F9">
        <w:rPr>
          <w:lang w:val="es-ES_tradnl"/>
        </w:rPr>
        <w:t>Asociación de Familiares de Detenidos</w:t>
      </w:r>
    </w:p>
    <w:p w:rsidR="008F1A09" w:rsidRPr="00E407F9" w:rsidRDefault="008F1A09" w:rsidP="008F1A09">
      <w:pPr>
        <w:pStyle w:val="Bullet1G"/>
        <w:numPr>
          <w:ilvl w:val="0"/>
          <w:numId w:val="1"/>
        </w:numPr>
        <w:rPr>
          <w:lang w:val="es-ES_tradnl"/>
        </w:rPr>
      </w:pPr>
      <w:r w:rsidRPr="00E407F9">
        <w:rPr>
          <w:lang w:val="es-ES_tradnl"/>
        </w:rPr>
        <w:t>Asociación por los Derechos en Salud Mental (ADESAM)</w:t>
      </w:r>
    </w:p>
    <w:p w:rsidR="008F1A09" w:rsidRPr="00E407F9" w:rsidRDefault="008F1A09" w:rsidP="008F1A09">
      <w:pPr>
        <w:pStyle w:val="Bullet1G"/>
        <w:numPr>
          <w:ilvl w:val="0"/>
          <w:numId w:val="1"/>
        </w:numPr>
        <w:rPr>
          <w:lang w:val="es-ES_tradnl"/>
        </w:rPr>
      </w:pPr>
      <w:r w:rsidRPr="00E407F9">
        <w:rPr>
          <w:lang w:val="es-ES_tradnl"/>
        </w:rPr>
        <w:t>Centro de Estudios Legales y Sociales (CELS)</w:t>
      </w:r>
    </w:p>
    <w:p w:rsidR="008F1A09" w:rsidRPr="00E407F9" w:rsidRDefault="008F1A09" w:rsidP="008F1A09">
      <w:pPr>
        <w:pStyle w:val="Bullet1G"/>
        <w:numPr>
          <w:ilvl w:val="0"/>
          <w:numId w:val="1"/>
        </w:numPr>
        <w:rPr>
          <w:lang w:val="es-ES_tradnl"/>
        </w:rPr>
      </w:pPr>
      <w:r w:rsidRPr="00E407F9">
        <w:rPr>
          <w:lang w:val="es-ES_tradnl"/>
        </w:rPr>
        <w:t>Centro de Estudios en Política Criminal y Derechos Humanos (CEPOC)</w:t>
      </w:r>
    </w:p>
    <w:p w:rsidR="008F1A09" w:rsidRPr="00E407F9" w:rsidRDefault="008F1A09" w:rsidP="008F1A09">
      <w:pPr>
        <w:pStyle w:val="Bullet1G"/>
        <w:numPr>
          <w:ilvl w:val="0"/>
          <w:numId w:val="1"/>
        </w:numPr>
        <w:rPr>
          <w:lang w:val="es-ES_tradnl"/>
        </w:rPr>
      </w:pPr>
      <w:r w:rsidRPr="00E407F9">
        <w:rPr>
          <w:lang w:val="es-ES_tradnl"/>
        </w:rPr>
        <w:t>Comité Contra la Tortura – Comisión Provincial por la Memoria</w:t>
      </w:r>
    </w:p>
    <w:p w:rsidR="008F1A09" w:rsidRPr="00E407F9" w:rsidRDefault="008F1A09" w:rsidP="008F1A09">
      <w:pPr>
        <w:pStyle w:val="Bullet1G"/>
        <w:numPr>
          <w:ilvl w:val="0"/>
          <w:numId w:val="1"/>
        </w:numPr>
        <w:rPr>
          <w:lang w:val="es-ES_tradnl"/>
        </w:rPr>
      </w:pPr>
      <w:r w:rsidRPr="00E407F9">
        <w:rPr>
          <w:lang w:val="es-ES_tradnl"/>
        </w:rPr>
        <w:t xml:space="preserve">Grupo de Mujeres de la Argentina </w:t>
      </w:r>
    </w:p>
    <w:p w:rsidR="008F1A09" w:rsidRPr="00E407F9" w:rsidRDefault="008F1A09" w:rsidP="008F1A09">
      <w:pPr>
        <w:pStyle w:val="Bullet1G"/>
        <w:numPr>
          <w:ilvl w:val="0"/>
          <w:numId w:val="1"/>
        </w:numPr>
        <w:rPr>
          <w:lang w:val="es-ES_tradnl"/>
        </w:rPr>
      </w:pPr>
      <w:r w:rsidRPr="00E407F9">
        <w:rPr>
          <w:lang w:val="es-ES_tradnl"/>
        </w:rPr>
        <w:t>Instituto de Estudios Comparados en Ciencias Penales y Sociales (INECIP)</w:t>
      </w:r>
    </w:p>
    <w:p w:rsidR="008F1A09" w:rsidRPr="00E407F9" w:rsidRDefault="008F1A09" w:rsidP="008F1A09">
      <w:pPr>
        <w:pStyle w:val="HChG"/>
        <w:rPr>
          <w:lang w:val="es-ES_tradnl"/>
        </w:rPr>
      </w:pPr>
      <w:r w:rsidRPr="00E407F9">
        <w:rPr>
          <w:lang w:val="es-ES_tradnl"/>
        </w:rPr>
        <w:br w:type="page"/>
      </w:r>
      <w:bookmarkStart w:id="15" w:name="_Toc332721042"/>
      <w:r w:rsidRPr="00E407F9">
        <w:rPr>
          <w:lang w:val="es-ES_tradnl"/>
        </w:rPr>
        <w:t>Anexo II</w:t>
      </w:r>
      <w:bookmarkEnd w:id="15"/>
    </w:p>
    <w:p w:rsidR="008F1A09" w:rsidRPr="00E407F9" w:rsidRDefault="008F1A09" w:rsidP="008F1A09">
      <w:pPr>
        <w:pStyle w:val="HChG"/>
        <w:rPr>
          <w:lang w:val="es-ES_tradnl"/>
        </w:rPr>
      </w:pPr>
      <w:r w:rsidRPr="00E407F9">
        <w:rPr>
          <w:lang w:val="es-ES_tradnl"/>
        </w:rPr>
        <w:tab/>
      </w:r>
      <w:r w:rsidRPr="00E407F9">
        <w:rPr>
          <w:lang w:val="es-ES_tradnl"/>
        </w:rPr>
        <w:tab/>
      </w:r>
      <w:bookmarkStart w:id="16" w:name="_Toc332721043"/>
      <w:r w:rsidRPr="00E407F9">
        <w:rPr>
          <w:lang w:val="es-ES_tradnl"/>
        </w:rPr>
        <w:t>Lugares de privación de libertad visitados</w:t>
      </w:r>
      <w:bookmarkEnd w:id="16"/>
    </w:p>
    <w:p w:rsidR="008F1A09" w:rsidRPr="00E407F9" w:rsidRDefault="008F1A09" w:rsidP="008F1A09">
      <w:pPr>
        <w:pStyle w:val="HChG"/>
        <w:rPr>
          <w:lang w:val="es-ES_tradnl"/>
        </w:rPr>
      </w:pPr>
      <w:r w:rsidRPr="00E407F9">
        <w:rPr>
          <w:lang w:val="es-ES_tradnl"/>
        </w:rPr>
        <w:tab/>
      </w:r>
      <w:bookmarkStart w:id="17" w:name="_Toc332721044"/>
      <w:r w:rsidRPr="00E407F9">
        <w:rPr>
          <w:lang w:val="es-ES_tradnl"/>
        </w:rPr>
        <w:t>I.</w:t>
      </w:r>
      <w:r w:rsidRPr="00E407F9">
        <w:rPr>
          <w:lang w:val="es-ES_tradnl"/>
        </w:rPr>
        <w:tab/>
        <w:t>Establecimientos penitenciarios</w:t>
      </w:r>
      <w:bookmarkEnd w:id="17"/>
      <w:r w:rsidRPr="00E407F9">
        <w:rPr>
          <w:lang w:val="es-ES_tradnl"/>
        </w:rPr>
        <w:t xml:space="preserve"> </w:t>
      </w:r>
    </w:p>
    <w:p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Servicio Penitenciario Federal</w:t>
      </w:r>
    </w:p>
    <w:p w:rsidR="008F1A09" w:rsidRPr="00E407F9" w:rsidRDefault="008F1A09" w:rsidP="008F1A09">
      <w:pPr>
        <w:pStyle w:val="Bullet1G"/>
        <w:numPr>
          <w:ilvl w:val="0"/>
          <w:numId w:val="1"/>
        </w:numPr>
        <w:rPr>
          <w:lang w:val="es-ES_tradnl"/>
        </w:rPr>
      </w:pPr>
      <w:r w:rsidRPr="00E407F9">
        <w:rPr>
          <w:lang w:val="es-ES_tradnl"/>
        </w:rPr>
        <w:t>Complejo Penitenciario Federal I - Ezeiza</w:t>
      </w:r>
    </w:p>
    <w:p w:rsidR="008F1A09" w:rsidRPr="00E407F9" w:rsidRDefault="008F1A09" w:rsidP="008F1A09">
      <w:pPr>
        <w:pStyle w:val="Bullet1G"/>
        <w:numPr>
          <w:ilvl w:val="0"/>
          <w:numId w:val="1"/>
        </w:numPr>
        <w:rPr>
          <w:lang w:val="es-ES_tradnl"/>
        </w:rPr>
      </w:pPr>
      <w:r w:rsidRPr="00E407F9">
        <w:rPr>
          <w:lang w:val="es-ES_tradnl"/>
        </w:rPr>
        <w:t>Complejo Penitenciario Federal II - Marcos Paz</w:t>
      </w:r>
    </w:p>
    <w:p w:rsidR="008F1A09" w:rsidRPr="00E407F9" w:rsidRDefault="008F1A09" w:rsidP="008F1A09">
      <w:pPr>
        <w:pStyle w:val="Bullet1G"/>
        <w:numPr>
          <w:ilvl w:val="0"/>
          <w:numId w:val="1"/>
        </w:numPr>
        <w:rPr>
          <w:lang w:val="es-ES_tradnl"/>
        </w:rPr>
      </w:pPr>
      <w:r w:rsidRPr="00E407F9">
        <w:rPr>
          <w:lang w:val="es-ES_tradnl"/>
        </w:rPr>
        <w:t>Centro de Detención Judicial (Unidad 28)</w:t>
      </w:r>
    </w:p>
    <w:p w:rsidR="008F1A09" w:rsidRPr="00E407F9" w:rsidRDefault="008F1A09" w:rsidP="008F1A09">
      <w:pPr>
        <w:widowControl w:val="0"/>
        <w:autoSpaceDE w:val="0"/>
        <w:autoSpaceDN w:val="0"/>
        <w:adjustRightInd w:val="0"/>
        <w:rPr>
          <w:lang w:val="es-ES_tradnl"/>
        </w:rPr>
      </w:pPr>
    </w:p>
    <w:p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Servicio Penitenciario Bonaerense</w:t>
      </w:r>
    </w:p>
    <w:p w:rsidR="008F1A09" w:rsidRPr="00E407F9" w:rsidRDefault="008F1A09" w:rsidP="008F1A09">
      <w:pPr>
        <w:pStyle w:val="Bullet1G"/>
        <w:numPr>
          <w:ilvl w:val="0"/>
          <w:numId w:val="1"/>
        </w:numPr>
        <w:rPr>
          <w:lang w:val="es-ES_tradnl"/>
        </w:rPr>
      </w:pPr>
      <w:r w:rsidRPr="00E407F9">
        <w:rPr>
          <w:lang w:val="es-ES_tradnl"/>
        </w:rPr>
        <w:t>Unidad 1 Lisandro Olmos</w:t>
      </w:r>
    </w:p>
    <w:p w:rsidR="008F1A09" w:rsidRPr="00E407F9" w:rsidRDefault="008F1A09" w:rsidP="008F1A09">
      <w:pPr>
        <w:pStyle w:val="Bullet1G"/>
        <w:numPr>
          <w:ilvl w:val="0"/>
          <w:numId w:val="1"/>
        </w:numPr>
        <w:rPr>
          <w:lang w:val="es-ES_tradnl"/>
        </w:rPr>
      </w:pPr>
      <w:r w:rsidRPr="00E407F9">
        <w:rPr>
          <w:lang w:val="es-ES_tradnl"/>
        </w:rPr>
        <w:t>Unidad 3 San Nicolás</w:t>
      </w:r>
    </w:p>
    <w:p w:rsidR="008F1A09" w:rsidRPr="00E407F9" w:rsidRDefault="008F1A09" w:rsidP="008F1A09">
      <w:pPr>
        <w:pStyle w:val="Bullet1G"/>
        <w:numPr>
          <w:ilvl w:val="0"/>
          <w:numId w:val="1"/>
        </w:numPr>
        <w:rPr>
          <w:lang w:val="es-ES_tradnl"/>
        </w:rPr>
      </w:pPr>
      <w:r w:rsidRPr="00E407F9">
        <w:rPr>
          <w:lang w:val="es-ES_tradnl"/>
        </w:rPr>
        <w:t>Unidad 30 General Alvear</w:t>
      </w:r>
    </w:p>
    <w:p w:rsidR="008F1A09" w:rsidRPr="00E407F9" w:rsidRDefault="008F1A09" w:rsidP="008F1A09">
      <w:pPr>
        <w:pStyle w:val="Bullet1G"/>
        <w:numPr>
          <w:ilvl w:val="0"/>
          <w:numId w:val="1"/>
        </w:numPr>
        <w:rPr>
          <w:lang w:val="es-ES_tradnl"/>
        </w:rPr>
      </w:pPr>
      <w:r w:rsidRPr="00E407F9">
        <w:rPr>
          <w:lang w:val="es-ES_tradnl"/>
        </w:rPr>
        <w:t xml:space="preserve">Unidad 46 San Martín </w:t>
      </w:r>
    </w:p>
    <w:p w:rsidR="008F1A09" w:rsidRPr="00E407F9" w:rsidRDefault="008F1A09" w:rsidP="008F1A09">
      <w:pPr>
        <w:pStyle w:val="HChG"/>
        <w:rPr>
          <w:lang w:val="es-ES_tradnl"/>
        </w:rPr>
      </w:pPr>
      <w:r w:rsidRPr="00E407F9">
        <w:rPr>
          <w:lang w:val="es-ES_tradnl"/>
        </w:rPr>
        <w:tab/>
      </w:r>
      <w:bookmarkStart w:id="18" w:name="_Toc332721045"/>
      <w:r w:rsidRPr="00E407F9">
        <w:rPr>
          <w:lang w:val="es-ES_tradnl"/>
        </w:rPr>
        <w:t>II.</w:t>
      </w:r>
      <w:r w:rsidRPr="00E407F9">
        <w:rPr>
          <w:lang w:val="es-ES_tradnl"/>
        </w:rPr>
        <w:tab/>
        <w:t>Establecimientos policiales</w:t>
      </w:r>
      <w:bookmarkEnd w:id="18"/>
      <w:r w:rsidRPr="00E407F9">
        <w:rPr>
          <w:lang w:val="es-ES_tradnl"/>
        </w:rPr>
        <w:t xml:space="preserve"> </w:t>
      </w:r>
    </w:p>
    <w:p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Policía Federal Argentina</w:t>
      </w:r>
    </w:p>
    <w:p w:rsidR="008F1A09" w:rsidRPr="00E407F9" w:rsidRDefault="008F1A09" w:rsidP="008F1A09">
      <w:pPr>
        <w:pStyle w:val="Bullet1G"/>
        <w:numPr>
          <w:ilvl w:val="0"/>
          <w:numId w:val="1"/>
        </w:numPr>
        <w:rPr>
          <w:lang w:val="es-ES_tradnl"/>
        </w:rPr>
      </w:pPr>
      <w:r w:rsidRPr="00E407F9">
        <w:rPr>
          <w:lang w:val="es-ES_tradnl"/>
        </w:rPr>
        <w:t>Comisaría 3ª</w:t>
      </w:r>
    </w:p>
    <w:p w:rsidR="008F1A09" w:rsidRPr="00E407F9" w:rsidRDefault="008F1A09" w:rsidP="008F1A09">
      <w:pPr>
        <w:pStyle w:val="Bullet1G"/>
        <w:numPr>
          <w:ilvl w:val="0"/>
          <w:numId w:val="1"/>
        </w:numPr>
        <w:rPr>
          <w:lang w:val="es-ES_tradnl"/>
        </w:rPr>
      </w:pPr>
      <w:r w:rsidRPr="00E407F9">
        <w:rPr>
          <w:lang w:val="es-ES_tradnl"/>
        </w:rPr>
        <w:t xml:space="preserve">Comisaría 15ª </w:t>
      </w:r>
    </w:p>
    <w:p w:rsidR="008F1A09" w:rsidRPr="00E407F9" w:rsidRDefault="008F1A09" w:rsidP="008F1A09">
      <w:pPr>
        <w:pStyle w:val="Bullet1G"/>
        <w:numPr>
          <w:ilvl w:val="0"/>
          <w:numId w:val="1"/>
        </w:numPr>
        <w:rPr>
          <w:lang w:val="es-ES_tradnl"/>
        </w:rPr>
      </w:pPr>
      <w:r w:rsidRPr="00E407F9">
        <w:rPr>
          <w:lang w:val="es-ES_tradnl"/>
        </w:rPr>
        <w:t xml:space="preserve">Comisaría 16ª </w:t>
      </w:r>
    </w:p>
    <w:p w:rsidR="008F1A09" w:rsidRPr="00E407F9" w:rsidRDefault="008F1A09" w:rsidP="008F1A09">
      <w:pPr>
        <w:pStyle w:val="Bullet1G"/>
        <w:numPr>
          <w:ilvl w:val="0"/>
          <w:numId w:val="1"/>
        </w:numPr>
        <w:rPr>
          <w:lang w:val="es-ES_tradnl"/>
        </w:rPr>
      </w:pPr>
      <w:r w:rsidRPr="00E407F9">
        <w:rPr>
          <w:lang w:val="es-ES_tradnl"/>
        </w:rPr>
        <w:t>Comisaría 30ª</w:t>
      </w:r>
    </w:p>
    <w:p w:rsidR="008F1A09" w:rsidRPr="00E407F9" w:rsidRDefault="008F1A09" w:rsidP="008F1A09">
      <w:pPr>
        <w:widowControl w:val="0"/>
        <w:autoSpaceDE w:val="0"/>
        <w:autoSpaceDN w:val="0"/>
        <w:adjustRightInd w:val="0"/>
        <w:rPr>
          <w:rFonts w:ascii="Arial" w:hAnsi="Arial" w:cs="Arial"/>
          <w:lang w:val="es-ES_tradnl"/>
        </w:rPr>
      </w:pPr>
    </w:p>
    <w:p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Policía Bonaerense</w:t>
      </w:r>
    </w:p>
    <w:p w:rsidR="008F1A09" w:rsidRPr="00E407F9" w:rsidRDefault="008F1A09" w:rsidP="008F1A09">
      <w:pPr>
        <w:pStyle w:val="Bullet1G"/>
        <w:numPr>
          <w:ilvl w:val="0"/>
          <w:numId w:val="1"/>
        </w:numPr>
        <w:rPr>
          <w:lang w:val="es-ES_tradnl"/>
        </w:rPr>
      </w:pPr>
      <w:r w:rsidRPr="00E407F9">
        <w:rPr>
          <w:lang w:val="es-ES_tradnl"/>
        </w:rPr>
        <w:t>Comisaría Ensenada 3ª, El Dique</w:t>
      </w:r>
    </w:p>
    <w:p w:rsidR="008F1A09" w:rsidRPr="00E407F9" w:rsidRDefault="008F1A09" w:rsidP="008F1A09">
      <w:pPr>
        <w:pStyle w:val="Bullet1G"/>
        <w:numPr>
          <w:ilvl w:val="0"/>
          <w:numId w:val="1"/>
        </w:numPr>
        <w:rPr>
          <w:lang w:val="es-ES_tradnl"/>
        </w:rPr>
      </w:pPr>
      <w:r w:rsidRPr="00E407F9">
        <w:rPr>
          <w:lang w:val="es-ES_tradnl"/>
        </w:rPr>
        <w:t>Comisaría Ensenada 2ª, Puna Lara</w:t>
      </w:r>
    </w:p>
    <w:p w:rsidR="008F1A09" w:rsidRPr="00E407F9" w:rsidRDefault="008F1A09" w:rsidP="008F1A09">
      <w:pPr>
        <w:pStyle w:val="Bullet1G"/>
        <w:numPr>
          <w:ilvl w:val="0"/>
          <w:numId w:val="1"/>
        </w:numPr>
        <w:rPr>
          <w:lang w:val="es-ES_tradnl"/>
        </w:rPr>
      </w:pPr>
      <w:r w:rsidRPr="00E407F9">
        <w:rPr>
          <w:lang w:val="es-ES_tradnl"/>
        </w:rPr>
        <w:t>Comisaría</w:t>
      </w:r>
      <w:r>
        <w:rPr>
          <w:lang w:val="es-ES_tradnl"/>
        </w:rPr>
        <w:t xml:space="preserve"> Lomas de Zamora 9ª, Parque Baró</w:t>
      </w:r>
      <w:r w:rsidRPr="00E407F9">
        <w:rPr>
          <w:lang w:val="es-ES_tradnl"/>
        </w:rPr>
        <w:t>n</w:t>
      </w:r>
    </w:p>
    <w:p w:rsidR="008F1A09" w:rsidRPr="00E407F9" w:rsidRDefault="008F1A09" w:rsidP="008F1A09">
      <w:pPr>
        <w:pStyle w:val="Bullet1G"/>
        <w:numPr>
          <w:ilvl w:val="0"/>
          <w:numId w:val="1"/>
        </w:numPr>
        <w:rPr>
          <w:lang w:val="es-ES_tradnl"/>
        </w:rPr>
      </w:pPr>
      <w:r w:rsidRPr="00E407F9">
        <w:rPr>
          <w:lang w:val="es-ES_tradnl"/>
        </w:rPr>
        <w:t>Comisaría Lomas de Zamora 5ª, Villa Fiorito</w:t>
      </w:r>
    </w:p>
    <w:p w:rsidR="008F1A09" w:rsidRDefault="008F1A09" w:rsidP="008F1A09">
      <w:pPr>
        <w:pStyle w:val="Bullet1G"/>
        <w:numPr>
          <w:ilvl w:val="0"/>
          <w:numId w:val="1"/>
        </w:numPr>
        <w:rPr>
          <w:lang w:val="es-ES_tradnl"/>
        </w:rPr>
      </w:pPr>
      <w:r w:rsidRPr="00E407F9">
        <w:rPr>
          <w:lang w:val="es-ES_tradnl"/>
        </w:rPr>
        <w:t>Comisaría de la Mujer y la Familia, La Plata</w:t>
      </w:r>
    </w:p>
    <w:p w:rsidR="008F1A09" w:rsidRPr="00E407F9" w:rsidRDefault="008F1A09" w:rsidP="008F1A09">
      <w:pPr>
        <w:pStyle w:val="Bullet1G"/>
        <w:numPr>
          <w:ilvl w:val="0"/>
          <w:numId w:val="1"/>
        </w:numPr>
        <w:rPr>
          <w:lang w:val="es-ES_tradnl"/>
        </w:rPr>
      </w:pPr>
      <w:r>
        <w:rPr>
          <w:lang w:val="es-ES_tradnl"/>
        </w:rPr>
        <w:t>Alcaidía Departamental Roberto Pettinato, La Plata</w:t>
      </w:r>
    </w:p>
    <w:p w:rsidR="008F1A09" w:rsidRPr="00E407F9" w:rsidRDefault="008F1A09" w:rsidP="008F1A09">
      <w:pPr>
        <w:widowControl w:val="0"/>
        <w:autoSpaceDE w:val="0"/>
        <w:autoSpaceDN w:val="0"/>
        <w:adjustRightInd w:val="0"/>
        <w:rPr>
          <w:rFonts w:ascii="Arial" w:hAnsi="Arial" w:cs="Arial"/>
          <w:lang w:val="es-ES_tradnl"/>
        </w:rPr>
      </w:pPr>
    </w:p>
    <w:p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Policía Ciudad Buenos Aires</w:t>
      </w:r>
    </w:p>
    <w:p w:rsidR="008F1A09" w:rsidRPr="00E407F9" w:rsidRDefault="008F1A09" w:rsidP="008F1A09">
      <w:pPr>
        <w:pStyle w:val="Bullet1G"/>
        <w:numPr>
          <w:ilvl w:val="0"/>
          <w:numId w:val="1"/>
        </w:numPr>
        <w:rPr>
          <w:lang w:val="es-ES_tradnl"/>
        </w:rPr>
      </w:pPr>
      <w:r w:rsidRPr="00E407F9">
        <w:rPr>
          <w:lang w:val="es-ES_tradnl"/>
        </w:rPr>
        <w:t>Seccional 1</w:t>
      </w:r>
    </w:p>
    <w:p w:rsidR="008F1A09" w:rsidRPr="00E407F9" w:rsidRDefault="008F1A09" w:rsidP="008F1A09">
      <w:pPr>
        <w:pStyle w:val="HChG"/>
        <w:rPr>
          <w:lang w:val="es-ES_tradnl"/>
        </w:rPr>
      </w:pPr>
      <w:r w:rsidRPr="00E407F9">
        <w:rPr>
          <w:lang w:val="es-ES_tradnl"/>
        </w:rPr>
        <w:tab/>
      </w:r>
      <w:bookmarkStart w:id="19" w:name="_Toc332721046"/>
      <w:r w:rsidRPr="00E407F9">
        <w:rPr>
          <w:lang w:val="es-ES_tradnl"/>
        </w:rPr>
        <w:t>III.</w:t>
      </w:r>
      <w:r w:rsidRPr="00E407F9">
        <w:rPr>
          <w:lang w:val="es-ES_tradnl"/>
        </w:rPr>
        <w:tab/>
        <w:t>Centros para niños y adolescentes</w:t>
      </w:r>
      <w:bookmarkEnd w:id="19"/>
      <w:r w:rsidRPr="00E407F9">
        <w:rPr>
          <w:lang w:val="es-ES_tradnl"/>
        </w:rPr>
        <w:t xml:space="preserve"> </w:t>
      </w:r>
    </w:p>
    <w:p w:rsidR="008F1A09" w:rsidRPr="00E407F9" w:rsidRDefault="008F1A09" w:rsidP="008F1A09">
      <w:pPr>
        <w:pStyle w:val="Bullet1G"/>
        <w:numPr>
          <w:ilvl w:val="0"/>
          <w:numId w:val="1"/>
        </w:numPr>
        <w:rPr>
          <w:lang w:val="es-ES_tradnl"/>
        </w:rPr>
      </w:pPr>
      <w:r w:rsidRPr="00E407F9">
        <w:rPr>
          <w:lang w:val="es-ES_tradnl"/>
        </w:rPr>
        <w:t>Centro de Recepción Lomas de Zamora</w:t>
      </w:r>
    </w:p>
    <w:p w:rsidR="008F1A09" w:rsidRPr="00E407F9" w:rsidRDefault="008F1A09" w:rsidP="008F1A09">
      <w:pPr>
        <w:pStyle w:val="Bullet1G"/>
        <w:numPr>
          <w:ilvl w:val="0"/>
          <w:numId w:val="1"/>
        </w:numPr>
        <w:rPr>
          <w:rFonts w:ascii="Arial" w:hAnsi="Arial" w:cs="Arial"/>
          <w:lang w:val="es-ES_tradnl"/>
        </w:rPr>
      </w:pPr>
      <w:r>
        <w:rPr>
          <w:lang w:val="es-ES_tradnl"/>
        </w:rPr>
        <w:t>Instituto</w:t>
      </w:r>
      <w:r w:rsidRPr="00E407F9">
        <w:rPr>
          <w:lang w:val="es-ES_tradnl"/>
        </w:rPr>
        <w:t xml:space="preserve"> Almafuerte</w:t>
      </w:r>
    </w:p>
    <w:p w:rsidR="008F1A09" w:rsidRPr="00E407F9" w:rsidRDefault="008F1A09" w:rsidP="008F1A09">
      <w:pPr>
        <w:pStyle w:val="HChG"/>
        <w:rPr>
          <w:lang w:val="es-ES_tradnl"/>
        </w:rPr>
      </w:pPr>
      <w:r w:rsidRPr="00E407F9">
        <w:rPr>
          <w:lang w:val="es-ES_tradnl"/>
        </w:rPr>
        <w:tab/>
      </w:r>
      <w:bookmarkStart w:id="20" w:name="_Toc332721047"/>
      <w:r w:rsidRPr="00E407F9">
        <w:rPr>
          <w:lang w:val="es-ES_tradnl"/>
        </w:rPr>
        <w:t>IV.</w:t>
      </w:r>
      <w:r w:rsidRPr="00E407F9">
        <w:rPr>
          <w:lang w:val="es-ES_tradnl"/>
        </w:rPr>
        <w:tab/>
      </w:r>
      <w:bookmarkEnd w:id="20"/>
      <w:r w:rsidRPr="00E407F9">
        <w:rPr>
          <w:lang w:val="es-ES_tradnl"/>
        </w:rPr>
        <w:t xml:space="preserve">Instituciones psiquiátricas </w:t>
      </w:r>
    </w:p>
    <w:p w:rsidR="008F1A09" w:rsidRPr="00E407F9" w:rsidRDefault="008F1A09" w:rsidP="008F1A09">
      <w:pPr>
        <w:pStyle w:val="Bullet1G"/>
        <w:numPr>
          <w:ilvl w:val="0"/>
          <w:numId w:val="1"/>
        </w:numPr>
        <w:rPr>
          <w:lang w:val="es-ES_tradnl"/>
        </w:rPr>
      </w:pPr>
      <w:r w:rsidRPr="00E407F9">
        <w:rPr>
          <w:lang w:val="es-ES_tradnl"/>
        </w:rPr>
        <w:t>Hospital Neuropsiquiátrico José Tiburcio Borda</w:t>
      </w:r>
    </w:p>
    <w:p w:rsidR="008F1A09" w:rsidRPr="00E407F9" w:rsidRDefault="008F1A09" w:rsidP="008F1A09">
      <w:pPr>
        <w:pStyle w:val="Bullet1G"/>
        <w:numPr>
          <w:ilvl w:val="0"/>
          <w:numId w:val="1"/>
        </w:numPr>
        <w:rPr>
          <w:lang w:val="es-ES_tradnl"/>
        </w:rPr>
      </w:pPr>
      <w:r w:rsidRPr="00E407F9">
        <w:rPr>
          <w:lang w:val="es-ES_tradnl"/>
        </w:rPr>
        <w:t>Hospital Neuropsiquiátrico Braulio Moyano</w:t>
      </w:r>
    </w:p>
    <w:p w:rsidR="008F1A09" w:rsidRPr="00E407F9" w:rsidRDefault="008F1A09" w:rsidP="008F1A09">
      <w:pPr>
        <w:pStyle w:val="Bullet1G"/>
        <w:numPr>
          <w:ilvl w:val="0"/>
          <w:numId w:val="1"/>
        </w:numPr>
        <w:rPr>
          <w:lang w:val="es-ES_tradnl"/>
        </w:rPr>
      </w:pPr>
      <w:r w:rsidRPr="00E407F9">
        <w:rPr>
          <w:lang w:val="es-ES_tradnl"/>
        </w:rPr>
        <w:t>Hospital Neuropsiquiátrico Alejandro Korn</w:t>
      </w:r>
    </w:p>
    <w:p w:rsidR="008F1A09" w:rsidRPr="00E407F9" w:rsidRDefault="008F1A09" w:rsidP="008F1A09">
      <w:pPr>
        <w:pStyle w:val="Bullet1G"/>
        <w:numPr>
          <w:ilvl w:val="0"/>
          <w:numId w:val="1"/>
        </w:numPr>
        <w:rPr>
          <w:lang w:val="es-ES_tradnl"/>
        </w:rPr>
      </w:pPr>
      <w:r w:rsidRPr="00E407F9">
        <w:rPr>
          <w:lang w:val="es-ES_tradnl"/>
        </w:rPr>
        <w:t>Servicio Psiquiátrico Central de Varones (Unidad 20)</w:t>
      </w:r>
    </w:p>
    <w:p w:rsidR="00356BF2" w:rsidRDefault="00356BF2" w:rsidP="00356BF2">
      <w:pPr>
        <w:suppressAutoHyphens/>
        <w:spacing w:before="240" w:line="240" w:lineRule="auto"/>
        <w:ind w:left="1134" w:right="1134"/>
        <w:jc w:val="center"/>
        <w:rPr>
          <w:u w:val="single"/>
          <w:lang w:eastAsia="en-US"/>
        </w:rPr>
      </w:pPr>
      <w:r w:rsidRPr="00FA10B3">
        <w:rPr>
          <w:u w:val="single"/>
          <w:lang w:eastAsia="en-US"/>
        </w:rPr>
        <w:tab/>
      </w:r>
      <w:r w:rsidRPr="00FA10B3">
        <w:rPr>
          <w:u w:val="single"/>
          <w:lang w:eastAsia="en-US"/>
        </w:rPr>
        <w:tab/>
      </w:r>
      <w:r w:rsidRPr="00FA10B3">
        <w:rPr>
          <w:u w:val="single"/>
          <w:lang w:eastAsia="en-US"/>
        </w:rPr>
        <w:tab/>
      </w:r>
    </w:p>
    <w:sectPr w:rsidR="00356BF2" w:rsidSect="00FC1D5D">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EC" w:rsidRDefault="001A47EC">
      <w:r>
        <w:separator/>
      </w:r>
    </w:p>
  </w:endnote>
  <w:endnote w:type="continuationSeparator" w:id="0">
    <w:p w:rsidR="001A47EC" w:rsidRDefault="001A4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4E" w:rsidRPr="00F209D8" w:rsidRDefault="00D1304E" w:rsidP="00F209D8">
    <w:pPr>
      <w:pStyle w:val="Footer"/>
      <w:tabs>
        <w:tab w:val="right" w:pos="9638"/>
      </w:tabs>
    </w:pPr>
    <w:r w:rsidRPr="00F209D8">
      <w:rPr>
        <w:b/>
        <w:sz w:val="18"/>
      </w:rPr>
      <w:fldChar w:fldCharType="begin"/>
    </w:r>
    <w:r w:rsidRPr="00F209D8">
      <w:rPr>
        <w:b/>
        <w:sz w:val="18"/>
      </w:rPr>
      <w:instrText xml:space="preserve"> PAGE  \* MERGEFORMAT </w:instrText>
    </w:r>
    <w:r w:rsidRPr="00F209D8">
      <w:rPr>
        <w:b/>
        <w:sz w:val="18"/>
      </w:rPr>
      <w:fldChar w:fldCharType="separate"/>
    </w:r>
    <w:r>
      <w:rPr>
        <w:b/>
        <w:noProof/>
        <w:sz w:val="18"/>
      </w:rPr>
      <w:t>2</w:t>
    </w:r>
    <w:r w:rsidRPr="00F209D8">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4E" w:rsidRPr="00F209D8" w:rsidRDefault="00D1304E" w:rsidP="00F209D8">
    <w:pPr>
      <w:pStyle w:val="Footer"/>
      <w:tabs>
        <w:tab w:val="right" w:pos="9638"/>
      </w:tabs>
      <w:rPr>
        <w:b/>
        <w:sz w:val="18"/>
      </w:rPr>
    </w:pPr>
    <w:r>
      <w:tab/>
    </w:r>
    <w:r w:rsidRPr="00F209D8">
      <w:rPr>
        <w:b/>
        <w:sz w:val="18"/>
      </w:rPr>
      <w:fldChar w:fldCharType="begin"/>
    </w:r>
    <w:r w:rsidRPr="00F209D8">
      <w:rPr>
        <w:b/>
        <w:sz w:val="18"/>
      </w:rPr>
      <w:instrText xml:space="preserve"> PAGE  \* MERGEFORMAT </w:instrText>
    </w:r>
    <w:r w:rsidRPr="00F209D8">
      <w:rPr>
        <w:b/>
        <w:sz w:val="18"/>
      </w:rPr>
      <w:fldChar w:fldCharType="separate"/>
    </w:r>
    <w:r>
      <w:rPr>
        <w:b/>
        <w:noProof/>
        <w:sz w:val="18"/>
      </w:rPr>
      <w:t>25</w:t>
    </w:r>
    <w:r w:rsidRPr="00F209D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4E" w:rsidRPr="004A28A6" w:rsidRDefault="00D1304E" w:rsidP="00844DC3">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Spanish" style="position:absolute;margin-left:397.15pt;margin-top:-6.95pt;width:85.5pt;height:18pt;z-index:1;visibility:visible">
          <v:imagedata r:id="rId1" o:title="recycle_Spanish"/>
          <w10:anchorlock/>
        </v:shape>
      </w:pict>
    </w:r>
    <w:r w:rsidRPr="004A28A6">
      <w:rPr>
        <w:sz w:val="20"/>
      </w:rPr>
      <w:t>GE.</w:t>
    </w:r>
    <w:r>
      <w:rPr>
        <w:sz w:val="20"/>
      </w:rPr>
      <w:t>13-49222</w:t>
    </w:r>
  </w:p>
  <w:p w:rsidR="00D1304E" w:rsidRDefault="00D13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EC" w:rsidRPr="001075E9" w:rsidRDefault="001A47EC" w:rsidP="001075E9">
      <w:pPr>
        <w:tabs>
          <w:tab w:val="right" w:pos="2155"/>
        </w:tabs>
        <w:spacing w:after="80" w:line="240" w:lineRule="auto"/>
        <w:ind w:left="680"/>
        <w:rPr>
          <w:u w:val="single"/>
        </w:rPr>
      </w:pPr>
      <w:r>
        <w:rPr>
          <w:u w:val="single"/>
        </w:rPr>
        <w:tab/>
      </w:r>
    </w:p>
  </w:footnote>
  <w:footnote w:type="continuationSeparator" w:id="0">
    <w:p w:rsidR="001A47EC" w:rsidRDefault="001A47EC" w:rsidP="001B04E7">
      <w:pPr>
        <w:tabs>
          <w:tab w:val="right" w:pos="2155"/>
        </w:tabs>
        <w:spacing w:after="80" w:line="240" w:lineRule="auto"/>
        <w:ind w:left="680"/>
        <w:rPr>
          <w:u w:val="single"/>
        </w:rPr>
      </w:pPr>
      <w:r>
        <w:rPr>
          <w:u w:val="single"/>
        </w:rPr>
        <w:tab/>
      </w:r>
    </w:p>
  </w:footnote>
  <w:footnote w:id="1">
    <w:p w:rsidR="00D1304E" w:rsidRPr="00D1304E" w:rsidRDefault="00D1304E" w:rsidP="00324F62">
      <w:pPr>
        <w:pStyle w:val="FootnoteText"/>
        <w:tabs>
          <w:tab w:val="clear" w:pos="1021"/>
          <w:tab w:val="right" w:pos="1276"/>
        </w:tabs>
      </w:pPr>
      <w:r>
        <w:tab/>
      </w:r>
      <w:r>
        <w:rPr>
          <w:rStyle w:val="FootnoteReference"/>
        </w:rPr>
        <w:tab/>
      </w:r>
      <w:r w:rsidRPr="00324F62">
        <w:rPr>
          <w:rStyle w:val="FootnoteReference"/>
          <w:sz w:val="20"/>
        </w:rPr>
        <w:t>*</w:t>
      </w:r>
      <w:r>
        <w:rPr>
          <w:sz w:val="20"/>
        </w:rPr>
        <w:t xml:space="preserve">  </w:t>
      </w:r>
      <w:r w:rsidRPr="00D1304E">
        <w:rPr>
          <w:sz w:val="20"/>
        </w:rPr>
        <w:t>De conformidad con la decisión que el Subcomité adoptó en su quinto período de sesiones en relación con la publicación de los informes de sus visitas, el presente documento no fue objeto de revisión editorial antes de su envío a los servicios de traducción de las Naciones Unidas.</w:t>
      </w:r>
    </w:p>
  </w:footnote>
  <w:footnote w:id="2">
    <w:p w:rsidR="00D1304E" w:rsidRPr="00D1304E" w:rsidRDefault="00D1304E" w:rsidP="00324F62">
      <w:pPr>
        <w:pStyle w:val="FootnoteText"/>
        <w:tabs>
          <w:tab w:val="clear" w:pos="1021"/>
        </w:tabs>
      </w:pPr>
      <w:r>
        <w:tab/>
      </w:r>
      <w:r w:rsidRPr="00324F62">
        <w:rPr>
          <w:rStyle w:val="FootnoteReference"/>
          <w:szCs w:val="18"/>
        </w:rPr>
        <w:t>*</w:t>
      </w:r>
      <w:r>
        <w:rPr>
          <w:rStyle w:val="FootnoteReference"/>
        </w:rPr>
        <w:t>*</w:t>
      </w:r>
      <w:r w:rsidRPr="00D1304E">
        <w:rPr>
          <w:color w:val="000000"/>
          <w:lang w:eastAsia="da-DK"/>
        </w:rPr>
        <w:t xml:space="preserve"> </w:t>
      </w:r>
      <w:r w:rsidRPr="00D1304E">
        <w:t>De conformidad con el párrafo 1 del artículo 16 del Protocolo Facultativo, el presente informe fue transmitido con carácter confidencial al Estado parte el 21 de diciembre de 2012. El 11 de noviembre de 2013 el Estado parte comunicó su decisión de hacerlo público.</w:t>
      </w:r>
    </w:p>
    <w:p w:rsidR="00D1304E" w:rsidRPr="00D1304E" w:rsidRDefault="00D1304E" w:rsidP="00324F62">
      <w:pPr>
        <w:pStyle w:val="FootnoteText"/>
        <w:tabs>
          <w:tab w:val="right" w:pos="851"/>
        </w:tabs>
      </w:pPr>
    </w:p>
  </w:footnote>
  <w:footnote w:id="3">
    <w:p w:rsidR="00D1304E" w:rsidRDefault="00D1304E"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Para más información sobre el Subcomité, consúltese la página web: http://www2.ohchr.org/</w:t>
      </w:r>
      <w:r w:rsidRPr="00605E50">
        <w:br/>
        <w:t>english/bodies/cat/opcat/index.htm.</w:t>
      </w:r>
    </w:p>
  </w:footnote>
  <w:footnote w:id="4">
    <w:p w:rsidR="00D1304E" w:rsidRDefault="00D1304E"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Véase el anexo II.</w:t>
      </w:r>
    </w:p>
  </w:footnote>
  <w:footnote w:id="5">
    <w:p w:rsidR="00D1304E" w:rsidRDefault="00D1304E"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Véase el anexo I.</w:t>
      </w:r>
    </w:p>
  </w:footnote>
  <w:footnote w:id="6">
    <w:p w:rsidR="00D1304E" w:rsidRDefault="00D1304E"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 xml:space="preserve">Las observaciones preliminares fueron comunicadas posteriormente por escrito al Estado parte el </w:t>
      </w:r>
      <w:r>
        <w:t>3</w:t>
      </w:r>
      <w:r w:rsidRPr="00605E50">
        <w:t xml:space="preserve">1 de </w:t>
      </w:r>
      <w:r>
        <w:t>mayo de 2012</w:t>
      </w:r>
      <w:r w:rsidRPr="00605E50">
        <w:t>.</w:t>
      </w:r>
    </w:p>
  </w:footnote>
  <w:footnote w:id="7">
    <w:p w:rsidR="00D1304E" w:rsidRDefault="00D1304E"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De conformidad con el artículo 16 de la Convención contra la Tortura y Otros Tratos o Penas Crueles, Inhumanos o Degradantes (en lo sucesivo "la Convención").</w:t>
      </w:r>
    </w:p>
  </w:footnote>
  <w:footnote w:id="8">
    <w:p w:rsidR="00D1304E" w:rsidRPr="006E5188" w:rsidRDefault="00D1304E" w:rsidP="00FA1C3F">
      <w:pPr>
        <w:pStyle w:val="FootnoteText"/>
        <w:widowControl w:val="0"/>
        <w:tabs>
          <w:tab w:val="clear" w:pos="1021"/>
          <w:tab w:val="right" w:pos="1020"/>
        </w:tabs>
        <w:suppressAutoHyphens/>
        <w:ind w:firstLine="0"/>
        <w:jc w:val="both"/>
        <w:rPr>
          <w:lang w:val="fr-FR"/>
        </w:rPr>
      </w:pPr>
      <w:r>
        <w:rPr>
          <w:rStyle w:val="FootnoteReference"/>
        </w:rPr>
        <w:footnoteRef/>
      </w:r>
      <w:r>
        <w:rPr>
          <w:lang w:val="fr-FR"/>
        </w:rPr>
        <w:t xml:space="preserve"> </w:t>
      </w:r>
      <w:r w:rsidRPr="006E5188">
        <w:rPr>
          <w:lang w:val="fr-FR"/>
        </w:rPr>
        <w:t>Véase http://www2.ohchr.org/english/bodies/cat/opcat/SpecialFund.htm.</w:t>
      </w:r>
    </w:p>
  </w:footnote>
  <w:footnote w:id="9">
    <w:p w:rsidR="00D1304E" w:rsidRPr="003E3034" w:rsidRDefault="00D1304E" w:rsidP="00FA1C3F">
      <w:pPr>
        <w:pStyle w:val="FootnoteText"/>
        <w:ind w:firstLine="0"/>
        <w:jc w:val="both"/>
        <w:rPr>
          <w:lang w:val="es-ES_tradnl"/>
        </w:rPr>
      </w:pPr>
      <w:r>
        <w:rPr>
          <w:rStyle w:val="FootnoteReference"/>
        </w:rPr>
        <w:footnoteRef/>
      </w:r>
      <w:r>
        <w:t xml:space="preserve"> </w:t>
      </w:r>
      <w:r w:rsidRPr="003E3034">
        <w:rPr>
          <w:lang w:val="es-ES_tradnl"/>
        </w:rPr>
        <w:t>Directrices relativas a los mecanismos nacionales de prevenci</w:t>
      </w:r>
      <w:r>
        <w:rPr>
          <w:lang w:val="es-ES_tradnl"/>
        </w:rPr>
        <w:t>ón, CAT/OP/12/5, párrafos 12 y 18.</w:t>
      </w:r>
    </w:p>
  </w:footnote>
  <w:footnote w:id="10">
    <w:p w:rsidR="00D1304E" w:rsidRDefault="00D1304E"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A2774D">
        <w:t>Conjunto de principios</w:t>
      </w:r>
      <w:r w:rsidRPr="00D45633">
        <w:t>, principio 13.</w:t>
      </w:r>
    </w:p>
  </w:footnote>
  <w:footnote w:id="11">
    <w:p w:rsidR="00D1304E" w:rsidRDefault="00D1304E"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8D7E02">
        <w:t>CAT/C/GC/2, párr. 13; Conjunto de principios, principio 16 1).</w:t>
      </w:r>
    </w:p>
  </w:footnote>
  <w:footnote w:id="12">
    <w:p w:rsidR="00D1304E" w:rsidRDefault="00D1304E" w:rsidP="00FA1C3F">
      <w:pPr>
        <w:pStyle w:val="FootnoteText"/>
        <w:widowControl w:val="0"/>
        <w:suppressAutoHyphens/>
        <w:ind w:firstLine="0"/>
        <w:jc w:val="both"/>
      </w:pPr>
      <w:r>
        <w:rPr>
          <w:rStyle w:val="FootnoteReference"/>
        </w:rPr>
        <w:footnoteRef/>
      </w:r>
      <w:r>
        <w:t xml:space="preserve"> </w:t>
      </w:r>
      <w:r>
        <w:rPr>
          <w:bCs/>
          <w:szCs w:val="24"/>
          <w:lang w:val="es-ES_tradnl"/>
        </w:rPr>
        <w:t>Conjunto de Principios, cit., principio 26.</w:t>
      </w:r>
      <w:r>
        <w:rPr>
          <w:lang w:val="es-ES_tradnl"/>
        </w:rPr>
        <w:t xml:space="preserve"> </w:t>
      </w:r>
    </w:p>
  </w:footnote>
  <w:footnote w:id="13">
    <w:p w:rsidR="00D1304E" w:rsidRDefault="00D1304E"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DA5BC4">
        <w:t>Entre ellas el Código de conducta de las Naciones Unidas para funcionarios encargados de hacer cumplir la ley, aprobado por la Asamblea General en su resolución 34/169.</w:t>
      </w:r>
    </w:p>
  </w:footnote>
  <w:footnote w:id="14">
    <w:p w:rsidR="00D1304E" w:rsidRPr="000A3C41" w:rsidRDefault="00D1304E" w:rsidP="00FA1C3F">
      <w:pPr>
        <w:pStyle w:val="FootnoteText"/>
        <w:ind w:firstLine="0"/>
        <w:jc w:val="both"/>
        <w:rPr>
          <w:lang w:val="es-ES_tradnl"/>
        </w:rPr>
      </w:pPr>
      <w:r>
        <w:rPr>
          <w:rStyle w:val="FootnoteReference"/>
        </w:rPr>
        <w:footnoteRef/>
      </w:r>
      <w:r>
        <w:t xml:space="preserve"> Observaciones finales del Comité de Derechos Humanos, 31 de marzo de 2010, </w:t>
      </w:r>
      <w:r w:rsidRPr="000A3C41">
        <w:rPr>
          <w:lang w:val="es-ES_tradnl"/>
        </w:rPr>
        <w:t xml:space="preserve">CCPR/C/ARG/CO/4, </w:t>
      </w:r>
      <w:r>
        <w:rPr>
          <w:lang w:val="es-ES_tradnl"/>
        </w:rPr>
        <w:t>párr. 16.</w:t>
      </w:r>
      <w:r w:rsidRPr="000A3C41">
        <w:rPr>
          <w:lang w:val="es-ES_tradnl"/>
        </w:rPr>
        <w:t xml:space="preserve"> </w:t>
      </w:r>
    </w:p>
  </w:footnote>
  <w:footnote w:id="15">
    <w:p w:rsidR="00D1304E" w:rsidRPr="008650F3" w:rsidRDefault="00D1304E" w:rsidP="00FA1C3F">
      <w:pPr>
        <w:pStyle w:val="FootnoteText"/>
        <w:ind w:firstLine="0"/>
        <w:jc w:val="both"/>
        <w:rPr>
          <w:lang w:val="es-GT"/>
        </w:rPr>
      </w:pPr>
      <w:r>
        <w:rPr>
          <w:rStyle w:val="FootnoteReference"/>
        </w:rPr>
        <w:footnoteRef/>
      </w:r>
      <w:r w:rsidRPr="008650F3">
        <w:rPr>
          <w:lang w:val="es-GT"/>
        </w:rPr>
        <w:t xml:space="preserve"> </w:t>
      </w:r>
      <w:r>
        <w:rPr>
          <w:lang w:val="es-GT"/>
        </w:rPr>
        <w:t xml:space="preserve">Pacto Internacional de Derechos Civiles y Políticos, art. 10 y </w:t>
      </w:r>
      <w:r w:rsidRPr="004821AA">
        <w:rPr>
          <w:lang w:val="es-GT"/>
        </w:rPr>
        <w:t>Reglas mínimas para el tratamiento de</w:t>
      </w:r>
      <w:r>
        <w:rPr>
          <w:lang w:val="es-GT"/>
        </w:rPr>
        <w:t xml:space="preserve"> los reclusos, regla 8, inciso b.</w:t>
      </w:r>
    </w:p>
  </w:footnote>
  <w:footnote w:id="16">
    <w:p w:rsidR="00D1304E" w:rsidRPr="004821AA" w:rsidRDefault="00D1304E" w:rsidP="00FA1C3F">
      <w:pPr>
        <w:pStyle w:val="FootnoteText"/>
        <w:ind w:firstLine="0"/>
        <w:jc w:val="both"/>
        <w:rPr>
          <w:lang w:val="es-GT"/>
        </w:rPr>
      </w:pPr>
      <w:r>
        <w:rPr>
          <w:rStyle w:val="FootnoteReference"/>
        </w:rPr>
        <w:footnoteRef/>
      </w:r>
      <w:r w:rsidRPr="004821AA">
        <w:rPr>
          <w:lang w:val="es-GT"/>
        </w:rPr>
        <w:t xml:space="preserve"> Reglas mínimas para el tratamiento de los reclusos, regla 24; Conjunto de principios para la protección de todas las personas sometidas a cualquier forma de detención o prisión (Conjunto de principios), principio 24.</w:t>
      </w:r>
    </w:p>
  </w:footnote>
  <w:footnote w:id="17">
    <w:p w:rsidR="00D1304E" w:rsidRPr="00B0238F" w:rsidRDefault="00D1304E" w:rsidP="00FA1C3F">
      <w:pPr>
        <w:pStyle w:val="FootnoteText"/>
        <w:ind w:firstLine="0"/>
        <w:jc w:val="both"/>
        <w:rPr>
          <w:lang w:val="es-GT"/>
        </w:rPr>
      </w:pPr>
      <w:r>
        <w:rPr>
          <w:rStyle w:val="FootnoteReference"/>
        </w:rPr>
        <w:footnoteRef/>
      </w:r>
      <w:r w:rsidRPr="00B0238F">
        <w:rPr>
          <w:lang w:val="es-GT"/>
        </w:rPr>
        <w:t xml:space="preserve"> Reglas de las Naciones Unidas para el tratamiento de las reclusas y medidas no privativas de la libertad para las mujeres delincuentes (Reglas de Bangkok), aprobadas por la Asamblea General en su resolución 65/229, reglas 48 y 51.</w:t>
      </w:r>
      <w:r>
        <w:rPr>
          <w:lang w:val="es-GT"/>
        </w:rPr>
        <w:t xml:space="preserve"> </w:t>
      </w:r>
    </w:p>
  </w:footnote>
  <w:footnote w:id="18">
    <w:p w:rsidR="00D1304E" w:rsidRPr="00F25A7A" w:rsidRDefault="00D1304E" w:rsidP="00FA1C3F">
      <w:pPr>
        <w:pStyle w:val="FootnoteText"/>
        <w:ind w:firstLine="0"/>
        <w:jc w:val="both"/>
        <w:rPr>
          <w:lang w:val="es-ES_tradnl"/>
        </w:rPr>
      </w:pPr>
      <w:r>
        <w:rPr>
          <w:rStyle w:val="FootnoteReference"/>
        </w:rPr>
        <w:footnoteRef/>
      </w:r>
      <w:r>
        <w:t xml:space="preserve"> </w:t>
      </w:r>
      <w:r w:rsidRPr="00F25A7A">
        <w:rPr>
          <w:lang w:val="es-ES_tradnl"/>
        </w:rPr>
        <w:t>El SPT toma nota de la informaci</w:t>
      </w:r>
      <w:r>
        <w:rPr>
          <w:lang w:val="es-ES_tradnl"/>
        </w:rPr>
        <w:t>ón proporcionada por el Estado de que en la Provincia de Buenos Aires, la Dirección Provincial de Salud Penitenciaria goza de autonomía  respecto al Servicio Penitenciario Bonaerense, ya que en la actualidad depende directamente de la Subsecretaría de Política Criminal e Investigaciones Judiciales del Ministerio de Justicia y Seguridad.</w:t>
      </w:r>
    </w:p>
  </w:footnote>
  <w:footnote w:id="19">
    <w:p w:rsidR="00D1304E" w:rsidRPr="00B0238F" w:rsidRDefault="00D1304E" w:rsidP="00FA1C3F">
      <w:pPr>
        <w:pStyle w:val="FootnoteText"/>
        <w:ind w:firstLine="0"/>
        <w:jc w:val="both"/>
        <w:rPr>
          <w:lang w:val="es-GT"/>
        </w:rPr>
      </w:pPr>
      <w:r>
        <w:rPr>
          <w:rStyle w:val="FootnoteReference"/>
        </w:rPr>
        <w:footnoteRef/>
      </w:r>
      <w:r w:rsidRPr="00B0238F">
        <w:rPr>
          <w:lang w:val="es-GT"/>
        </w:rPr>
        <w:t xml:space="preserve"> </w:t>
      </w:r>
      <w:r w:rsidRPr="004821AA">
        <w:rPr>
          <w:lang w:val="es-GT"/>
        </w:rPr>
        <w:t xml:space="preserve">Reglas mínimas para el tratamiento de los reclusos, regla </w:t>
      </w:r>
      <w:r>
        <w:rPr>
          <w:lang w:val="es-GT"/>
        </w:rPr>
        <w:t>15.</w:t>
      </w:r>
    </w:p>
  </w:footnote>
  <w:footnote w:id="20">
    <w:p w:rsidR="00D1304E" w:rsidRPr="00B0238F" w:rsidRDefault="00D1304E" w:rsidP="00FA1C3F">
      <w:pPr>
        <w:pStyle w:val="FootnoteText"/>
        <w:ind w:firstLine="0"/>
        <w:jc w:val="both"/>
        <w:rPr>
          <w:lang w:val="es-GT"/>
        </w:rPr>
      </w:pPr>
      <w:r>
        <w:rPr>
          <w:rStyle w:val="FootnoteReference"/>
        </w:rPr>
        <w:footnoteRef/>
      </w:r>
      <w:r w:rsidRPr="00B0238F">
        <w:rPr>
          <w:lang w:val="es-GT"/>
        </w:rPr>
        <w:t xml:space="preserve"> Principios y Buenas Prácticas sobre la Protección de las Personas Privadas de Libertad en las Américas (Principios Interamericanos) OEA/Ser/L/V/II.131 doc. 26), principio XVII.</w:t>
      </w:r>
    </w:p>
  </w:footnote>
  <w:footnote w:id="21">
    <w:p w:rsidR="00D1304E" w:rsidRPr="00526202" w:rsidRDefault="00D1304E" w:rsidP="00FA1C3F">
      <w:pPr>
        <w:pStyle w:val="FootnoteText"/>
        <w:ind w:firstLine="0"/>
        <w:jc w:val="both"/>
        <w:rPr>
          <w:lang w:val="es-ES_tradnl"/>
        </w:rPr>
      </w:pPr>
      <w:r>
        <w:rPr>
          <w:rStyle w:val="FootnoteReference"/>
        </w:rPr>
        <w:footnoteRef/>
      </w:r>
      <w:r>
        <w:t xml:space="preserve"> </w:t>
      </w:r>
      <w:r w:rsidRPr="00526202">
        <w:rPr>
          <w:lang w:val="es-ES_tradnl"/>
        </w:rPr>
        <w:t>Según informó el Estado Parte al SPT en la nota de 19 de julio de 2012.</w:t>
      </w:r>
    </w:p>
  </w:footnote>
  <w:footnote w:id="22">
    <w:p w:rsidR="00D1304E" w:rsidRPr="00B0238F" w:rsidRDefault="00D1304E" w:rsidP="00FA1C3F">
      <w:pPr>
        <w:pStyle w:val="FootnoteText"/>
        <w:ind w:firstLine="0"/>
        <w:jc w:val="both"/>
        <w:rPr>
          <w:lang w:val="es-GT"/>
        </w:rPr>
      </w:pPr>
      <w:r>
        <w:rPr>
          <w:rStyle w:val="FootnoteReference"/>
        </w:rPr>
        <w:footnoteRef/>
      </w:r>
      <w:r w:rsidRPr="00B0238F">
        <w:rPr>
          <w:lang w:val="es-GT"/>
        </w:rPr>
        <w:t xml:space="preserve"> </w:t>
      </w:r>
      <w:r w:rsidRPr="004821AA">
        <w:rPr>
          <w:lang w:val="es-GT"/>
        </w:rPr>
        <w:t xml:space="preserve">Reglas mínimas para el tratamiento de los reclusos, regla </w:t>
      </w:r>
      <w:r>
        <w:rPr>
          <w:lang w:val="es-GT"/>
        </w:rPr>
        <w:t>20 inciso 1.</w:t>
      </w:r>
    </w:p>
  </w:footnote>
  <w:footnote w:id="23">
    <w:p w:rsidR="00D1304E" w:rsidRPr="00FD227B" w:rsidRDefault="00D1304E" w:rsidP="00FA1C3F">
      <w:pPr>
        <w:pStyle w:val="FootnoteText"/>
        <w:ind w:firstLine="0"/>
        <w:jc w:val="both"/>
        <w:rPr>
          <w:lang w:val="es-GT"/>
        </w:rPr>
      </w:pPr>
      <w:r>
        <w:rPr>
          <w:rStyle w:val="FootnoteReference"/>
        </w:rPr>
        <w:footnoteRef/>
      </w:r>
      <w:r w:rsidRPr="00FD227B">
        <w:rPr>
          <w:lang w:val="es-GT"/>
        </w:rPr>
        <w:t xml:space="preserve"> </w:t>
      </w:r>
      <w:r w:rsidRPr="004821AA">
        <w:rPr>
          <w:lang w:val="es-GT"/>
        </w:rPr>
        <w:t xml:space="preserve">Reglas mínimas para el tratamiento de los reclusos, regla </w:t>
      </w:r>
      <w:r>
        <w:rPr>
          <w:lang w:val="es-GT"/>
        </w:rPr>
        <w:t>37.</w:t>
      </w:r>
    </w:p>
  </w:footnote>
  <w:footnote w:id="24">
    <w:p w:rsidR="00D1304E" w:rsidRPr="00370063" w:rsidRDefault="00D1304E" w:rsidP="00FA1C3F">
      <w:pPr>
        <w:pStyle w:val="FootnoteText"/>
        <w:widowControl w:val="0"/>
        <w:tabs>
          <w:tab w:val="clear" w:pos="1021"/>
          <w:tab w:val="right" w:pos="1020"/>
        </w:tabs>
        <w:suppressAutoHyphens/>
        <w:ind w:firstLine="0"/>
        <w:jc w:val="both"/>
        <w:rPr>
          <w:lang w:val="es-GT"/>
        </w:rPr>
      </w:pPr>
      <w:r>
        <w:rPr>
          <w:rStyle w:val="FootnoteReference"/>
        </w:rPr>
        <w:footnoteRef/>
      </w:r>
      <w:r>
        <w:t xml:space="preserve"> </w:t>
      </w:r>
      <w:r w:rsidRPr="00370063">
        <w:rPr>
          <w:lang w:val="es-GT"/>
        </w:rPr>
        <w:t>Convención, art. 16; Reglas de Bangkok, reglas 19 a 21; y Principios Interamericanos, principio XXI.</w:t>
      </w:r>
    </w:p>
  </w:footnote>
  <w:footnote w:id="25">
    <w:p w:rsidR="00D1304E" w:rsidRPr="00B0238F" w:rsidRDefault="00D1304E" w:rsidP="00FA1C3F">
      <w:pPr>
        <w:pStyle w:val="FootnoteText"/>
        <w:ind w:firstLine="0"/>
        <w:jc w:val="both"/>
        <w:rPr>
          <w:lang w:val="es-GT"/>
        </w:rPr>
      </w:pPr>
      <w:r>
        <w:rPr>
          <w:rStyle w:val="FootnoteReference"/>
        </w:rPr>
        <w:footnoteRef/>
      </w:r>
      <w:r w:rsidRPr="00B0238F">
        <w:rPr>
          <w:lang w:val="es-GT"/>
        </w:rPr>
        <w:t xml:space="preserve"> Convención sobre los Derechos del Niño, arts. 37 b), 39 y 40; Reglas mínimas de las Naciones Unidas para la administración de la justicia de menores (Reglas de Beijing) aprobadas por la Asamblea General en su resolución 40/33; y Reglas de las Naciones Unidas para la protección de los menores privados de libertad</w:t>
      </w:r>
      <w:r>
        <w:rPr>
          <w:lang w:val="es-GT"/>
        </w:rPr>
        <w:t xml:space="preserve"> (Reglas de la Habana)</w:t>
      </w:r>
      <w:r w:rsidRPr="00B0238F">
        <w:rPr>
          <w:lang w:val="es-GT"/>
        </w:rPr>
        <w:t>, aprobadas por la Asamblea General en su resolución 45/113.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4E" w:rsidRPr="008B41FC" w:rsidRDefault="00D1304E">
    <w:pPr>
      <w:pStyle w:val="Header"/>
      <w:rPr>
        <w:lang w:val="en-GB"/>
      </w:rPr>
    </w:pPr>
    <w:r w:rsidRPr="008B41FC">
      <w:rPr>
        <w:lang w:val="en-GB"/>
      </w:rPr>
      <w:t>CAT/OP/ARG/</w:t>
    </w:r>
    <w:r w:rsidRPr="008B41FC" w:rsidDel="00A85C9F">
      <w:rPr>
        <w:lang w:val="en-GB"/>
      </w:rPr>
      <w:t xml:space="preserve"> </w:t>
    </w:r>
    <w:r w:rsidRPr="008B41FC">
      <w:rPr>
        <w:lang w:val="en-GB"/>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4E" w:rsidRDefault="00D1304E" w:rsidP="00FC1D5D">
    <w:pPr>
      <w:pStyle w:val="Header"/>
      <w:jc w:val="right"/>
    </w:pPr>
    <w:r w:rsidRPr="008B41FC">
      <w:rPr>
        <w:lang w:val="en-GB"/>
      </w:rPr>
      <w:t>CAT/OP/ARG/</w:t>
    </w:r>
    <w:r w:rsidRPr="008B41FC" w:rsidDel="00A85C9F">
      <w:rPr>
        <w:lang w:val="en-GB"/>
      </w:rPr>
      <w:t xml:space="preserve"> </w:t>
    </w:r>
    <w:r w:rsidRPr="008B41FC">
      <w:rPr>
        <w:lang w:val="en-GB"/>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4E" w:rsidRDefault="00D13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D69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195D9A"/>
    <w:multiLevelType w:val="hybridMultilevel"/>
    <w:tmpl w:val="6AF4856C"/>
    <w:lvl w:ilvl="0" w:tplc="00AC1B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9190F8F"/>
    <w:multiLevelType w:val="hybridMultilevel"/>
    <w:tmpl w:val="1AE2C2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30434161"/>
    <w:multiLevelType w:val="multilevel"/>
    <w:tmpl w:val="F3A4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160BB5"/>
    <w:multiLevelType w:val="hybridMultilevel"/>
    <w:tmpl w:val="0528316C"/>
    <w:lvl w:ilvl="0" w:tplc="3B2EBAAC">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4824559A"/>
    <w:multiLevelType w:val="hybridMultilevel"/>
    <w:tmpl w:val="12E09562"/>
    <w:lvl w:ilvl="0" w:tplc="551466C6">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FD471FA"/>
    <w:multiLevelType w:val="hybridMultilevel"/>
    <w:tmpl w:val="DF988E0C"/>
    <w:lvl w:ilvl="0" w:tplc="1842E594">
      <w:start w:val="4"/>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8"/>
  </w:num>
  <w:num w:numId="3">
    <w:abstractNumId w:val="14"/>
  </w:num>
  <w:num w:numId="4">
    <w:abstractNumId w:val="21"/>
  </w:num>
  <w:num w:numId="5">
    <w:abstractNumId w:val="20"/>
  </w:num>
  <w:num w:numId="6">
    <w:abstractNumId w:val="17"/>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18"/>
  </w:num>
  <w:num w:numId="18">
    <w:abstractNumId w:val="0"/>
  </w:num>
  <w:num w:numId="19">
    <w:abstractNumId w:val="18"/>
  </w:num>
  <w:num w:numId="20">
    <w:abstractNumId w:val="18"/>
  </w:num>
  <w:num w:numId="21">
    <w:abstractNumId w:val="11"/>
  </w:num>
  <w:num w:numId="22">
    <w:abstractNumId w:val="15"/>
  </w:num>
  <w:num w:numId="23">
    <w:abstractNumId w:val="13"/>
  </w:num>
  <w:num w:numId="24">
    <w:abstractNumId w:val="12"/>
  </w:num>
  <w:num w:numId="25">
    <w:abstractNumId w:val="16"/>
  </w:num>
  <w:num w:numId="26">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801"/>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537"/>
    <w:rsid w:val="0000066E"/>
    <w:rsid w:val="00001656"/>
    <w:rsid w:val="000029E8"/>
    <w:rsid w:val="00006BB9"/>
    <w:rsid w:val="00010745"/>
    <w:rsid w:val="000130C0"/>
    <w:rsid w:val="0002251B"/>
    <w:rsid w:val="00030256"/>
    <w:rsid w:val="000329F0"/>
    <w:rsid w:val="00035520"/>
    <w:rsid w:val="00035C68"/>
    <w:rsid w:val="0004270C"/>
    <w:rsid w:val="00042A42"/>
    <w:rsid w:val="00042D1C"/>
    <w:rsid w:val="00042DAA"/>
    <w:rsid w:val="00042FFC"/>
    <w:rsid w:val="0004612F"/>
    <w:rsid w:val="00046A80"/>
    <w:rsid w:val="000517BB"/>
    <w:rsid w:val="000521FE"/>
    <w:rsid w:val="00057B81"/>
    <w:rsid w:val="000615E3"/>
    <w:rsid w:val="00062B81"/>
    <w:rsid w:val="00063F8D"/>
    <w:rsid w:val="00066F35"/>
    <w:rsid w:val="00067FB5"/>
    <w:rsid w:val="00072174"/>
    <w:rsid w:val="00076FD1"/>
    <w:rsid w:val="00080F27"/>
    <w:rsid w:val="00083605"/>
    <w:rsid w:val="00087A0D"/>
    <w:rsid w:val="0009021C"/>
    <w:rsid w:val="000A3C41"/>
    <w:rsid w:val="000B0896"/>
    <w:rsid w:val="000B57E7"/>
    <w:rsid w:val="000C4068"/>
    <w:rsid w:val="000D1414"/>
    <w:rsid w:val="000D7ADC"/>
    <w:rsid w:val="000E1D82"/>
    <w:rsid w:val="000F09DF"/>
    <w:rsid w:val="000F5F26"/>
    <w:rsid w:val="000F61B2"/>
    <w:rsid w:val="000F6470"/>
    <w:rsid w:val="00101AF4"/>
    <w:rsid w:val="001043A0"/>
    <w:rsid w:val="001075E9"/>
    <w:rsid w:val="00110934"/>
    <w:rsid w:val="001113D6"/>
    <w:rsid w:val="00111600"/>
    <w:rsid w:val="00116DBE"/>
    <w:rsid w:val="00123312"/>
    <w:rsid w:val="0012712F"/>
    <w:rsid w:val="001329CC"/>
    <w:rsid w:val="00140F10"/>
    <w:rsid w:val="001437CB"/>
    <w:rsid w:val="001525E0"/>
    <w:rsid w:val="00154A1B"/>
    <w:rsid w:val="00155C74"/>
    <w:rsid w:val="00160FF7"/>
    <w:rsid w:val="001650DA"/>
    <w:rsid w:val="0017144F"/>
    <w:rsid w:val="00180183"/>
    <w:rsid w:val="0018060E"/>
    <w:rsid w:val="001823FF"/>
    <w:rsid w:val="00182928"/>
    <w:rsid w:val="00196389"/>
    <w:rsid w:val="00196A8A"/>
    <w:rsid w:val="001976E2"/>
    <w:rsid w:val="00197EFB"/>
    <w:rsid w:val="001A310A"/>
    <w:rsid w:val="001A47EC"/>
    <w:rsid w:val="001B04E7"/>
    <w:rsid w:val="001B3E40"/>
    <w:rsid w:val="001B6DCB"/>
    <w:rsid w:val="001C35C3"/>
    <w:rsid w:val="001C3B23"/>
    <w:rsid w:val="001C7A89"/>
    <w:rsid w:val="001D26B1"/>
    <w:rsid w:val="001D41C4"/>
    <w:rsid w:val="001D7EEA"/>
    <w:rsid w:val="001D7FD9"/>
    <w:rsid w:val="001E2C8A"/>
    <w:rsid w:val="001E6EE8"/>
    <w:rsid w:val="001F1A3F"/>
    <w:rsid w:val="0020287E"/>
    <w:rsid w:val="00203FAC"/>
    <w:rsid w:val="002050A4"/>
    <w:rsid w:val="0020579D"/>
    <w:rsid w:val="002100BF"/>
    <w:rsid w:val="00210907"/>
    <w:rsid w:val="00213552"/>
    <w:rsid w:val="002160F2"/>
    <w:rsid w:val="00220D8D"/>
    <w:rsid w:val="0022435C"/>
    <w:rsid w:val="00224D2C"/>
    <w:rsid w:val="0022545C"/>
    <w:rsid w:val="0022765D"/>
    <w:rsid w:val="002301DD"/>
    <w:rsid w:val="00230364"/>
    <w:rsid w:val="00233291"/>
    <w:rsid w:val="00234DB7"/>
    <w:rsid w:val="00237BF5"/>
    <w:rsid w:val="00253CCA"/>
    <w:rsid w:val="0026736C"/>
    <w:rsid w:val="00267F48"/>
    <w:rsid w:val="00270373"/>
    <w:rsid w:val="002736D4"/>
    <w:rsid w:val="002749D0"/>
    <w:rsid w:val="00275511"/>
    <w:rsid w:val="00277BE2"/>
    <w:rsid w:val="0028026A"/>
    <w:rsid w:val="0028289D"/>
    <w:rsid w:val="00282EE9"/>
    <w:rsid w:val="00292D4C"/>
    <w:rsid w:val="00293779"/>
    <w:rsid w:val="002A2EFC"/>
    <w:rsid w:val="002B4492"/>
    <w:rsid w:val="002C067E"/>
    <w:rsid w:val="002C0E18"/>
    <w:rsid w:val="002C33BB"/>
    <w:rsid w:val="002D0F83"/>
    <w:rsid w:val="002D5AAC"/>
    <w:rsid w:val="002D5CE5"/>
    <w:rsid w:val="002E35CE"/>
    <w:rsid w:val="00301299"/>
    <w:rsid w:val="00310816"/>
    <w:rsid w:val="00313E48"/>
    <w:rsid w:val="0031505C"/>
    <w:rsid w:val="00320A1D"/>
    <w:rsid w:val="00321442"/>
    <w:rsid w:val="00322004"/>
    <w:rsid w:val="00322847"/>
    <w:rsid w:val="00322EB7"/>
    <w:rsid w:val="003240FC"/>
    <w:rsid w:val="00324F62"/>
    <w:rsid w:val="00325021"/>
    <w:rsid w:val="003333BE"/>
    <w:rsid w:val="00333CB5"/>
    <w:rsid w:val="0033452F"/>
    <w:rsid w:val="003358C4"/>
    <w:rsid w:val="00337B7B"/>
    <w:rsid w:val="0034014A"/>
    <w:rsid w:val="003402C2"/>
    <w:rsid w:val="00342F25"/>
    <w:rsid w:val="003430A2"/>
    <w:rsid w:val="00344B0D"/>
    <w:rsid w:val="003471ED"/>
    <w:rsid w:val="00347E1F"/>
    <w:rsid w:val="0035430F"/>
    <w:rsid w:val="00356BF2"/>
    <w:rsid w:val="003571E8"/>
    <w:rsid w:val="00357D37"/>
    <w:rsid w:val="00362D2A"/>
    <w:rsid w:val="00363B32"/>
    <w:rsid w:val="00370B2A"/>
    <w:rsid w:val="00373898"/>
    <w:rsid w:val="00381C24"/>
    <w:rsid w:val="00386B06"/>
    <w:rsid w:val="00387D0F"/>
    <w:rsid w:val="00393933"/>
    <w:rsid w:val="003958D0"/>
    <w:rsid w:val="003B1A39"/>
    <w:rsid w:val="003C62D3"/>
    <w:rsid w:val="003C6B23"/>
    <w:rsid w:val="003D192E"/>
    <w:rsid w:val="003D3BF7"/>
    <w:rsid w:val="003D4110"/>
    <w:rsid w:val="003E28B4"/>
    <w:rsid w:val="003E3034"/>
    <w:rsid w:val="003E3860"/>
    <w:rsid w:val="003F732A"/>
    <w:rsid w:val="003F76ED"/>
    <w:rsid w:val="004008D6"/>
    <w:rsid w:val="00402F86"/>
    <w:rsid w:val="004062BC"/>
    <w:rsid w:val="00407BB5"/>
    <w:rsid w:val="00410E2D"/>
    <w:rsid w:val="0041418E"/>
    <w:rsid w:val="004252C5"/>
    <w:rsid w:val="00433DF7"/>
    <w:rsid w:val="00447C49"/>
    <w:rsid w:val="004513AE"/>
    <w:rsid w:val="004535F9"/>
    <w:rsid w:val="00454E07"/>
    <w:rsid w:val="00455D1C"/>
    <w:rsid w:val="004656A8"/>
    <w:rsid w:val="00466A0B"/>
    <w:rsid w:val="0047036F"/>
    <w:rsid w:val="00472200"/>
    <w:rsid w:val="004810FF"/>
    <w:rsid w:val="0048240B"/>
    <w:rsid w:val="00484146"/>
    <w:rsid w:val="004869E3"/>
    <w:rsid w:val="0049511E"/>
    <w:rsid w:val="00495C85"/>
    <w:rsid w:val="004965B6"/>
    <w:rsid w:val="00497B1E"/>
    <w:rsid w:val="004A2615"/>
    <w:rsid w:val="004A2C0E"/>
    <w:rsid w:val="004B4876"/>
    <w:rsid w:val="004B4C1A"/>
    <w:rsid w:val="004B5F29"/>
    <w:rsid w:val="004C03A7"/>
    <w:rsid w:val="004C203D"/>
    <w:rsid w:val="004C3BEA"/>
    <w:rsid w:val="004C67CA"/>
    <w:rsid w:val="004C7520"/>
    <w:rsid w:val="004C7964"/>
    <w:rsid w:val="004D1DBA"/>
    <w:rsid w:val="004D4EDD"/>
    <w:rsid w:val="004D63FE"/>
    <w:rsid w:val="004E10E3"/>
    <w:rsid w:val="004E2D95"/>
    <w:rsid w:val="004F1C13"/>
    <w:rsid w:val="004F6E72"/>
    <w:rsid w:val="0050108D"/>
    <w:rsid w:val="00504133"/>
    <w:rsid w:val="005068F2"/>
    <w:rsid w:val="00515487"/>
    <w:rsid w:val="005157E9"/>
    <w:rsid w:val="005217EE"/>
    <w:rsid w:val="00523753"/>
    <w:rsid w:val="00526202"/>
    <w:rsid w:val="005265D3"/>
    <w:rsid w:val="00526BD1"/>
    <w:rsid w:val="00530EBE"/>
    <w:rsid w:val="00530FE8"/>
    <w:rsid w:val="0053218B"/>
    <w:rsid w:val="005347EF"/>
    <w:rsid w:val="0054074A"/>
    <w:rsid w:val="0054483D"/>
    <w:rsid w:val="00552912"/>
    <w:rsid w:val="00555CB4"/>
    <w:rsid w:val="00561C11"/>
    <w:rsid w:val="00565F73"/>
    <w:rsid w:val="00566DAD"/>
    <w:rsid w:val="0056753C"/>
    <w:rsid w:val="00572E19"/>
    <w:rsid w:val="00574F51"/>
    <w:rsid w:val="00581A27"/>
    <w:rsid w:val="00584860"/>
    <w:rsid w:val="00592F79"/>
    <w:rsid w:val="00594E3C"/>
    <w:rsid w:val="005A4EAE"/>
    <w:rsid w:val="005A79D6"/>
    <w:rsid w:val="005B5AA6"/>
    <w:rsid w:val="005B76F5"/>
    <w:rsid w:val="005C6A2D"/>
    <w:rsid w:val="005D0F83"/>
    <w:rsid w:val="005D147A"/>
    <w:rsid w:val="005D194E"/>
    <w:rsid w:val="005D30E8"/>
    <w:rsid w:val="005D7E1A"/>
    <w:rsid w:val="005D7FC0"/>
    <w:rsid w:val="005E04BF"/>
    <w:rsid w:val="005E1882"/>
    <w:rsid w:val="005E527E"/>
    <w:rsid w:val="005E6501"/>
    <w:rsid w:val="005F0A62"/>
    <w:rsid w:val="005F0B42"/>
    <w:rsid w:val="00602B0E"/>
    <w:rsid w:val="006116BE"/>
    <w:rsid w:val="00612F8C"/>
    <w:rsid w:val="00621CCA"/>
    <w:rsid w:val="00624424"/>
    <w:rsid w:val="00627976"/>
    <w:rsid w:val="00632DDB"/>
    <w:rsid w:val="00637CB9"/>
    <w:rsid w:val="00640B38"/>
    <w:rsid w:val="00642CE5"/>
    <w:rsid w:val="006431AA"/>
    <w:rsid w:val="006462DD"/>
    <w:rsid w:val="006505A1"/>
    <w:rsid w:val="00651426"/>
    <w:rsid w:val="00655A21"/>
    <w:rsid w:val="006563E5"/>
    <w:rsid w:val="0066135A"/>
    <w:rsid w:val="00663060"/>
    <w:rsid w:val="006664F6"/>
    <w:rsid w:val="006666AC"/>
    <w:rsid w:val="00676AAF"/>
    <w:rsid w:val="006808A9"/>
    <w:rsid w:val="00681D3F"/>
    <w:rsid w:val="00681FC7"/>
    <w:rsid w:val="00686FE3"/>
    <w:rsid w:val="006914CD"/>
    <w:rsid w:val="006928EB"/>
    <w:rsid w:val="00694888"/>
    <w:rsid w:val="006A1622"/>
    <w:rsid w:val="006A4CE0"/>
    <w:rsid w:val="006B03D0"/>
    <w:rsid w:val="006B149B"/>
    <w:rsid w:val="006B2782"/>
    <w:rsid w:val="006B4FB4"/>
    <w:rsid w:val="006B5350"/>
    <w:rsid w:val="006B6F7D"/>
    <w:rsid w:val="006B6FB7"/>
    <w:rsid w:val="006C1A4E"/>
    <w:rsid w:val="006C2AD7"/>
    <w:rsid w:val="006C3020"/>
    <w:rsid w:val="006D46E4"/>
    <w:rsid w:val="006D660D"/>
    <w:rsid w:val="006E0BE9"/>
    <w:rsid w:val="006E5D40"/>
    <w:rsid w:val="006F0350"/>
    <w:rsid w:val="006F1536"/>
    <w:rsid w:val="006F35EE"/>
    <w:rsid w:val="006F4DF2"/>
    <w:rsid w:val="006F50B8"/>
    <w:rsid w:val="006F64D9"/>
    <w:rsid w:val="006F66A0"/>
    <w:rsid w:val="006F6C28"/>
    <w:rsid w:val="006F7F8F"/>
    <w:rsid w:val="0070143F"/>
    <w:rsid w:val="007021FF"/>
    <w:rsid w:val="00702A6F"/>
    <w:rsid w:val="007076CB"/>
    <w:rsid w:val="007108A4"/>
    <w:rsid w:val="0071470C"/>
    <w:rsid w:val="007161CC"/>
    <w:rsid w:val="0071731D"/>
    <w:rsid w:val="007207EC"/>
    <w:rsid w:val="00721F23"/>
    <w:rsid w:val="00723F71"/>
    <w:rsid w:val="00725268"/>
    <w:rsid w:val="007367AE"/>
    <w:rsid w:val="007369FC"/>
    <w:rsid w:val="007417A2"/>
    <w:rsid w:val="0074335C"/>
    <w:rsid w:val="00752631"/>
    <w:rsid w:val="00752993"/>
    <w:rsid w:val="00752B2E"/>
    <w:rsid w:val="00754FF5"/>
    <w:rsid w:val="00756ED3"/>
    <w:rsid w:val="00761F84"/>
    <w:rsid w:val="00764760"/>
    <w:rsid w:val="00764EC2"/>
    <w:rsid w:val="007658BE"/>
    <w:rsid w:val="00766910"/>
    <w:rsid w:val="00767C0D"/>
    <w:rsid w:val="007729EE"/>
    <w:rsid w:val="00773DE4"/>
    <w:rsid w:val="00774ECC"/>
    <w:rsid w:val="00785DCC"/>
    <w:rsid w:val="00795AFB"/>
    <w:rsid w:val="007967DF"/>
    <w:rsid w:val="00796912"/>
    <w:rsid w:val="007A53CB"/>
    <w:rsid w:val="007B0DC2"/>
    <w:rsid w:val="007B447D"/>
    <w:rsid w:val="007B5512"/>
    <w:rsid w:val="007B6687"/>
    <w:rsid w:val="007B76E4"/>
    <w:rsid w:val="007C13F8"/>
    <w:rsid w:val="007C3239"/>
    <w:rsid w:val="007C39A8"/>
    <w:rsid w:val="007C4537"/>
    <w:rsid w:val="007C4B52"/>
    <w:rsid w:val="007E63FE"/>
    <w:rsid w:val="007E685C"/>
    <w:rsid w:val="007E763A"/>
    <w:rsid w:val="007E7F32"/>
    <w:rsid w:val="008036B6"/>
    <w:rsid w:val="00804524"/>
    <w:rsid w:val="0081068B"/>
    <w:rsid w:val="00810DFC"/>
    <w:rsid w:val="00812E97"/>
    <w:rsid w:val="0081591E"/>
    <w:rsid w:val="00820048"/>
    <w:rsid w:val="008200C5"/>
    <w:rsid w:val="00820116"/>
    <w:rsid w:val="008223FD"/>
    <w:rsid w:val="00823515"/>
    <w:rsid w:val="008235CB"/>
    <w:rsid w:val="008272BF"/>
    <w:rsid w:val="00831F8C"/>
    <w:rsid w:val="008321B3"/>
    <w:rsid w:val="00833863"/>
    <w:rsid w:val="00834B71"/>
    <w:rsid w:val="00841E88"/>
    <w:rsid w:val="0084497C"/>
    <w:rsid w:val="00844DC3"/>
    <w:rsid w:val="008512B8"/>
    <w:rsid w:val="0086445C"/>
    <w:rsid w:val="008653E1"/>
    <w:rsid w:val="00865924"/>
    <w:rsid w:val="00867810"/>
    <w:rsid w:val="0087010F"/>
    <w:rsid w:val="00870300"/>
    <w:rsid w:val="00877AC2"/>
    <w:rsid w:val="008A08D7"/>
    <w:rsid w:val="008A13F9"/>
    <w:rsid w:val="008B41FC"/>
    <w:rsid w:val="008B4D4C"/>
    <w:rsid w:val="008C076C"/>
    <w:rsid w:val="008C2ACB"/>
    <w:rsid w:val="008D0CAF"/>
    <w:rsid w:val="008D5FD0"/>
    <w:rsid w:val="008E3213"/>
    <w:rsid w:val="008F1A09"/>
    <w:rsid w:val="008F1A88"/>
    <w:rsid w:val="008F428D"/>
    <w:rsid w:val="008F7BD4"/>
    <w:rsid w:val="009024E6"/>
    <w:rsid w:val="00902743"/>
    <w:rsid w:val="009044FE"/>
    <w:rsid w:val="00904C6E"/>
    <w:rsid w:val="009053BD"/>
    <w:rsid w:val="00906890"/>
    <w:rsid w:val="00911FF4"/>
    <w:rsid w:val="00920D6F"/>
    <w:rsid w:val="00930779"/>
    <w:rsid w:val="00935FDA"/>
    <w:rsid w:val="00937F13"/>
    <w:rsid w:val="00941692"/>
    <w:rsid w:val="00944E55"/>
    <w:rsid w:val="0094773B"/>
    <w:rsid w:val="00947D58"/>
    <w:rsid w:val="00951972"/>
    <w:rsid w:val="00952F7C"/>
    <w:rsid w:val="00953078"/>
    <w:rsid w:val="00954064"/>
    <w:rsid w:val="00957523"/>
    <w:rsid w:val="00963777"/>
    <w:rsid w:val="00970ACB"/>
    <w:rsid w:val="009802A6"/>
    <w:rsid w:val="0098158F"/>
    <w:rsid w:val="00984799"/>
    <w:rsid w:val="0098732C"/>
    <w:rsid w:val="00991590"/>
    <w:rsid w:val="00995C03"/>
    <w:rsid w:val="009960E1"/>
    <w:rsid w:val="00996FDF"/>
    <w:rsid w:val="009A5743"/>
    <w:rsid w:val="009A6154"/>
    <w:rsid w:val="009A7559"/>
    <w:rsid w:val="009B3319"/>
    <w:rsid w:val="009D03CE"/>
    <w:rsid w:val="009D056B"/>
    <w:rsid w:val="009D5200"/>
    <w:rsid w:val="009D58FD"/>
    <w:rsid w:val="009D7763"/>
    <w:rsid w:val="009E100C"/>
    <w:rsid w:val="009E3C97"/>
    <w:rsid w:val="009E4F0A"/>
    <w:rsid w:val="009F3AAE"/>
    <w:rsid w:val="009F51BB"/>
    <w:rsid w:val="009F7E20"/>
    <w:rsid w:val="00A01F63"/>
    <w:rsid w:val="00A028FD"/>
    <w:rsid w:val="00A0530A"/>
    <w:rsid w:val="00A07072"/>
    <w:rsid w:val="00A07853"/>
    <w:rsid w:val="00A124AE"/>
    <w:rsid w:val="00A14800"/>
    <w:rsid w:val="00A1695A"/>
    <w:rsid w:val="00A17DFD"/>
    <w:rsid w:val="00A20797"/>
    <w:rsid w:val="00A2774D"/>
    <w:rsid w:val="00A4069D"/>
    <w:rsid w:val="00A4156B"/>
    <w:rsid w:val="00A52634"/>
    <w:rsid w:val="00A52881"/>
    <w:rsid w:val="00A54FBC"/>
    <w:rsid w:val="00A56B33"/>
    <w:rsid w:val="00A6214A"/>
    <w:rsid w:val="00A81697"/>
    <w:rsid w:val="00A82791"/>
    <w:rsid w:val="00A85C9F"/>
    <w:rsid w:val="00A917B3"/>
    <w:rsid w:val="00AA43A7"/>
    <w:rsid w:val="00AA5FC2"/>
    <w:rsid w:val="00AA7D8D"/>
    <w:rsid w:val="00AB128D"/>
    <w:rsid w:val="00AB4B51"/>
    <w:rsid w:val="00AB529F"/>
    <w:rsid w:val="00AB6F52"/>
    <w:rsid w:val="00AC1797"/>
    <w:rsid w:val="00AC4243"/>
    <w:rsid w:val="00AC47C7"/>
    <w:rsid w:val="00AC5B8D"/>
    <w:rsid w:val="00AC63D9"/>
    <w:rsid w:val="00AD2951"/>
    <w:rsid w:val="00AD5C3C"/>
    <w:rsid w:val="00AD6948"/>
    <w:rsid w:val="00AE64C7"/>
    <w:rsid w:val="00AF23AC"/>
    <w:rsid w:val="00B07B97"/>
    <w:rsid w:val="00B10CC7"/>
    <w:rsid w:val="00B11171"/>
    <w:rsid w:val="00B13C84"/>
    <w:rsid w:val="00B13EC9"/>
    <w:rsid w:val="00B1778E"/>
    <w:rsid w:val="00B23507"/>
    <w:rsid w:val="00B25AD0"/>
    <w:rsid w:val="00B27ACC"/>
    <w:rsid w:val="00B27C7D"/>
    <w:rsid w:val="00B310E8"/>
    <w:rsid w:val="00B353B2"/>
    <w:rsid w:val="00B359B6"/>
    <w:rsid w:val="00B37115"/>
    <w:rsid w:val="00B37D1F"/>
    <w:rsid w:val="00B438A7"/>
    <w:rsid w:val="00B45F9C"/>
    <w:rsid w:val="00B47B87"/>
    <w:rsid w:val="00B52259"/>
    <w:rsid w:val="00B52A1F"/>
    <w:rsid w:val="00B52B11"/>
    <w:rsid w:val="00B541FE"/>
    <w:rsid w:val="00B542E1"/>
    <w:rsid w:val="00B60AED"/>
    <w:rsid w:val="00B62458"/>
    <w:rsid w:val="00B705E5"/>
    <w:rsid w:val="00B804BA"/>
    <w:rsid w:val="00B85B4C"/>
    <w:rsid w:val="00B9301B"/>
    <w:rsid w:val="00B930DC"/>
    <w:rsid w:val="00B93B1A"/>
    <w:rsid w:val="00BA7B61"/>
    <w:rsid w:val="00BB35D0"/>
    <w:rsid w:val="00BC17C4"/>
    <w:rsid w:val="00BC3F50"/>
    <w:rsid w:val="00BD2EC8"/>
    <w:rsid w:val="00BD33EE"/>
    <w:rsid w:val="00BD4478"/>
    <w:rsid w:val="00BD4CED"/>
    <w:rsid w:val="00BF17DB"/>
    <w:rsid w:val="00BF4F0A"/>
    <w:rsid w:val="00C16429"/>
    <w:rsid w:val="00C17535"/>
    <w:rsid w:val="00C2188C"/>
    <w:rsid w:val="00C318C8"/>
    <w:rsid w:val="00C32EA7"/>
    <w:rsid w:val="00C3381F"/>
    <w:rsid w:val="00C37316"/>
    <w:rsid w:val="00C42C22"/>
    <w:rsid w:val="00C55FC5"/>
    <w:rsid w:val="00C60F0C"/>
    <w:rsid w:val="00C775F4"/>
    <w:rsid w:val="00C805C9"/>
    <w:rsid w:val="00C87453"/>
    <w:rsid w:val="00C9067B"/>
    <w:rsid w:val="00C90E2C"/>
    <w:rsid w:val="00C950C6"/>
    <w:rsid w:val="00C970E4"/>
    <w:rsid w:val="00C979BF"/>
    <w:rsid w:val="00CA1679"/>
    <w:rsid w:val="00CA6D3B"/>
    <w:rsid w:val="00CA7675"/>
    <w:rsid w:val="00CB09F4"/>
    <w:rsid w:val="00CC0F1F"/>
    <w:rsid w:val="00CC341F"/>
    <w:rsid w:val="00CC6DB6"/>
    <w:rsid w:val="00CD0182"/>
    <w:rsid w:val="00CD27B9"/>
    <w:rsid w:val="00CD7F4F"/>
    <w:rsid w:val="00CE4568"/>
    <w:rsid w:val="00CF07FC"/>
    <w:rsid w:val="00CF111C"/>
    <w:rsid w:val="00CF2D38"/>
    <w:rsid w:val="00D0160E"/>
    <w:rsid w:val="00D03969"/>
    <w:rsid w:val="00D05AEA"/>
    <w:rsid w:val="00D06D98"/>
    <w:rsid w:val="00D1304E"/>
    <w:rsid w:val="00D171F3"/>
    <w:rsid w:val="00D17C80"/>
    <w:rsid w:val="00D2495E"/>
    <w:rsid w:val="00D26650"/>
    <w:rsid w:val="00D26C53"/>
    <w:rsid w:val="00D316B8"/>
    <w:rsid w:val="00D364D3"/>
    <w:rsid w:val="00D37C30"/>
    <w:rsid w:val="00D43874"/>
    <w:rsid w:val="00D46A51"/>
    <w:rsid w:val="00D46A99"/>
    <w:rsid w:val="00D46F61"/>
    <w:rsid w:val="00D53224"/>
    <w:rsid w:val="00D55FA6"/>
    <w:rsid w:val="00D56337"/>
    <w:rsid w:val="00D56374"/>
    <w:rsid w:val="00D61BAF"/>
    <w:rsid w:val="00D61F70"/>
    <w:rsid w:val="00D621A8"/>
    <w:rsid w:val="00D64FAC"/>
    <w:rsid w:val="00D658CF"/>
    <w:rsid w:val="00D679BB"/>
    <w:rsid w:val="00D72EEC"/>
    <w:rsid w:val="00D73D63"/>
    <w:rsid w:val="00D7518B"/>
    <w:rsid w:val="00D8617F"/>
    <w:rsid w:val="00D90138"/>
    <w:rsid w:val="00D90D44"/>
    <w:rsid w:val="00D944B1"/>
    <w:rsid w:val="00D946B6"/>
    <w:rsid w:val="00D95C05"/>
    <w:rsid w:val="00DB23DB"/>
    <w:rsid w:val="00DB6B5B"/>
    <w:rsid w:val="00DB7C11"/>
    <w:rsid w:val="00DC1F72"/>
    <w:rsid w:val="00DC2CC0"/>
    <w:rsid w:val="00DC4C3F"/>
    <w:rsid w:val="00DC5EE6"/>
    <w:rsid w:val="00DD3A5B"/>
    <w:rsid w:val="00DD568F"/>
    <w:rsid w:val="00DD716E"/>
    <w:rsid w:val="00DE2D1B"/>
    <w:rsid w:val="00DE64E9"/>
    <w:rsid w:val="00DE6B96"/>
    <w:rsid w:val="00DF29B2"/>
    <w:rsid w:val="00E0145C"/>
    <w:rsid w:val="00E039DC"/>
    <w:rsid w:val="00E03D92"/>
    <w:rsid w:val="00E056E1"/>
    <w:rsid w:val="00E07FA7"/>
    <w:rsid w:val="00E14BCD"/>
    <w:rsid w:val="00E209E4"/>
    <w:rsid w:val="00E21A72"/>
    <w:rsid w:val="00E35EAB"/>
    <w:rsid w:val="00E407F9"/>
    <w:rsid w:val="00E4431E"/>
    <w:rsid w:val="00E45090"/>
    <w:rsid w:val="00E53B71"/>
    <w:rsid w:val="00E57031"/>
    <w:rsid w:val="00E623E0"/>
    <w:rsid w:val="00E6339E"/>
    <w:rsid w:val="00E670E2"/>
    <w:rsid w:val="00E72E44"/>
    <w:rsid w:val="00E73F76"/>
    <w:rsid w:val="00E81E42"/>
    <w:rsid w:val="00E8754A"/>
    <w:rsid w:val="00E91178"/>
    <w:rsid w:val="00E97BD6"/>
    <w:rsid w:val="00EA6A7D"/>
    <w:rsid w:val="00EB227F"/>
    <w:rsid w:val="00EB2CEE"/>
    <w:rsid w:val="00EB2DFD"/>
    <w:rsid w:val="00EC0737"/>
    <w:rsid w:val="00EC11FE"/>
    <w:rsid w:val="00EC6CD1"/>
    <w:rsid w:val="00ED3F84"/>
    <w:rsid w:val="00ED499A"/>
    <w:rsid w:val="00EE4E94"/>
    <w:rsid w:val="00EF0EA6"/>
    <w:rsid w:val="00EF11E8"/>
    <w:rsid w:val="00EF1360"/>
    <w:rsid w:val="00EF14AD"/>
    <w:rsid w:val="00EF1B90"/>
    <w:rsid w:val="00EF2648"/>
    <w:rsid w:val="00EF3220"/>
    <w:rsid w:val="00F015E1"/>
    <w:rsid w:val="00F03F07"/>
    <w:rsid w:val="00F063AB"/>
    <w:rsid w:val="00F07E17"/>
    <w:rsid w:val="00F10730"/>
    <w:rsid w:val="00F17561"/>
    <w:rsid w:val="00F209D8"/>
    <w:rsid w:val="00F2343A"/>
    <w:rsid w:val="00F25A7A"/>
    <w:rsid w:val="00F26116"/>
    <w:rsid w:val="00F27697"/>
    <w:rsid w:val="00F362C0"/>
    <w:rsid w:val="00F43341"/>
    <w:rsid w:val="00F43604"/>
    <w:rsid w:val="00F4707A"/>
    <w:rsid w:val="00F51C84"/>
    <w:rsid w:val="00F543A6"/>
    <w:rsid w:val="00F54CA7"/>
    <w:rsid w:val="00F6054B"/>
    <w:rsid w:val="00F617E7"/>
    <w:rsid w:val="00F66097"/>
    <w:rsid w:val="00F75511"/>
    <w:rsid w:val="00F75C27"/>
    <w:rsid w:val="00F76124"/>
    <w:rsid w:val="00F80D85"/>
    <w:rsid w:val="00F81549"/>
    <w:rsid w:val="00F86C3E"/>
    <w:rsid w:val="00F94155"/>
    <w:rsid w:val="00F9786E"/>
    <w:rsid w:val="00FA10B3"/>
    <w:rsid w:val="00FA12F3"/>
    <w:rsid w:val="00FA1C3F"/>
    <w:rsid w:val="00FA2107"/>
    <w:rsid w:val="00FB09A6"/>
    <w:rsid w:val="00FB157E"/>
    <w:rsid w:val="00FB30CB"/>
    <w:rsid w:val="00FB54DC"/>
    <w:rsid w:val="00FB6F69"/>
    <w:rsid w:val="00FC1D5D"/>
    <w:rsid w:val="00FD2EF7"/>
    <w:rsid w:val="00FD4AD6"/>
    <w:rsid w:val="00FE3614"/>
    <w:rsid w:val="00FE68F3"/>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referencia nota al pie,Appel note de bas de page"/>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styleId="TOC1">
    <w:name w:val="toc 1"/>
    <w:basedOn w:val="Normal"/>
    <w:next w:val="Normal"/>
    <w:autoRedefine/>
    <w:semiHidden/>
    <w:rsid w:val="004008D6"/>
  </w:style>
  <w:style w:type="paragraph" w:styleId="TOC2">
    <w:name w:val="toc 2"/>
    <w:basedOn w:val="Normal"/>
    <w:next w:val="Normal"/>
    <w:autoRedefine/>
    <w:semiHidden/>
    <w:rsid w:val="004008D6"/>
    <w:pPr>
      <w:ind w:left="200"/>
    </w:p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Footnote reference,FA Fu,Footnote Text Char Char Char Char Char,Footnote Text Char Char Char Char,Footnote Text Char1,Footnote Text Char Char,Char,Char Char Char Char Char Char Char"/>
    <w:basedOn w:val="Normal"/>
    <w:link w:val="FootnoteTextChar"/>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A4CE0"/>
    <w:pPr>
      <w:numPr>
        <w:numId w:val="4"/>
      </w:numPr>
    </w:pPr>
  </w:style>
  <w:style w:type="numbering" w:styleId="1ai">
    <w:name w:val="Outline List 1"/>
    <w:basedOn w:val="NoList"/>
    <w:semiHidden/>
    <w:rsid w:val="006A4CE0"/>
    <w:pPr>
      <w:numPr>
        <w:numId w:val="5"/>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6"/>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6A4CE0"/>
    <w:rPr>
      <w:color w:val="0000FF"/>
      <w:u w:val="single"/>
    </w:rPr>
  </w:style>
  <w:style w:type="character" w:styleId="FollowedHyperlink">
    <w:name w:val="FollowedHyperlink"/>
    <w:semiHidden/>
    <w:rsid w:val="006A4CE0"/>
    <w:rPr>
      <w:color w:val="800080"/>
      <w:u w:val="singl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7"/>
      </w:numPr>
    </w:pPr>
  </w:style>
  <w:style w:type="paragraph" w:styleId="ListNumber2">
    <w:name w:val="List Number 2"/>
    <w:basedOn w:val="Normal"/>
    <w:semiHidden/>
    <w:rsid w:val="006A4CE0"/>
    <w:pPr>
      <w:numPr>
        <w:numId w:val="8"/>
      </w:numPr>
    </w:pPr>
  </w:style>
  <w:style w:type="paragraph" w:styleId="ListNumber3">
    <w:name w:val="List Number 3"/>
    <w:basedOn w:val="Normal"/>
    <w:semiHidden/>
    <w:rsid w:val="006A4CE0"/>
    <w:pPr>
      <w:numPr>
        <w:numId w:val="9"/>
      </w:numPr>
    </w:pPr>
  </w:style>
  <w:style w:type="paragraph" w:styleId="ListNumber4">
    <w:name w:val="List Number 4"/>
    <w:basedOn w:val="Normal"/>
    <w:semiHidden/>
    <w:rsid w:val="006A4CE0"/>
    <w:pPr>
      <w:numPr>
        <w:numId w:val="10"/>
      </w:numPr>
    </w:pPr>
  </w:style>
  <w:style w:type="paragraph" w:styleId="ListNumber5">
    <w:name w:val="List Number 5"/>
    <w:basedOn w:val="Normal"/>
    <w:semiHidden/>
    <w:rsid w:val="006A4CE0"/>
    <w:pPr>
      <w:numPr>
        <w:numId w:val="11"/>
      </w:numPr>
    </w:pPr>
  </w:style>
  <w:style w:type="paragraph" w:styleId="ListBullet">
    <w:name w:val="List Bullet"/>
    <w:basedOn w:val="Normal"/>
    <w:semiHidden/>
    <w:rsid w:val="006A4CE0"/>
    <w:pPr>
      <w:numPr>
        <w:numId w:val="12"/>
      </w:numPr>
    </w:pPr>
  </w:style>
  <w:style w:type="paragraph" w:styleId="ListBullet2">
    <w:name w:val="List Bullet 2"/>
    <w:basedOn w:val="Normal"/>
    <w:semiHidden/>
    <w:rsid w:val="006A4CE0"/>
    <w:pPr>
      <w:numPr>
        <w:numId w:val="13"/>
      </w:numPr>
    </w:pPr>
  </w:style>
  <w:style w:type="paragraph" w:styleId="ListBullet3">
    <w:name w:val="List Bullet 3"/>
    <w:basedOn w:val="Normal"/>
    <w:semiHidden/>
    <w:rsid w:val="006A4CE0"/>
    <w:pPr>
      <w:numPr>
        <w:numId w:val="14"/>
      </w:numPr>
    </w:pPr>
  </w:style>
  <w:style w:type="paragraph" w:styleId="ListBullet4">
    <w:name w:val="List Bullet 4"/>
    <w:basedOn w:val="Normal"/>
    <w:semiHidden/>
    <w:rsid w:val="006A4CE0"/>
    <w:pPr>
      <w:numPr>
        <w:numId w:val="15"/>
      </w:numPr>
    </w:pPr>
  </w:style>
  <w:style w:type="paragraph" w:styleId="ListBullet5">
    <w:name w:val="List Bullet 5"/>
    <w:basedOn w:val="Normal"/>
    <w:semiHidden/>
    <w:rsid w:val="006A4CE0"/>
    <w:pPr>
      <w:numPr>
        <w:numId w:val="16"/>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uiPriority w:val="99"/>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6A4CE0"/>
    <w:pPr>
      <w:numPr>
        <w:numId w:val="2"/>
      </w:numPr>
      <w:spacing w:after="120"/>
      <w:ind w:right="1134"/>
      <w:jc w:val="both"/>
    </w:pPr>
    <w:rPr>
      <w:lang w:eastAsia="en-US"/>
    </w:rPr>
  </w:style>
  <w:style w:type="paragraph" w:customStyle="1" w:styleId="Bullet2G">
    <w:name w:val="_Bullet 2_G"/>
    <w:basedOn w:val="Normal"/>
    <w:rsid w:val="006A4CE0"/>
    <w:pPr>
      <w:numPr>
        <w:numId w:val="3"/>
      </w:numPr>
      <w:spacing w:after="120"/>
      <w:ind w:right="1134"/>
      <w:jc w:val="both"/>
    </w:pPr>
  </w:style>
  <w:style w:type="character" w:customStyle="1" w:styleId="FootnoteTextChar">
    <w:name w:val="Footnote Text Char"/>
    <w:aliases w:val="5_G Char,Footnote reference Char,FA Fu Char,Footnote Text Char Char Char Char Char Char,Footnote Text Char Char Char Char Char1,Footnote Text Char1 Char,Footnote Text Char Char Char,Char Char,Char Char Char Char Char Char Char Char"/>
    <w:link w:val="FootnoteText"/>
    <w:rsid w:val="007E63FE"/>
    <w:rPr>
      <w:sz w:val="18"/>
      <w:lang w:val="es-ES" w:eastAsia="es-ES"/>
    </w:rPr>
  </w:style>
  <w:style w:type="character" w:styleId="CommentReference">
    <w:name w:val="annotation reference"/>
    <w:uiPriority w:val="99"/>
    <w:rsid w:val="00010745"/>
    <w:rPr>
      <w:sz w:val="16"/>
      <w:szCs w:val="16"/>
    </w:rPr>
  </w:style>
  <w:style w:type="paragraph" w:styleId="CommentText">
    <w:name w:val="annotation text"/>
    <w:basedOn w:val="Normal"/>
    <w:link w:val="CommentTextChar"/>
    <w:uiPriority w:val="99"/>
    <w:rsid w:val="00010745"/>
  </w:style>
  <w:style w:type="character" w:customStyle="1" w:styleId="CommentTextChar">
    <w:name w:val="Comment Text Char"/>
    <w:link w:val="CommentText"/>
    <w:uiPriority w:val="99"/>
    <w:rsid w:val="00010745"/>
    <w:rPr>
      <w:lang w:val="es-ES" w:eastAsia="es-ES"/>
    </w:rPr>
  </w:style>
  <w:style w:type="paragraph" w:styleId="CommentSubject">
    <w:name w:val="annotation subject"/>
    <w:basedOn w:val="CommentText"/>
    <w:next w:val="CommentText"/>
    <w:link w:val="CommentSubjectChar"/>
    <w:rsid w:val="00010745"/>
    <w:rPr>
      <w:b/>
      <w:bCs/>
    </w:rPr>
  </w:style>
  <w:style w:type="character" w:customStyle="1" w:styleId="CommentSubjectChar">
    <w:name w:val="Comment Subject Char"/>
    <w:link w:val="CommentSubject"/>
    <w:rsid w:val="00010745"/>
    <w:rPr>
      <w:b/>
      <w:bCs/>
      <w:lang w:val="es-ES" w:eastAsia="es-ES"/>
    </w:rPr>
  </w:style>
  <w:style w:type="paragraph" w:styleId="BalloonText">
    <w:name w:val="Balloon Text"/>
    <w:basedOn w:val="Normal"/>
    <w:link w:val="BalloonTextChar"/>
    <w:rsid w:val="00010745"/>
    <w:pPr>
      <w:spacing w:line="240" w:lineRule="auto"/>
    </w:pPr>
    <w:rPr>
      <w:rFonts w:ascii="Tahoma" w:hAnsi="Tahoma"/>
      <w:sz w:val="16"/>
      <w:szCs w:val="16"/>
    </w:rPr>
  </w:style>
  <w:style w:type="character" w:customStyle="1" w:styleId="BalloonTextChar">
    <w:name w:val="Balloon Text Char"/>
    <w:link w:val="BalloonText"/>
    <w:rsid w:val="00010745"/>
    <w:rPr>
      <w:rFonts w:ascii="Tahoma" w:hAnsi="Tahoma" w:cs="Tahoma"/>
      <w:sz w:val="16"/>
      <w:szCs w:val="16"/>
      <w:lang w:val="es-ES" w:eastAsia="es-ES"/>
    </w:rPr>
  </w:style>
  <w:style w:type="paragraph" w:styleId="ListParagraph">
    <w:name w:val="List Paragraph"/>
    <w:basedOn w:val="Normal"/>
    <w:uiPriority w:val="34"/>
    <w:qFormat/>
    <w:rsid w:val="00066F35"/>
    <w:pPr>
      <w:ind w:left="720"/>
      <w:contextualSpacing/>
    </w:pPr>
  </w:style>
  <w:style w:type="character" w:customStyle="1" w:styleId="hps">
    <w:name w:val="hps"/>
    <w:rsid w:val="008C2ACB"/>
  </w:style>
  <w:style w:type="paragraph" w:customStyle="1" w:styleId="Default">
    <w:name w:val="Default"/>
    <w:rsid w:val="00B93B1A"/>
    <w:pPr>
      <w:autoSpaceDE w:val="0"/>
      <w:autoSpaceDN w:val="0"/>
      <w:adjustRightInd w:val="0"/>
    </w:pPr>
    <w:rPr>
      <w:rFonts w:ascii="Verdana" w:hAnsi="Verdana" w:cs="Verdana"/>
      <w:color w:val="000000"/>
      <w:sz w:val="24"/>
      <w:szCs w:val="24"/>
      <w:lang w:val="en-GB" w:eastAsia="en-GB"/>
    </w:rPr>
  </w:style>
  <w:style w:type="paragraph" w:styleId="Revision">
    <w:name w:val="Revision"/>
    <w:hidden/>
    <w:uiPriority w:val="71"/>
    <w:rsid w:val="009D5200"/>
    <w:rPr>
      <w:lang w:val="es-ES" w:eastAsia="es-ES"/>
    </w:rPr>
  </w:style>
  <w:style w:type="character" w:customStyle="1" w:styleId="FooterChar">
    <w:name w:val="Footer Char"/>
    <w:aliases w:val="3_G Char"/>
    <w:link w:val="Footer"/>
    <w:rsid w:val="00844DC3"/>
    <w:rPr>
      <w:sz w:val="16"/>
      <w:lang w:val="es-ES" w:eastAsia="es-ES"/>
    </w:rPr>
  </w:style>
</w:styles>
</file>

<file path=word/webSettings.xml><?xml version="1.0" encoding="utf-8"?>
<w:webSettings xmlns:r="http://schemas.openxmlformats.org/officeDocument/2006/relationships" xmlns:w="http://schemas.openxmlformats.org/wordprocessingml/2006/main">
  <w:divs>
    <w:div w:id="153112699">
      <w:bodyDiv w:val="1"/>
      <w:marLeft w:val="0"/>
      <w:marRight w:val="0"/>
      <w:marTop w:val="0"/>
      <w:marBottom w:val="0"/>
      <w:divBdr>
        <w:top w:val="none" w:sz="0" w:space="0" w:color="auto"/>
        <w:left w:val="none" w:sz="0" w:space="0" w:color="auto"/>
        <w:bottom w:val="none" w:sz="0" w:space="0" w:color="auto"/>
        <w:right w:val="none" w:sz="0" w:space="0" w:color="auto"/>
      </w:divBdr>
    </w:div>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 w:id="1976593373">
      <w:bodyDiv w:val="1"/>
      <w:marLeft w:val="0"/>
      <w:marRight w:val="0"/>
      <w:marTop w:val="0"/>
      <w:marBottom w:val="0"/>
      <w:divBdr>
        <w:top w:val="none" w:sz="0" w:space="0" w:color="auto"/>
        <w:left w:val="none" w:sz="0" w:space="0" w:color="auto"/>
        <w:bottom w:val="none" w:sz="0" w:space="0" w:color="auto"/>
        <w:right w:val="none" w:sz="0" w:space="0" w:color="auto"/>
      </w:divBdr>
      <w:divsChild>
        <w:div w:id="1912739184">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1</Pages>
  <Words>9591</Words>
  <Characters>59659</Characters>
  <Application>Microsoft Office Outlook</Application>
  <DocSecurity>4</DocSecurity>
  <Lines>1193</Lines>
  <Paragraphs>545</Paragraphs>
  <ScaleCrop>false</ScaleCrop>
  <HeadingPairs>
    <vt:vector size="2" baseType="variant">
      <vt:variant>
        <vt:lpstr>Title</vt:lpstr>
      </vt:variant>
      <vt:variant>
        <vt:i4>1</vt:i4>
      </vt:variant>
    </vt:vector>
  </HeadingPairs>
  <TitlesOfParts>
    <vt:vector size="1" baseType="lpstr">
      <vt:lpstr>CAT/OP/BRA/1</vt:lpstr>
    </vt:vector>
  </TitlesOfParts>
  <Company>OHCHR</Company>
  <LinksUpToDate>false</LinksUpToDate>
  <CharactersWithSpaces>68705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CAT/OP/BRA/1</dc:title>
  <dc:subject>12-43893 (FINAL)</dc:subject>
  <dc:creator>Ruth</dc:creator>
  <cp:keywords/>
  <cp:lastModifiedBy>DCM</cp:lastModifiedBy>
  <cp:revision>2</cp:revision>
  <cp:lastPrinted>2013-11-27T12:16:00Z</cp:lastPrinted>
  <dcterms:created xsi:type="dcterms:W3CDTF">2013-11-28T14:16:00Z</dcterms:created>
  <dcterms:modified xsi:type="dcterms:W3CDTF">2013-11-28T14:16:00Z</dcterms:modified>
</cp:coreProperties>
</file>