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0B1822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0B1822" w:rsidRDefault="002D5AAC" w:rsidP="003349E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B1822" w:rsidRDefault="00DF71B9" w:rsidP="003349E4">
            <w:pPr>
              <w:spacing w:after="80" w:line="300" w:lineRule="exact"/>
              <w:rPr>
                <w:sz w:val="28"/>
              </w:rPr>
            </w:pPr>
            <w:r w:rsidRPr="000B1822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B1822" w:rsidRDefault="00B71C0D" w:rsidP="003349E4">
            <w:pPr>
              <w:jc w:val="right"/>
            </w:pPr>
            <w:r>
              <w:rPr>
                <w:sz w:val="40"/>
              </w:rPr>
              <w:t>CRPD</w:t>
            </w:r>
            <w:r>
              <w:t>/C/MMR/1</w:t>
            </w:r>
          </w:p>
        </w:tc>
      </w:tr>
      <w:tr w:rsidR="002D5AAC" w:rsidRPr="00B4484B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B1822" w:rsidRDefault="00EE27D7" w:rsidP="003349E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B1822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B1822">
              <w:rPr>
                <w:b/>
                <w:spacing w:val="-4"/>
                <w:w w:val="100"/>
                <w:sz w:val="34"/>
                <w:szCs w:val="40"/>
              </w:rPr>
              <w:t>Конвенция о правах</w:t>
            </w:r>
            <w:r w:rsidRPr="000B1822">
              <w:rPr>
                <w:b/>
                <w:spacing w:val="-4"/>
                <w:w w:val="100"/>
                <w:sz w:val="34"/>
                <w:szCs w:val="40"/>
              </w:rPr>
              <w:br/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71C0D" w:rsidRPr="008D1BD1" w:rsidRDefault="00B71C0D" w:rsidP="00B71C0D">
            <w:pPr>
              <w:spacing w:before="240" w:line="240" w:lineRule="exact"/>
              <w:rPr>
                <w:lang w:val="en-US"/>
              </w:rPr>
            </w:pPr>
            <w:r w:rsidRPr="008D1BD1">
              <w:rPr>
                <w:lang w:val="en-US"/>
              </w:rPr>
              <w:t>Distr.: General</w:t>
            </w:r>
          </w:p>
          <w:p w:rsidR="00B71C0D" w:rsidRPr="008D1BD1" w:rsidRDefault="00B71C0D" w:rsidP="00B71C0D">
            <w:pPr>
              <w:rPr>
                <w:lang w:val="en-US"/>
              </w:rPr>
            </w:pPr>
            <w:r w:rsidRPr="008D1BD1">
              <w:rPr>
                <w:lang w:val="en-US"/>
              </w:rPr>
              <w:t>6 October 2017</w:t>
            </w:r>
          </w:p>
          <w:p w:rsidR="00B71C0D" w:rsidRPr="008D1BD1" w:rsidRDefault="00B23DF7" w:rsidP="00B71C0D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  <w:bookmarkStart w:id="0" w:name="_GoBack"/>
            <w:bookmarkEnd w:id="0"/>
          </w:p>
          <w:p w:rsidR="00B71C0D" w:rsidRPr="008D1BD1" w:rsidRDefault="00B71C0D" w:rsidP="00B71C0D">
            <w:pPr>
              <w:rPr>
                <w:spacing w:val="0"/>
                <w:w w:val="100"/>
                <w:lang w:val="en-US"/>
              </w:rPr>
            </w:pPr>
            <w:r w:rsidRPr="008D1BD1">
              <w:rPr>
                <w:spacing w:val="0"/>
                <w:w w:val="100"/>
                <w:lang w:val="en-US"/>
              </w:rPr>
              <w:t>Original: English</w:t>
            </w:r>
          </w:p>
          <w:p w:rsidR="002D5AAC" w:rsidRPr="00B71C0D" w:rsidRDefault="00B71C0D" w:rsidP="00B71C0D">
            <w:pPr>
              <w:rPr>
                <w:lang w:val="en-US"/>
              </w:rPr>
            </w:pPr>
            <w:r w:rsidRPr="008D1BD1">
              <w:rPr>
                <w:spacing w:val="0"/>
                <w:w w:val="100"/>
                <w:lang w:val="en-US"/>
              </w:rPr>
              <w:t>English, Russian and Spanish only</w:t>
            </w:r>
          </w:p>
        </w:tc>
      </w:tr>
    </w:tbl>
    <w:p w:rsidR="00B71C0D" w:rsidRPr="000A22D6" w:rsidRDefault="00B71C0D" w:rsidP="00F17D9C">
      <w:pPr>
        <w:spacing w:before="120"/>
        <w:rPr>
          <w:b/>
          <w:sz w:val="24"/>
          <w:szCs w:val="24"/>
        </w:rPr>
      </w:pPr>
      <w:r w:rsidRPr="000A22D6">
        <w:rPr>
          <w:b/>
          <w:sz w:val="24"/>
          <w:szCs w:val="24"/>
        </w:rPr>
        <w:t>Комитет по правам инвалидов</w:t>
      </w:r>
    </w:p>
    <w:p w:rsidR="00B71C0D" w:rsidRPr="00B70E82" w:rsidRDefault="00B71C0D" w:rsidP="000A22D6">
      <w:pPr>
        <w:pStyle w:val="HMGR"/>
      </w:pPr>
      <w:r w:rsidRPr="00B70E82">
        <w:tab/>
      </w:r>
      <w:r w:rsidRPr="00B70E82">
        <w:tab/>
        <w:t>Доклад, представленный Мьянмой согласно статье 35 Конвенции, подлежавший представлению в 2014</w:t>
      </w:r>
      <w:r w:rsidR="00C536E8">
        <w:t> году</w:t>
      </w:r>
      <w:r w:rsidRPr="00C913D6">
        <w:rPr>
          <w:b w:val="0"/>
          <w:sz w:val="20"/>
        </w:rPr>
        <w:footnoteReference w:customMarkFollows="1" w:id="1"/>
        <w:t>*</w:t>
      </w:r>
      <w:r w:rsidR="00C913D6">
        <w:rPr>
          <w:b w:val="0"/>
          <w:sz w:val="20"/>
        </w:rPr>
        <w:t xml:space="preserve"> </w:t>
      </w:r>
      <w:r w:rsidRPr="00C913D6">
        <w:rPr>
          <w:b w:val="0"/>
          <w:sz w:val="20"/>
        </w:rPr>
        <w:footnoteReference w:customMarkFollows="1" w:id="2"/>
        <w:t>**</w:t>
      </w:r>
    </w:p>
    <w:p w:rsidR="00B71C0D" w:rsidRPr="00B70E82" w:rsidRDefault="00B71C0D" w:rsidP="000A22D6">
      <w:pPr>
        <w:pStyle w:val="SingleTxtGR"/>
        <w:jc w:val="right"/>
      </w:pPr>
      <w:r w:rsidRPr="00B70E82">
        <w:t>[Дата получения: 19 ноября 2015</w:t>
      </w:r>
      <w:r w:rsidR="00C913D6">
        <w:t> года</w:t>
      </w:r>
      <w:r w:rsidRPr="00B70E82">
        <w:t>]</w:t>
      </w:r>
    </w:p>
    <w:p w:rsidR="000D06BD" w:rsidRPr="0037164C" w:rsidRDefault="000A22D6" w:rsidP="000D06BD">
      <w:pPr>
        <w:spacing w:after="120"/>
        <w:rPr>
          <w:sz w:val="28"/>
          <w:szCs w:val="28"/>
        </w:rPr>
      </w:pPr>
      <w:r>
        <w:rPr>
          <w:rFonts w:eastAsia="Times New Roman" w:cs="Times New Roman"/>
          <w:szCs w:val="20"/>
        </w:rPr>
        <w:br w:type="page"/>
      </w:r>
      <w:r w:rsidR="000D06BD" w:rsidRPr="0037164C">
        <w:rPr>
          <w:sz w:val="28"/>
          <w:szCs w:val="28"/>
        </w:rPr>
        <w:lastRenderedPageBreak/>
        <w:t>Содержание</w:t>
      </w:r>
    </w:p>
    <w:p w:rsidR="000D06BD" w:rsidRPr="0037164C" w:rsidRDefault="000D06BD" w:rsidP="000D06BD">
      <w:pPr>
        <w:tabs>
          <w:tab w:val="right" w:pos="9638"/>
        </w:tabs>
        <w:spacing w:after="120"/>
        <w:ind w:left="283"/>
        <w:rPr>
          <w:i/>
          <w:color w:val="000000"/>
          <w:sz w:val="18"/>
        </w:rPr>
      </w:pPr>
      <w:r w:rsidRPr="0037164C">
        <w:rPr>
          <w:i/>
          <w:color w:val="000000"/>
          <w:sz w:val="18"/>
        </w:rPr>
        <w:tab/>
        <w:t>Стр.</w:t>
      </w:r>
    </w:p>
    <w:p w:rsidR="000D06BD" w:rsidRPr="0037164C" w:rsidRDefault="000D06BD" w:rsidP="00652A3C">
      <w:pPr>
        <w:tabs>
          <w:tab w:val="right" w:pos="851"/>
          <w:tab w:val="left" w:pos="1701"/>
          <w:tab w:val="right" w:leader="dot" w:pos="8931"/>
          <w:tab w:val="right" w:pos="9639"/>
        </w:tabs>
        <w:spacing w:after="100" w:line="220" w:lineRule="atLeast"/>
        <w:ind w:left="1134" w:hanging="850"/>
      </w:pPr>
      <w:r w:rsidRPr="0037164C">
        <w:tab/>
      </w:r>
      <w:r>
        <w:tab/>
      </w:r>
      <w:r w:rsidR="00652A3C">
        <w:t>Часть I</w:t>
      </w:r>
      <w:r w:rsidR="00652A3C">
        <w:tab/>
      </w:r>
      <w:r w:rsidRPr="0037164C">
        <w:tab/>
      </w:r>
      <w:r>
        <w:t>4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0D06BD">
        <w:t>Введение</w:t>
      </w:r>
      <w:r w:rsidR="000D06BD" w:rsidRPr="0037164C">
        <w:tab/>
      </w:r>
      <w:r w:rsidR="000D06BD" w:rsidRPr="0037164C">
        <w:tab/>
      </w:r>
      <w:r w:rsidR="000D06BD">
        <w:t>4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Общие сведения</w:t>
      </w:r>
      <w:r w:rsidR="000D06BD" w:rsidRPr="0037164C">
        <w:tab/>
      </w:r>
      <w:r w:rsidR="000D06BD" w:rsidRPr="0037164C">
        <w:tab/>
      </w:r>
      <w:r w:rsidR="000D06BD">
        <w:t>4</w:t>
      </w:r>
    </w:p>
    <w:p w:rsidR="00EE2C0E" w:rsidRPr="0037164C" w:rsidRDefault="00EE2C0E" w:rsidP="00652A3C">
      <w:pPr>
        <w:tabs>
          <w:tab w:val="right" w:pos="851"/>
          <w:tab w:val="left" w:pos="1701"/>
          <w:tab w:val="right" w:leader="dot" w:pos="8931"/>
          <w:tab w:val="right" w:pos="9639"/>
        </w:tabs>
        <w:spacing w:after="100" w:line="220" w:lineRule="atLeast"/>
        <w:ind w:left="1134" w:hanging="850"/>
      </w:pPr>
      <w:r w:rsidRPr="0037164C">
        <w:tab/>
      </w:r>
      <w:r>
        <w:tab/>
      </w:r>
      <w:r w:rsidRPr="000D06BD">
        <w:t>Часть I</w:t>
      </w:r>
      <w:r>
        <w:rPr>
          <w:lang w:val="en-US"/>
        </w:rPr>
        <w:t>I</w:t>
      </w:r>
      <w:r w:rsidRPr="0037164C">
        <w:tab/>
      </w:r>
      <w:r w:rsidRPr="0037164C">
        <w:tab/>
      </w:r>
      <w:r w:rsidR="00F42B78">
        <w:t>6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Цель, определения, принципы, общие обязательства</w:t>
      </w:r>
      <w:r w:rsidR="000D06BD" w:rsidRPr="0037164C">
        <w:tab/>
      </w:r>
      <w:r w:rsidR="000D06BD" w:rsidRPr="0037164C">
        <w:tab/>
      </w:r>
      <w:r w:rsidR="000D06BD">
        <w:t>6</w:t>
      </w:r>
    </w:p>
    <w:p w:rsidR="00EE2C0E" w:rsidRPr="0037164C" w:rsidRDefault="00EE2C0E" w:rsidP="00652A3C">
      <w:pPr>
        <w:tabs>
          <w:tab w:val="right" w:pos="851"/>
          <w:tab w:val="left" w:pos="1701"/>
          <w:tab w:val="right" w:leader="dot" w:pos="8931"/>
          <w:tab w:val="right" w:pos="9639"/>
        </w:tabs>
        <w:spacing w:after="100" w:line="220" w:lineRule="atLeast"/>
        <w:ind w:left="1134" w:hanging="850"/>
      </w:pPr>
      <w:r w:rsidRPr="0037164C">
        <w:tab/>
      </w:r>
      <w:r>
        <w:tab/>
      </w:r>
      <w:r w:rsidRPr="000D06BD">
        <w:t>Часть I</w:t>
      </w:r>
      <w:r>
        <w:rPr>
          <w:lang w:val="en-US"/>
        </w:rPr>
        <w:t>II</w:t>
      </w:r>
      <w:r w:rsidRPr="0037164C">
        <w:tab/>
      </w:r>
      <w:r w:rsidRPr="0037164C">
        <w:tab/>
      </w:r>
      <w:r w:rsidR="00F42B78">
        <w:t>7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Равенство и недискриминация</w:t>
      </w:r>
      <w:r w:rsidR="000D06BD" w:rsidRPr="0037164C">
        <w:tab/>
      </w:r>
      <w:r w:rsidR="000D06BD" w:rsidRPr="0037164C">
        <w:tab/>
      </w:r>
      <w:r w:rsidR="00F42B78">
        <w:t>7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Повышение уровня осведомленности</w:t>
      </w:r>
      <w:r w:rsidR="000D06BD" w:rsidRPr="0037164C">
        <w:tab/>
      </w:r>
      <w:r w:rsidR="000D06BD" w:rsidRPr="0037164C">
        <w:tab/>
      </w:r>
      <w:r w:rsidR="00F42B78">
        <w:t>7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Доступность</w:t>
      </w:r>
      <w:r w:rsidR="000D06BD" w:rsidRPr="0037164C">
        <w:tab/>
      </w:r>
      <w:r w:rsidR="000D06BD" w:rsidRPr="0037164C">
        <w:tab/>
      </w:r>
      <w:r w:rsidR="00F42B78">
        <w:t>8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Право на жизнь</w:t>
      </w:r>
      <w:r w:rsidR="000D06BD" w:rsidRPr="0037164C">
        <w:tab/>
      </w:r>
      <w:r w:rsidR="000D06BD" w:rsidRPr="0037164C">
        <w:tab/>
      </w:r>
      <w:r w:rsidR="00F42B78">
        <w:t>10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Ситуации риска и чрезвычайные гуманитарные ситуации</w:t>
      </w:r>
      <w:r w:rsidR="000D06BD" w:rsidRPr="0037164C">
        <w:tab/>
      </w:r>
      <w:r w:rsidR="000D06BD" w:rsidRPr="0037164C">
        <w:tab/>
      </w:r>
      <w:r w:rsidR="00F42B78">
        <w:t>10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Равенство перед законом</w:t>
      </w:r>
      <w:r w:rsidR="000D06BD" w:rsidRPr="0037164C">
        <w:tab/>
      </w:r>
      <w:r w:rsidR="000D06BD" w:rsidRPr="0037164C">
        <w:tab/>
      </w:r>
      <w:r w:rsidR="00F42B78">
        <w:t>11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Доступ к правосудию</w:t>
      </w:r>
      <w:r w:rsidR="000D06BD" w:rsidRPr="0037164C">
        <w:tab/>
      </w:r>
      <w:r w:rsidR="000D06BD" w:rsidRPr="0037164C">
        <w:tab/>
      </w:r>
      <w:r w:rsidR="00F42B78">
        <w:t>11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Свобода и личная неприкосновенность</w:t>
      </w:r>
      <w:r w:rsidR="000D06BD" w:rsidRPr="0037164C">
        <w:tab/>
      </w:r>
      <w:r w:rsidR="000D06BD" w:rsidRPr="0037164C">
        <w:tab/>
      </w:r>
      <w:r w:rsidR="00F42B78">
        <w:t>11</w:t>
      </w:r>
    </w:p>
    <w:p w:rsidR="000D06BD" w:rsidRPr="0037164C" w:rsidRDefault="00EE2C0E" w:rsidP="00345090">
      <w:pPr>
        <w:tabs>
          <w:tab w:val="right" w:pos="851"/>
          <w:tab w:val="right" w:pos="1701"/>
          <w:tab w:val="right" w:leader="dot" w:pos="8931"/>
          <w:tab w:val="right" w:pos="9639"/>
        </w:tabs>
        <w:spacing w:after="100" w:line="220" w:lineRule="atLeast"/>
        <w:ind w:left="1559"/>
      </w:pPr>
      <w:r w:rsidRPr="007568BE">
        <w:t xml:space="preserve">Свобода от пыток и жестоких, бесчеловечных или унижающих достоинство </w:t>
      </w:r>
      <w:r w:rsidR="00652A3C">
        <w:rPr>
          <w:lang w:val="en-US"/>
        </w:rPr>
        <w:br/>
      </w:r>
      <w:r w:rsidRPr="007568BE">
        <w:t>видов обращения и наказания</w:t>
      </w:r>
      <w:r w:rsidR="000D06BD" w:rsidRPr="0037164C">
        <w:tab/>
      </w:r>
      <w:r w:rsidR="000D06BD" w:rsidRPr="0037164C">
        <w:tab/>
      </w:r>
      <w:r w:rsidR="00F42B78">
        <w:t>12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Свобода от эксплуатации, насилия и надругательства</w:t>
      </w:r>
      <w:r w:rsidR="000D06BD" w:rsidRPr="0037164C">
        <w:tab/>
      </w:r>
      <w:r w:rsidR="000D06BD" w:rsidRPr="0037164C">
        <w:tab/>
      </w:r>
      <w:r w:rsidR="00F42B78">
        <w:t>13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Защита личной целостности</w:t>
      </w:r>
      <w:r w:rsidR="000D06BD" w:rsidRPr="0037164C">
        <w:tab/>
      </w:r>
      <w:r w:rsidR="000D06BD" w:rsidRPr="0037164C">
        <w:tab/>
      </w:r>
      <w:r w:rsidR="00F42B78">
        <w:t>13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Свобода передвижения и гражданство</w:t>
      </w:r>
      <w:r w:rsidR="000D06BD" w:rsidRPr="0037164C">
        <w:tab/>
      </w:r>
      <w:r w:rsidR="000D06BD" w:rsidRPr="0037164C">
        <w:tab/>
      </w:r>
      <w:r w:rsidR="00F42B78">
        <w:t>13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Самостоятельный образ жизни и вовлеченность в местное сообщество</w:t>
      </w:r>
      <w:r w:rsidR="000D06BD" w:rsidRPr="0037164C">
        <w:tab/>
      </w:r>
      <w:r w:rsidR="000D06BD" w:rsidRPr="0037164C">
        <w:tab/>
      </w:r>
      <w:r w:rsidR="00F42B78">
        <w:t>14</w:t>
      </w:r>
    </w:p>
    <w:p w:rsidR="000D06BD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Индивидуальная мобильность</w:t>
      </w:r>
      <w:r w:rsidR="000D06BD" w:rsidRPr="0037164C">
        <w:tab/>
      </w:r>
      <w:r w:rsidR="000D06BD" w:rsidRPr="0037164C">
        <w:tab/>
      </w:r>
      <w:r w:rsidR="00F42B78">
        <w:t>14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Свобода выражения мнения и убеждений и доступ к информации</w:t>
      </w:r>
      <w:r w:rsidR="00EE2C0E" w:rsidRPr="0037164C">
        <w:tab/>
      </w:r>
      <w:r w:rsidR="00EE2C0E" w:rsidRPr="0037164C">
        <w:tab/>
      </w:r>
      <w:r w:rsidR="00F42B78">
        <w:t>14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Неприкосновенность частной жизни</w:t>
      </w:r>
      <w:r w:rsidR="00EE2C0E" w:rsidRPr="0037164C">
        <w:tab/>
      </w:r>
      <w:r w:rsidR="00EE2C0E" w:rsidRPr="0037164C">
        <w:tab/>
      </w:r>
      <w:r w:rsidR="00F42B78">
        <w:t>15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Уважение дома и семьи</w:t>
      </w:r>
      <w:r w:rsidR="00EE2C0E" w:rsidRPr="0037164C">
        <w:tab/>
      </w:r>
      <w:r w:rsidR="00EE2C0E" w:rsidRPr="0037164C">
        <w:tab/>
      </w:r>
      <w:r w:rsidR="00F42B78">
        <w:t>15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>
        <w:t>Образование</w:t>
      </w:r>
      <w:r w:rsidR="00EE2C0E" w:rsidRPr="0037164C">
        <w:tab/>
      </w:r>
      <w:r w:rsidR="00EE2C0E" w:rsidRPr="0037164C">
        <w:tab/>
      </w:r>
      <w:r w:rsidR="00F42B78">
        <w:t>16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>
        <w:t>Здравоохранение</w:t>
      </w:r>
      <w:r w:rsidR="00EE2C0E" w:rsidRPr="0037164C">
        <w:tab/>
      </w:r>
      <w:r w:rsidR="00EE2C0E" w:rsidRPr="0037164C">
        <w:tab/>
      </w:r>
      <w:r w:rsidR="00F42B78">
        <w:t>17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Адаптация и реабилитация</w:t>
      </w:r>
      <w:r w:rsidR="00EE2C0E" w:rsidRPr="0037164C">
        <w:tab/>
      </w:r>
      <w:r w:rsidR="00EE2C0E" w:rsidRPr="0037164C">
        <w:tab/>
      </w:r>
      <w:r w:rsidR="00F42B78">
        <w:t>18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Труд и занятость</w:t>
      </w:r>
      <w:r w:rsidR="00EE2C0E" w:rsidRPr="0037164C">
        <w:tab/>
      </w:r>
      <w:r w:rsidR="00EE2C0E" w:rsidRPr="0037164C">
        <w:tab/>
      </w:r>
      <w:r w:rsidR="00F42B78">
        <w:t>18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Достаточный жизненный уровень и социальная защита</w:t>
      </w:r>
      <w:r w:rsidR="00EE2C0E" w:rsidRPr="0037164C">
        <w:tab/>
      </w:r>
      <w:r w:rsidR="00EE2C0E" w:rsidRPr="0037164C">
        <w:tab/>
      </w:r>
      <w:r w:rsidR="00F42B78">
        <w:t>19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Участие в политической и общественной жизни</w:t>
      </w:r>
      <w:r w:rsidR="00EE2C0E" w:rsidRPr="0037164C">
        <w:tab/>
      </w:r>
      <w:r w:rsidR="00EE2C0E" w:rsidRPr="0037164C">
        <w:tab/>
      </w:r>
      <w:r w:rsidR="00F42B78">
        <w:t>19</w:t>
      </w:r>
    </w:p>
    <w:p w:rsidR="00EE2C0E" w:rsidRPr="0037164C" w:rsidRDefault="00345090" w:rsidP="00652A3C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Участие в культурной жизни, проведении досуга и отдыха и занятии спортом</w:t>
      </w:r>
      <w:r w:rsidR="00EE2C0E" w:rsidRPr="0037164C">
        <w:tab/>
      </w:r>
      <w:r w:rsidR="00EE2C0E" w:rsidRPr="0037164C">
        <w:tab/>
      </w:r>
      <w:r w:rsidR="00EE2C0E">
        <w:t>2</w:t>
      </w:r>
      <w:r w:rsidR="00F42B78">
        <w:t>0</w:t>
      </w:r>
    </w:p>
    <w:p w:rsidR="00EE2C0E" w:rsidRPr="0037164C" w:rsidRDefault="00EE2C0E" w:rsidP="00652A3C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 w:rsidRPr="000D06BD">
        <w:t>Часть I</w:t>
      </w:r>
      <w:r>
        <w:rPr>
          <w:lang w:val="en-US"/>
        </w:rPr>
        <w:t>V</w:t>
      </w:r>
      <w:r w:rsidRPr="0037164C">
        <w:tab/>
      </w:r>
      <w:r w:rsidRPr="0037164C">
        <w:tab/>
      </w:r>
      <w:r>
        <w:t>2</w:t>
      </w:r>
      <w:r w:rsidR="00B355D5">
        <w:t>1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Женщины-инвалиды</w:t>
      </w:r>
      <w:r w:rsidR="00EE2C0E" w:rsidRPr="0037164C">
        <w:tab/>
      </w:r>
      <w:r w:rsidR="00EE2C0E" w:rsidRPr="0037164C">
        <w:tab/>
      </w:r>
      <w:r w:rsidR="00EE2C0E">
        <w:t>2</w:t>
      </w:r>
      <w:r w:rsidR="00B355D5">
        <w:t>1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Дети-инвалиды</w:t>
      </w:r>
      <w:r w:rsidR="00EE2C0E" w:rsidRPr="0037164C">
        <w:tab/>
      </w:r>
      <w:r w:rsidR="00EE2C0E" w:rsidRPr="0037164C">
        <w:tab/>
      </w:r>
      <w:r w:rsidR="00EE2C0E">
        <w:t>2</w:t>
      </w:r>
      <w:r w:rsidR="00F42B78">
        <w:t>1</w:t>
      </w:r>
    </w:p>
    <w:p w:rsidR="00EE2C0E" w:rsidRPr="0037164C" w:rsidRDefault="00EE2C0E" w:rsidP="00652A3C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 xml:space="preserve">Часть </w:t>
      </w:r>
      <w:r>
        <w:rPr>
          <w:lang w:val="en-US"/>
        </w:rPr>
        <w:t>V</w:t>
      </w:r>
      <w:r w:rsidRPr="0037164C">
        <w:tab/>
      </w:r>
      <w:r w:rsidRPr="0037164C">
        <w:tab/>
      </w:r>
      <w:r>
        <w:t>22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Статистика и сбор данных</w:t>
      </w:r>
      <w:r w:rsidR="00EE2C0E" w:rsidRPr="0037164C">
        <w:tab/>
      </w:r>
      <w:r w:rsidR="00EE2C0E" w:rsidRPr="0037164C">
        <w:tab/>
      </w:r>
      <w:r w:rsidR="00EE2C0E">
        <w:t>2</w:t>
      </w:r>
      <w:r w:rsidR="00F42B78">
        <w:t>2</w:t>
      </w:r>
    </w:p>
    <w:p w:rsidR="00EE2C0E" w:rsidRPr="0037164C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</w:pPr>
      <w:r>
        <w:tab/>
      </w:r>
      <w:r w:rsidR="00EE2C0E" w:rsidRPr="007568BE">
        <w:t>Международное сотрудничество</w:t>
      </w:r>
      <w:r w:rsidR="00EE2C0E" w:rsidRPr="0037164C">
        <w:tab/>
      </w:r>
      <w:r w:rsidR="00EE2C0E" w:rsidRPr="0037164C">
        <w:tab/>
      </w:r>
      <w:r w:rsidR="00EE2C0E">
        <w:t>2</w:t>
      </w:r>
      <w:r w:rsidR="00B355D5">
        <w:t>3</w:t>
      </w:r>
    </w:p>
    <w:p w:rsidR="00EE2C0E" w:rsidRPr="009D24AA" w:rsidRDefault="00345090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60" w:hanging="426"/>
        <w:rPr>
          <w:lang w:val="en-US"/>
        </w:rPr>
      </w:pPr>
      <w:r>
        <w:tab/>
      </w:r>
      <w:r w:rsidR="00EE2C0E" w:rsidRPr="007568BE">
        <w:t>Национальное осуществление и мониторинг</w:t>
      </w:r>
      <w:r w:rsidR="00EE2C0E" w:rsidRPr="0037164C">
        <w:tab/>
      </w:r>
      <w:r w:rsidR="00EE2C0E" w:rsidRPr="0037164C">
        <w:tab/>
      </w:r>
      <w:r w:rsidR="00EE2C0E">
        <w:t>2</w:t>
      </w:r>
      <w:r w:rsidR="00B355D5">
        <w:t>4</w:t>
      </w:r>
    </w:p>
    <w:p w:rsidR="000D06BD" w:rsidRPr="00B87624" w:rsidRDefault="00EE2C0E" w:rsidP="00B87624">
      <w:pPr>
        <w:tabs>
          <w:tab w:val="right" w:pos="851"/>
          <w:tab w:val="right" w:leader="dot" w:pos="8931"/>
          <w:tab w:val="right" w:pos="9639"/>
        </w:tabs>
        <w:spacing w:after="100" w:line="220" w:lineRule="atLeast"/>
        <w:ind w:left="1559" w:hanging="425"/>
      </w:pPr>
      <w:r>
        <w:t>Заключение</w:t>
      </w:r>
      <w:r w:rsidRPr="0037164C">
        <w:tab/>
      </w:r>
      <w:r w:rsidRPr="0037164C">
        <w:tab/>
      </w:r>
      <w:r>
        <w:t>2</w:t>
      </w:r>
      <w:r w:rsidR="00F42B78">
        <w:t>4</w:t>
      </w:r>
    </w:p>
    <w:p w:rsidR="00B71C0D" w:rsidRPr="00B70E82" w:rsidRDefault="000A22D6" w:rsidP="000A22D6">
      <w:pPr>
        <w:pStyle w:val="HChGR"/>
      </w:pPr>
      <w:r>
        <w:br w:type="page"/>
      </w:r>
      <w:r w:rsidR="00B71C0D" w:rsidRPr="00B70E82">
        <w:lastRenderedPageBreak/>
        <w:tab/>
      </w:r>
      <w:r w:rsidR="00B71C0D" w:rsidRPr="00B70E82">
        <w:tab/>
        <w:t>Список сокращений</w:t>
      </w:r>
      <w:bookmarkStart w:id="1" w:name="_Toc494819920"/>
      <w:bookmarkEnd w:id="1"/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АСЕАН</w:t>
      </w:r>
      <w:r w:rsidRPr="00B70E82">
        <w:tab/>
        <w:t>Ассоциация государств Юго-Восточной Азии</w:t>
      </w:r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АТЦР</w:t>
      </w:r>
      <w:r w:rsidRPr="00B70E82">
        <w:tab/>
        <w:t>Азиатско-тихоокеанский центр развития</w:t>
      </w:r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ВИЧ/СПИД</w:t>
      </w:r>
      <w:r w:rsidRPr="00B70E82">
        <w:tab/>
        <w:t>вирус иммунодефицита человека/синдром приобретенного</w:t>
      </w:r>
      <w:r w:rsidR="00C913D6">
        <w:t xml:space="preserve"> </w:t>
      </w:r>
      <w:r w:rsidR="00C913D6">
        <w:br/>
      </w:r>
      <w:r w:rsidRPr="00B70E82">
        <w:t>имму</w:t>
      </w:r>
      <w:r w:rsidR="00C913D6">
        <w:t>нодефицита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ВПП</w:t>
      </w:r>
      <w:r>
        <w:tab/>
      </w:r>
      <w:r w:rsidR="00B71C0D" w:rsidRPr="00B70E82">
        <w:t>Всемирная продовольственная программа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ДСО</w:t>
      </w:r>
      <w:r>
        <w:tab/>
      </w:r>
      <w:r w:rsidR="00B71C0D" w:rsidRPr="00B70E82">
        <w:t>Департамент социального обеспечения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КПИ</w:t>
      </w:r>
      <w:r>
        <w:tab/>
      </w:r>
      <w:r w:rsidR="00B71C0D" w:rsidRPr="00B70E82">
        <w:t xml:space="preserve">Конвенция о правах инвалидов </w:t>
      </w:r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МНПО</w:t>
      </w:r>
      <w:r w:rsidRPr="00B70E82">
        <w:tab/>
        <w:t>Международные неправительственные организации</w:t>
      </w:r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МСОПП</w:t>
      </w:r>
      <w:r w:rsidRPr="00B70E82">
        <w:tab/>
        <w:t xml:space="preserve">Министерство по вопросам социального обеспечения, </w:t>
      </w:r>
      <w:r w:rsidR="00C913D6">
        <w:br/>
      </w:r>
      <w:r w:rsidRPr="00B70E82">
        <w:t xml:space="preserve">чрезвычайной помощи и переселения </w:t>
      </w:r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НКМПЧ</w:t>
      </w:r>
      <w:r w:rsidRPr="00B70E82">
        <w:tab/>
        <w:t>Национальная комиссия Мьянмы по правам человека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НПО</w:t>
      </w:r>
      <w:r>
        <w:tab/>
      </w:r>
      <w:r w:rsidR="00652A3C">
        <w:t>н</w:t>
      </w:r>
      <w:r w:rsidR="00B71C0D" w:rsidRPr="00B70E82">
        <w:t>еправительственные организации</w:t>
      </w:r>
    </w:p>
    <w:p w:rsidR="00B71C0D" w:rsidRPr="00B70E82" w:rsidRDefault="00C913D6" w:rsidP="00652A3C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ОЛИ</w:t>
      </w:r>
      <w:r>
        <w:tab/>
      </w:r>
      <w:r w:rsidR="00652A3C">
        <w:t>о</w:t>
      </w:r>
      <w:r w:rsidR="00B71C0D" w:rsidRPr="00B70E82">
        <w:t>рганизации лиц с инвалидностью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ОО</w:t>
      </w:r>
      <w:r>
        <w:tab/>
        <w:t>«</w:t>
      </w:r>
      <w:r w:rsidR="00B71C0D" w:rsidRPr="00B70E82">
        <w:t>обучение обучающих</w:t>
      </w:r>
      <w:r>
        <w:t>»</w:t>
      </w:r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ООН-Хабитат</w:t>
      </w:r>
      <w:r w:rsidRPr="00B70E82">
        <w:tab/>
        <w:t xml:space="preserve">Программа Организации Объединенных Наций </w:t>
      </w:r>
      <w:r w:rsidR="00C913D6">
        <w:br/>
      </w:r>
      <w:r w:rsidRPr="00B70E82">
        <w:t>по населенным пунктам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ПРООН</w:t>
      </w:r>
      <w:r>
        <w:tab/>
      </w:r>
      <w:r w:rsidR="00B71C0D" w:rsidRPr="00B70E82">
        <w:t>Программа развития Организации Объединенных Наций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РМУ</w:t>
      </w:r>
      <w:r>
        <w:tab/>
      </w:r>
      <w:r w:rsidR="00B71C0D" w:rsidRPr="00B70E82">
        <w:t>реабилитация на местном уровне</w:t>
      </w:r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УВКБ ООН</w:t>
      </w:r>
      <w:r w:rsidRPr="00B70E82">
        <w:tab/>
        <w:t xml:space="preserve">Верховный комиссар Организации Объединенных Наций </w:t>
      </w:r>
      <w:r w:rsidR="00C913D6">
        <w:br/>
      </w:r>
      <w:r w:rsidRPr="00B70E82">
        <w:t>по делам беженцев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УКГВ</w:t>
      </w:r>
      <w:r>
        <w:tab/>
      </w:r>
      <w:r w:rsidR="00B71C0D" w:rsidRPr="00B70E82">
        <w:t>Управление по координации гуманитарных вопросов</w:t>
      </w:r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ЭСКАТО</w:t>
      </w:r>
      <w:r w:rsidRPr="00B70E82">
        <w:tab/>
        <w:t xml:space="preserve">Экономическая и социальная комиссия Организации </w:t>
      </w:r>
      <w:r w:rsidR="00C913D6">
        <w:br/>
      </w:r>
      <w:r w:rsidRPr="00B70E82">
        <w:t>Объединенных Наций для Азии и Ти</w:t>
      </w:r>
      <w:r w:rsidR="00C913D6">
        <w:t>хого океана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ЮВА</w:t>
      </w:r>
      <w:r>
        <w:tab/>
      </w:r>
      <w:r w:rsidR="00B71C0D" w:rsidRPr="00B70E82">
        <w:t>Юго-Восточная Азия</w:t>
      </w:r>
    </w:p>
    <w:p w:rsidR="00B71C0D" w:rsidRPr="00B70E82" w:rsidRDefault="00B71C0D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 w:rsidRPr="00B70E82">
        <w:t>ЮНИСЕФ</w:t>
      </w:r>
      <w:r w:rsidRPr="00B70E82">
        <w:tab/>
        <w:t>Детский фонд Организации Объединенных Наций</w:t>
      </w:r>
    </w:p>
    <w:p w:rsidR="00B71C0D" w:rsidRPr="00B70E82" w:rsidRDefault="00C913D6" w:rsidP="00C913D6">
      <w:pPr>
        <w:pStyle w:val="SingleTxtGR"/>
        <w:tabs>
          <w:tab w:val="clear" w:pos="1701"/>
          <w:tab w:val="clear" w:pos="2268"/>
        </w:tabs>
        <w:ind w:left="2835" w:hanging="1701"/>
        <w:jc w:val="left"/>
      </w:pPr>
      <w:r>
        <w:t>ЯАМС</w:t>
      </w:r>
      <w:r>
        <w:tab/>
      </w:r>
      <w:r w:rsidR="00B71C0D" w:rsidRPr="00B70E82">
        <w:t>Японское агентство по международному сотрудниче</w:t>
      </w:r>
      <w:r>
        <w:t>ству</w:t>
      </w:r>
    </w:p>
    <w:p w:rsidR="00B71C0D" w:rsidRPr="00B70E82" w:rsidRDefault="000A22D6" w:rsidP="000A22D6">
      <w:pPr>
        <w:pStyle w:val="HChGR"/>
      </w:pPr>
      <w:r>
        <w:br w:type="page"/>
      </w:r>
      <w:r w:rsidR="00B71C0D" w:rsidRPr="00B70E82">
        <w:lastRenderedPageBreak/>
        <w:tab/>
      </w:r>
      <w:r w:rsidR="00B71C0D" w:rsidRPr="00B70E82">
        <w:tab/>
        <w:t>Часть I</w:t>
      </w:r>
      <w:bookmarkStart w:id="2" w:name="_Toc494819921"/>
      <w:bookmarkEnd w:id="2"/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Введение</w:t>
      </w:r>
      <w:bookmarkStart w:id="3" w:name="_Toc494819922"/>
      <w:bookmarkEnd w:id="3"/>
    </w:p>
    <w:p w:rsidR="00B71C0D" w:rsidRPr="00B70E82" w:rsidRDefault="00B71C0D" w:rsidP="000A22D6">
      <w:pPr>
        <w:pStyle w:val="SingleTxtGR"/>
      </w:pPr>
      <w:r w:rsidRPr="00B70E82">
        <w:t>1.</w:t>
      </w:r>
      <w:r w:rsidRPr="00B70E82">
        <w:tab/>
        <w:t xml:space="preserve">Республика Союз Мьянма ратифицировала Конвенцию о правах инвалидов (далее </w:t>
      </w:r>
      <w:r w:rsidR="00C913D6">
        <w:t>«</w:t>
      </w:r>
      <w:r w:rsidRPr="00B70E82">
        <w:t>Конвенция</w:t>
      </w:r>
      <w:r w:rsidR="00C913D6">
        <w:t>»</w:t>
      </w:r>
      <w:r w:rsidRPr="00B70E82">
        <w:t>) 7</w:t>
      </w:r>
      <w:r w:rsidR="00C913D6">
        <w:t> </w:t>
      </w:r>
      <w:r w:rsidRPr="00B70E82">
        <w:t>декабря 2011</w:t>
      </w:r>
      <w:r w:rsidR="00C913D6">
        <w:t> года</w:t>
      </w:r>
      <w:r w:rsidRPr="00B70E82">
        <w:t>. Как государство</w:t>
      </w:r>
      <w:r w:rsidR="00C913D6">
        <w:t xml:space="preserve"> – </w:t>
      </w:r>
      <w:r w:rsidRPr="00B70E82">
        <w:t>участник Конвенции Республика Союз Мьянма имеет честь представить настоящий первоначальный доклад Комитету по правам инвалидов в соответствии с пунктом</w:t>
      </w:r>
      <w:r w:rsidR="00C913D6">
        <w:t> </w:t>
      </w:r>
      <w:r w:rsidRPr="00B70E82">
        <w:t xml:space="preserve">1 </w:t>
      </w:r>
      <w:r w:rsidR="00C536E8">
        <w:t>статьи </w:t>
      </w:r>
      <w:r w:rsidRPr="00B70E82">
        <w:t>35 Конвенции. Доклад подготовлен в соответствии с руководящими принципами Комитета в отношении представления докладов (CRPD/C/2/3).</w:t>
      </w:r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Общие сведения</w:t>
      </w:r>
      <w:bookmarkStart w:id="4" w:name="_Toc494819923"/>
      <w:bookmarkEnd w:id="4"/>
    </w:p>
    <w:p w:rsidR="00B71C0D" w:rsidRPr="00B70E82" w:rsidRDefault="00B71C0D" w:rsidP="000A22D6">
      <w:pPr>
        <w:pStyle w:val="SingleTxtGR"/>
      </w:pPr>
      <w:r w:rsidRPr="00B70E82">
        <w:t>2.</w:t>
      </w:r>
      <w:r w:rsidRPr="00B70E82">
        <w:tab/>
        <w:t xml:space="preserve">Республика Союз Мьянма расположена в регионе Юго-Восточной </w:t>
      </w:r>
      <w:r w:rsidR="00C913D6">
        <w:br/>
      </w:r>
      <w:r w:rsidRPr="00B70E82">
        <w:t xml:space="preserve">Азии. Она граничит с Китайской Народной Республикой и Лаосской </w:t>
      </w:r>
      <w:r w:rsidR="00C913D6">
        <w:br/>
      </w:r>
      <w:r w:rsidRPr="00B70E82">
        <w:t xml:space="preserve">Народно-Демократической Республикой на севере, с Таиландом, Бангладеш </w:t>
      </w:r>
      <w:r w:rsidR="00C913D6">
        <w:br/>
      </w:r>
      <w:r w:rsidRPr="00B70E82">
        <w:t>и Индией на</w:t>
      </w:r>
      <w:r w:rsidR="00C913D6">
        <w:t xml:space="preserve"> </w:t>
      </w:r>
      <w:r w:rsidRPr="00B70E82">
        <w:t>юге, и с юга е</w:t>
      </w:r>
      <w:r w:rsidR="00C913D6">
        <w:t>е</w:t>
      </w:r>
      <w:r w:rsidRPr="00B70E82">
        <w:t xml:space="preserve"> берега омываются водами Андаманского моря, </w:t>
      </w:r>
      <w:r w:rsidR="00C913D6">
        <w:br/>
      </w:r>
      <w:r w:rsidRPr="00B70E82">
        <w:t>а с юго-запада – Бенгальского залива.</w:t>
      </w:r>
    </w:p>
    <w:p w:rsidR="00B71C0D" w:rsidRPr="00B70E82" w:rsidRDefault="00B71C0D" w:rsidP="000A22D6">
      <w:pPr>
        <w:pStyle w:val="SingleTxtGR"/>
      </w:pPr>
      <w:r w:rsidRPr="00B70E82">
        <w:t>3.</w:t>
      </w:r>
      <w:r w:rsidRPr="00B70E82">
        <w:tab/>
        <w:t>Республика Союз Мьянма является государством, в котором в общей сложности насчитывается свыше 100</w:t>
      </w:r>
      <w:r w:rsidR="00C913D6">
        <w:t> </w:t>
      </w:r>
      <w:r w:rsidRPr="00B70E82">
        <w:t>различных народностей. Согласно Конституции Союза Мьянма 2008</w:t>
      </w:r>
      <w:r w:rsidR="00C913D6">
        <w:t> года</w:t>
      </w:r>
      <w:r w:rsidRPr="00B70E82">
        <w:t xml:space="preserve"> (далее </w:t>
      </w:r>
      <w:r w:rsidR="00C913D6">
        <w:t>«</w:t>
      </w:r>
      <w:r w:rsidRPr="00B70E82">
        <w:t>Конституция</w:t>
      </w:r>
      <w:r w:rsidR="00C913D6">
        <w:t>»</w:t>
      </w:r>
      <w:r w:rsidRPr="00B70E82">
        <w:t>) в Союзе установлена основанная на дисциплине настоящая многопартийная система и в его состав входят семь областей и семь штатов. Кроме того, в Союз входят шесть самоуправляющихся зон и самоуправляющихся регионов. Союз проводит независимую активную внешнюю политику неприсоединения и в нем создана система рыночной экономики.</w:t>
      </w:r>
    </w:p>
    <w:p w:rsidR="00B71C0D" w:rsidRPr="00E0018F" w:rsidRDefault="00B71C0D" w:rsidP="00E0018F">
      <w:pPr>
        <w:pStyle w:val="SingleTxtGR"/>
      </w:pPr>
      <w:r w:rsidRPr="00E0018F">
        <w:t>4.</w:t>
      </w:r>
      <w:r w:rsidRPr="00E0018F">
        <w:tab/>
        <w:t>Департамент социального обеспечения (ДСО) Министерства по вопросам социального обеспечения, чрезвычайной помощи и переселения провел Мьянме</w:t>
      </w:r>
      <w:r w:rsidR="00E0018F">
        <w:t xml:space="preserve"> </w:t>
      </w:r>
      <w:r w:rsidRPr="00E0018F">
        <w:t xml:space="preserve">первое национальное обследование по вопросам инвалидности </w:t>
      </w:r>
      <w:r w:rsidR="00E0018F">
        <w:br/>
      </w:r>
      <w:r w:rsidRPr="00E0018F">
        <w:t>(2008</w:t>
      </w:r>
      <w:r w:rsidR="00C536E8" w:rsidRPr="00E0018F">
        <w:t>–</w:t>
      </w:r>
      <w:r w:rsidRPr="00E0018F">
        <w:t>2009</w:t>
      </w:r>
      <w:r w:rsidR="00C536E8" w:rsidRPr="00E0018F">
        <w:t> </w:t>
      </w:r>
      <w:r w:rsidRPr="00E0018F">
        <w:t xml:space="preserve">годов) при поддержке Международной миссии по борьбе с проказой, которая в настоящее время носит название </w:t>
      </w:r>
      <w:r w:rsidR="00C913D6" w:rsidRPr="00E0018F">
        <w:t>«</w:t>
      </w:r>
      <w:r w:rsidRPr="00E0018F">
        <w:t>Лепрози мишн Мьянма</w:t>
      </w:r>
      <w:r w:rsidR="00C913D6" w:rsidRPr="00E0018F">
        <w:t>»</w:t>
      </w:r>
      <w:r w:rsidRPr="00E0018F">
        <w:t>. По</w:t>
      </w:r>
      <w:r w:rsidR="00C536E8" w:rsidRPr="00E0018F">
        <w:t> </w:t>
      </w:r>
      <w:r w:rsidRPr="00E0018F">
        <w:t>данным обследования, при общей численности населения Мьянмы в количестве</w:t>
      </w:r>
      <w:r w:rsidR="00E0018F">
        <w:t xml:space="preserve"> </w:t>
      </w:r>
      <w:r w:rsidRPr="00E0018F">
        <w:t>58,37</w:t>
      </w:r>
      <w:r w:rsidR="00E0018F">
        <w:t xml:space="preserve"> </w:t>
      </w:r>
      <w:r w:rsidRPr="00E0018F">
        <w:t>млн</w:t>
      </w:r>
      <w:r w:rsidR="00E0018F">
        <w:t xml:space="preserve"> </w:t>
      </w:r>
      <w:r w:rsidRPr="00E0018F">
        <w:t>чел</w:t>
      </w:r>
      <w:r w:rsidR="00C536E8" w:rsidRPr="00E0018F">
        <w:t>овек</w:t>
      </w:r>
      <w:r w:rsidRPr="00E0018F">
        <w:t xml:space="preserve"> насчитывается 1,3</w:t>
      </w:r>
      <w:r w:rsidR="00E0018F">
        <w:t xml:space="preserve"> </w:t>
      </w:r>
      <w:r w:rsidRPr="00E0018F">
        <w:t>млн</w:t>
      </w:r>
      <w:r w:rsidR="00E0018F">
        <w:t xml:space="preserve"> </w:t>
      </w:r>
      <w:r w:rsidRPr="00E0018F">
        <w:t>людей</w:t>
      </w:r>
      <w:r w:rsidR="00E0018F">
        <w:t xml:space="preserve"> </w:t>
      </w:r>
      <w:r w:rsidRPr="00E0018F">
        <w:t>с инвалидностью</w:t>
      </w:r>
      <w:r w:rsidR="00E0018F">
        <w:t xml:space="preserve"> </w:t>
      </w:r>
      <w:r w:rsidRPr="00E0018F">
        <w:t>(2,32%). Департамент социального обеспечения является координационным центром для принятия необходимых мер по правам инвалидов в Республике Союз Мьянма. Он координирует и налаживает контакты с заинтересованными государственными ведомствами, международными и национальными общественными организациями, неправительственными организациями, организациями инвалидов и организациями, защищающими их интересы, а также с широкой общественностью.</w:t>
      </w:r>
    </w:p>
    <w:p w:rsidR="00B71C0D" w:rsidRPr="00B70E82" w:rsidRDefault="00B71C0D" w:rsidP="000A22D6">
      <w:pPr>
        <w:pStyle w:val="SingleTxtGR"/>
      </w:pPr>
      <w:r w:rsidRPr="00B70E82">
        <w:t>5.</w:t>
      </w:r>
      <w:r w:rsidRPr="00B70E82">
        <w:tab/>
        <w:t>В пункте</w:t>
      </w:r>
      <w:r w:rsidR="00C536E8">
        <w:t> </w:t>
      </w:r>
      <w:r w:rsidRPr="00B70E82">
        <w:t xml:space="preserve">а) </w:t>
      </w:r>
      <w:r w:rsidR="00C536E8">
        <w:t>статьи </w:t>
      </w:r>
      <w:r w:rsidRPr="00B70E82">
        <w:t>32 Конституции предусмотрено, что Союз заботится о</w:t>
      </w:r>
      <w:r w:rsidR="00C536E8">
        <w:t> </w:t>
      </w:r>
      <w:r w:rsidRPr="00B70E82">
        <w:t>матерях и детях, сиротах, раненых, детях погибших служащих Сил обороны, пожилых людях и инвалидах. Первый Закон Мьянмы о трудоустройстве инвалидов был принят в 1958</w:t>
      </w:r>
      <w:r w:rsidR="00C536E8">
        <w:t> году</w:t>
      </w:r>
      <w:r w:rsidRPr="00B70E82">
        <w:t>. В интересах защиты закрепленных в Конвенции прав инвалидов в 2011</w:t>
      </w:r>
      <w:r w:rsidR="00C536E8">
        <w:t> году</w:t>
      </w:r>
      <w:r w:rsidRPr="00B70E82">
        <w:t xml:space="preserve"> под руководством Департамента социального обеспечения Министерства по вопросам социального обеспечения, чрезвычайной помощи и переселения совместно с организациями инвалидов и организациями, защищающими их интересы, заинтересованными государственными ведомствами и международными и местными неправительственными организациями была начата работа по подготовке законопроекта о правах инвалидов. В период составления настоящего доклада данный законопроект проходил процедуру внесения на рассмотрение в парламент.</w:t>
      </w:r>
    </w:p>
    <w:p w:rsidR="00B71C0D" w:rsidRPr="00B70E82" w:rsidRDefault="00B71C0D" w:rsidP="000A22D6">
      <w:pPr>
        <w:pStyle w:val="SingleTxtGR"/>
      </w:pPr>
      <w:r w:rsidRPr="00B70E82">
        <w:t>6.</w:t>
      </w:r>
      <w:r w:rsidRPr="00B70E82">
        <w:tab/>
        <w:t>Работа по реабилитации инвалидов ведется в Мьянме с 1875</w:t>
      </w:r>
      <w:r w:rsidR="00C913D6">
        <w:t> года</w:t>
      </w:r>
      <w:r w:rsidRPr="00B70E82">
        <w:t xml:space="preserve"> (с колониальных времен). Первое учреждение для лиц с инвалидностью – Училище для слепых Мьянмы – было создано в 1914</w:t>
      </w:r>
      <w:r w:rsidR="00C536E8">
        <w:t> году</w:t>
      </w:r>
      <w:r w:rsidRPr="00B70E82">
        <w:t xml:space="preserve"> и в нем работало три сотрудни</w:t>
      </w:r>
      <w:r w:rsidR="00C536E8">
        <w:lastRenderedPageBreak/>
        <w:t>ка</w:t>
      </w:r>
      <w:r w:rsidRPr="00B70E82">
        <w:t>; в настоящее время оно носит название Училища для лиц с нарушениями зрения. С 1954</w:t>
      </w:r>
      <w:r w:rsidR="00C913D6">
        <w:t> года</w:t>
      </w:r>
      <w:r w:rsidRPr="00B70E82">
        <w:t>, после восстановления независимости Мьянмы, вопросы реабилитации инвалидов учитываются при разработке политики социального обеспечения.</w:t>
      </w:r>
    </w:p>
    <w:p w:rsidR="00B71C0D" w:rsidRPr="00B70E82" w:rsidRDefault="00B71C0D" w:rsidP="000A22D6">
      <w:pPr>
        <w:pStyle w:val="SingleTxtGR"/>
      </w:pPr>
      <w:r w:rsidRPr="00B70E82">
        <w:t>7.</w:t>
      </w:r>
      <w:r w:rsidRPr="00B70E82">
        <w:tab/>
        <w:t>В период с 2008</w:t>
      </w:r>
      <w:r w:rsidR="00C913D6">
        <w:t> года</w:t>
      </w:r>
      <w:r w:rsidRPr="00B70E82">
        <w:t xml:space="preserve"> активизировались усилия по разработке программ поощрения участия в общественной жизни и обеспечения возможностей трудоустройства и доступа к социальным услугам для </w:t>
      </w:r>
      <w:bookmarkStart w:id="5" w:name="_Hlk498953253"/>
      <w:r w:rsidRPr="00B70E82">
        <w:t>инвалидов</w:t>
      </w:r>
      <w:bookmarkEnd w:id="5"/>
      <w:r w:rsidRPr="00B70E82">
        <w:t>. Такие программы реализуются с пр</w:t>
      </w:r>
      <w:r w:rsidR="00C536E8">
        <w:t>ивлечением и участием инвалидов</w:t>
      </w:r>
      <w:r w:rsidRPr="00B70E82">
        <w:t>, которые вносят свой вклад в решение поставленных задач. В 2010</w:t>
      </w:r>
      <w:r w:rsidR="00C536E8">
        <w:t> году</w:t>
      </w:r>
      <w:r w:rsidRPr="00B70E82">
        <w:t xml:space="preserve"> была учреждена Техническая рабочая группа по вопросам инвалидности в составе различных специалистов-практиков для оказания технической помощи в усилиях по улучшению положе</w:t>
      </w:r>
      <w:r w:rsidR="00C536E8">
        <w:t>ния инвалидов</w:t>
      </w:r>
      <w:r w:rsidRPr="00B70E82">
        <w:t>.</w:t>
      </w:r>
    </w:p>
    <w:p w:rsidR="00B71C0D" w:rsidRPr="00B70E82" w:rsidRDefault="00B71C0D" w:rsidP="000A22D6">
      <w:pPr>
        <w:pStyle w:val="SingleTxtGR"/>
      </w:pPr>
      <w:r w:rsidRPr="00B70E82">
        <w:t>8.</w:t>
      </w:r>
      <w:r w:rsidRPr="00B70E82">
        <w:tab/>
        <w:t>При проведении с 30</w:t>
      </w:r>
      <w:r w:rsidR="00C536E8">
        <w:t> </w:t>
      </w:r>
      <w:r w:rsidRPr="00B70E82">
        <w:t>марта по 10</w:t>
      </w:r>
      <w:r w:rsidR="00C536E8">
        <w:t> </w:t>
      </w:r>
      <w:r w:rsidRPr="00B70E82">
        <w:t>апреля 2014</w:t>
      </w:r>
      <w:r w:rsidR="00C913D6">
        <w:t> года</w:t>
      </w:r>
      <w:r w:rsidRPr="00B70E82">
        <w:t xml:space="preserve"> первой за тридцать лет национальной переписи Мьянмы использовались вопросники для получения данных и информации по вопросам инвалидности, подготовленные на основе материалов Вашингтонской группы.</w:t>
      </w:r>
    </w:p>
    <w:p w:rsidR="00B71C0D" w:rsidRPr="00B70E82" w:rsidRDefault="00B71C0D" w:rsidP="000A22D6">
      <w:pPr>
        <w:pStyle w:val="SingleTxtGR"/>
      </w:pPr>
      <w:r w:rsidRPr="00B70E82">
        <w:t>9.</w:t>
      </w:r>
      <w:r w:rsidRPr="00B70E82">
        <w:tab/>
        <w:t>При проведении исследований по проблемам инвалидности и инвалидов Департамент социального обеспечения сотрудничает с Группой по изучению вопросов социальной политики и проблем нищеты. За период до конца 2013</w:t>
      </w:r>
      <w:r w:rsidR="00C913D6">
        <w:t> года</w:t>
      </w:r>
      <w:r w:rsidRPr="00B70E82">
        <w:t xml:space="preserve"> эта группа провела шесть исследований по вопросам инвалидности.</w:t>
      </w:r>
    </w:p>
    <w:p w:rsidR="00B71C0D" w:rsidRPr="00B70E82" w:rsidRDefault="00B71C0D" w:rsidP="000A22D6">
      <w:pPr>
        <w:pStyle w:val="SingleTxtGR"/>
      </w:pPr>
      <w:r w:rsidRPr="00B70E82">
        <w:t>10.</w:t>
      </w:r>
      <w:r w:rsidRPr="00B70E82">
        <w:tab/>
        <w:t>В 2008</w:t>
      </w:r>
      <w:r w:rsidR="00C536E8">
        <w:t> году</w:t>
      </w:r>
      <w:r w:rsidRPr="00B70E82">
        <w:t xml:space="preserve"> Департамент осуществил чрезвычайный план действий в интересах инвалидов. После этого в интересах обеспечения полноценного участия инвалидов в жизни общества осуществлялся Национальный план действий в</w:t>
      </w:r>
      <w:r w:rsidR="00C536E8">
        <w:t> </w:t>
      </w:r>
      <w:r w:rsidRPr="00B70E82">
        <w:t>интересах инвалидов</w:t>
      </w:r>
      <w:r w:rsidRPr="00B70E82" w:rsidDel="0098773D">
        <w:t xml:space="preserve"> </w:t>
      </w:r>
      <w:r w:rsidRPr="00B70E82">
        <w:t>(на период 2010</w:t>
      </w:r>
      <w:r w:rsidR="00C536E8">
        <w:t>–</w:t>
      </w:r>
      <w:r w:rsidRPr="00B70E82">
        <w:t>2012</w:t>
      </w:r>
      <w:r w:rsidR="00C536E8">
        <w:t> </w:t>
      </w:r>
      <w:r w:rsidRPr="00B70E82">
        <w:t>годов). В настоящее время разрабатывается Национальная стратегия в области развития и прав инвалидов (на</w:t>
      </w:r>
      <w:r w:rsidR="00C536E8">
        <w:t> </w:t>
      </w:r>
      <w:r w:rsidRPr="00B70E82">
        <w:t>период 2015</w:t>
      </w:r>
      <w:r w:rsidR="00C536E8">
        <w:t>–</w:t>
      </w:r>
      <w:r w:rsidRPr="00B70E82">
        <w:t>2020</w:t>
      </w:r>
      <w:r w:rsidR="00C536E8">
        <w:t> </w:t>
      </w:r>
      <w:r w:rsidRPr="00B70E82">
        <w:t>годов), в которой учитываются слабые и сильные стороны плана действий 2010</w:t>
      </w:r>
      <w:r w:rsidR="00C536E8">
        <w:t>–</w:t>
      </w:r>
      <w:r w:rsidRPr="00B70E82">
        <w:t>2012</w:t>
      </w:r>
      <w:r w:rsidR="00C536E8">
        <w:t> </w:t>
      </w:r>
      <w:r w:rsidRPr="00B70E82">
        <w:t>годов, его положительный эффект и открывающиеся в связи с этим возможности.</w:t>
      </w:r>
    </w:p>
    <w:p w:rsidR="00B71C0D" w:rsidRPr="00B70E82" w:rsidRDefault="00B71C0D" w:rsidP="000A22D6">
      <w:pPr>
        <w:pStyle w:val="SingleTxtGR"/>
      </w:pPr>
      <w:r w:rsidRPr="00B70E82">
        <w:t>11.</w:t>
      </w:r>
      <w:r w:rsidRPr="00B70E82">
        <w:tab/>
        <w:t>В рамках осуществления Национального комплексного плана развития Мьянмы предусмотрены мероприятия по защите и расширению прав и возможностей инвалидов</w:t>
      </w:r>
      <w:r w:rsidR="00C536E8">
        <w:t xml:space="preserve"> </w:t>
      </w:r>
      <w:r w:rsidRPr="00B70E82">
        <w:t>и организации кампаний по повышению осведомленности широкой общественности о проблемах инвалидов.</w:t>
      </w:r>
    </w:p>
    <w:p w:rsidR="00B71C0D" w:rsidRPr="00B70E82" w:rsidRDefault="00B71C0D" w:rsidP="000A22D6">
      <w:pPr>
        <w:pStyle w:val="SingleTxtGR"/>
      </w:pPr>
      <w:r w:rsidRPr="00B70E82">
        <w:t>12.</w:t>
      </w:r>
      <w:r w:rsidRPr="00B70E82">
        <w:tab/>
        <w:t>В настоящее время ведется работа по осуществлению программ инклюзивного образования для всех (на период 2003</w:t>
      </w:r>
      <w:r w:rsidR="00C536E8">
        <w:t>–</w:t>
      </w:r>
      <w:r w:rsidRPr="00B70E82">
        <w:t>2015</w:t>
      </w:r>
      <w:r w:rsidR="00C536E8">
        <w:t> </w:t>
      </w:r>
      <w:r w:rsidRPr="00B70E82">
        <w:t>годов) c охватом всего диапазона от начальной школы до высшего образования. При этом предусматривается возможность посещения инвалидами школ базового образования. Кроме того, Министерство социального обеспечения и другие организации, занимающиеся вопросами прав инвалидов, разрабатывают важнейшие компоненты специального образования с учетом индивидуальных потребностей детей-инвалидов.</w:t>
      </w:r>
    </w:p>
    <w:p w:rsidR="00B71C0D" w:rsidRPr="00B70E82" w:rsidRDefault="00B71C0D" w:rsidP="000A22D6">
      <w:pPr>
        <w:pStyle w:val="SingleTxtGR"/>
      </w:pPr>
      <w:r w:rsidRPr="00B70E82">
        <w:t>13.</w:t>
      </w:r>
      <w:r w:rsidRPr="00B70E82">
        <w:tab/>
        <w:t>Министерство здравоохранения предоставляет инвалидам реабилитационные услуги и услуги в сфере репродуктивного здоровья и обеспечивает их</w:t>
      </w:r>
      <w:r w:rsidR="00C536E8">
        <w:t> </w:t>
      </w:r>
      <w:r w:rsidRPr="00B70E82">
        <w:t>протезами и ортезами. Министерство осуществляет программы медицинского обслуживания на местном уровне с 1982</w:t>
      </w:r>
      <w:r w:rsidR="00C913D6">
        <w:t> года</w:t>
      </w:r>
      <w:r w:rsidRPr="00B70E82">
        <w:t>. Кроме того, Министерство обороны планирует оказание медицинских реабилитационных услуг, включая предоставление услуг по протезированию и ортезированию.</w:t>
      </w:r>
    </w:p>
    <w:p w:rsidR="00B71C0D" w:rsidRPr="00B70E82" w:rsidRDefault="00B71C0D" w:rsidP="000A22D6">
      <w:pPr>
        <w:pStyle w:val="SingleTxtGR"/>
      </w:pPr>
      <w:r w:rsidRPr="00B70E82">
        <w:t>14.</w:t>
      </w:r>
      <w:r w:rsidRPr="00B70E82">
        <w:tab/>
        <w:t>Проект закона о правах инвалидов предусматривает создание комитетов по правам инвалидов на национальном уровне и на уровне штатов и областей в</w:t>
      </w:r>
      <w:r w:rsidR="00C536E8">
        <w:t> </w:t>
      </w:r>
      <w:r w:rsidRPr="00B70E82">
        <w:t>целях защиты прав и повышения качества жизни инвалидов. Ввиду этого в</w:t>
      </w:r>
      <w:r w:rsidR="00C536E8">
        <w:t> </w:t>
      </w:r>
      <w:r w:rsidRPr="00B70E82">
        <w:t>целях уважения и соблюдения прав инвалидов, закрепленных в Конвенции, будет обеспечиваться осуществление прав инвалидов в масштабах всей страны.</w:t>
      </w:r>
    </w:p>
    <w:p w:rsidR="00B71C0D" w:rsidRPr="00B70E82" w:rsidRDefault="00B71C0D" w:rsidP="000A22D6">
      <w:pPr>
        <w:pStyle w:val="HChGR"/>
      </w:pPr>
      <w:r w:rsidRPr="00B70E82">
        <w:lastRenderedPageBreak/>
        <w:tab/>
      </w:r>
      <w:r w:rsidRPr="00B70E82">
        <w:tab/>
        <w:t>Часть II</w:t>
      </w:r>
      <w:bookmarkStart w:id="6" w:name="_Toc494819924"/>
      <w:bookmarkEnd w:id="6"/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Цель, определения, принципы, общие обязательства</w:t>
      </w:r>
      <w:bookmarkStart w:id="7" w:name="_Toc494819925"/>
      <w:bookmarkEnd w:id="7"/>
    </w:p>
    <w:p w:rsidR="00B71C0D" w:rsidRPr="00B70E82" w:rsidRDefault="00B71C0D" w:rsidP="000A22D6">
      <w:pPr>
        <w:pStyle w:val="SingleTxtGR"/>
      </w:pPr>
      <w:r w:rsidRPr="00B70E82">
        <w:t>15.</w:t>
      </w:r>
      <w:r w:rsidRPr="00B70E82">
        <w:tab/>
        <w:t>Как гласит статья 1, цель Конвенции заключается в поощрении, защите и</w:t>
      </w:r>
      <w:r w:rsidR="00C536E8">
        <w:t> </w:t>
      </w:r>
      <w:r w:rsidRPr="00B70E82">
        <w:t>обеспечении полного и равного осуществления всеми инвалидами всех прав человека и основных свобод. В соответствии с пунктом</w:t>
      </w:r>
      <w:r w:rsidR="00C536E8">
        <w:t> </w:t>
      </w:r>
      <w:r w:rsidRPr="00B70E82">
        <w:t xml:space="preserve">а) </w:t>
      </w:r>
      <w:r w:rsidR="00C536E8">
        <w:t>статьи </w:t>
      </w:r>
      <w:r w:rsidRPr="00B70E82">
        <w:t>6 Конституции Мьянма стремится к укреплению вечных принципов справедливости, свободы и равенства в Союзе. Таким образом, все граждане Мьянмы, включая инвалидов, имеют право на полное осуществление всех прав человека и основных свобод, гарантированных Конституцией.</w:t>
      </w:r>
    </w:p>
    <w:p w:rsidR="00B71C0D" w:rsidRPr="00B70E82" w:rsidRDefault="00B71C0D" w:rsidP="000A22D6">
      <w:pPr>
        <w:pStyle w:val="SingleTxtGR"/>
      </w:pPr>
      <w:r w:rsidRPr="00B70E82">
        <w:t>16.</w:t>
      </w:r>
      <w:r w:rsidRPr="00B70E82">
        <w:tab/>
        <w:t>Департаментом социального обеспечения уже разработаны положения о</w:t>
      </w:r>
      <w:r w:rsidR="00C536E8">
        <w:t> </w:t>
      </w:r>
      <w:r w:rsidRPr="00B70E82">
        <w:t>правах инвалидов в Мьянме. Законопроект содержит следующие определения инвалидности и инвалидов:</w:t>
      </w:r>
    </w:p>
    <w:p w:rsidR="00B71C0D" w:rsidRPr="00B70E82" w:rsidRDefault="00C913D6" w:rsidP="000A22D6">
      <w:pPr>
        <w:pStyle w:val="Bullet1GR"/>
      </w:pPr>
      <w:r>
        <w:t>«</w:t>
      </w:r>
      <w:r w:rsidR="00B71C0D" w:rsidRPr="000A22D6">
        <w:rPr>
          <w:b/>
        </w:rPr>
        <w:t>инвалидность</w:t>
      </w:r>
      <w:r>
        <w:t>»</w:t>
      </w:r>
      <w:r w:rsidR="00B71C0D" w:rsidRPr="00B70E82">
        <w:t xml:space="preserve"> означает ограниченное участие лиц с соматическими нарушениями и нарушениями зрения, слуха, умственного развития, психической деятельности и/или сенсорными нарушениями в жизни общества, где они сталкиваются с ситуативными и поведенческими барьерами;</w:t>
      </w:r>
    </w:p>
    <w:p w:rsidR="00B71C0D" w:rsidRPr="00B70E82" w:rsidRDefault="00C913D6" w:rsidP="000A22D6">
      <w:pPr>
        <w:pStyle w:val="Bullet1GR"/>
      </w:pPr>
      <w:r>
        <w:t>«</w:t>
      </w:r>
      <w:r w:rsidR="00B71C0D" w:rsidRPr="000A22D6">
        <w:rPr>
          <w:b/>
        </w:rPr>
        <w:t>инвалиды</w:t>
      </w:r>
      <w:r>
        <w:t>»</w:t>
      </w:r>
      <w:r w:rsidR="00FB23B9">
        <w:t xml:space="preserve"> означае</w:t>
      </w:r>
      <w:r w:rsidR="00B71C0D" w:rsidRPr="00B70E82">
        <w:t>т лиц, которые сталкиваются с ситуативными и поведенческими барьерами в связи с их долговременными врожденными или приобретенными после рождения соматическими нарушениями и</w:t>
      </w:r>
      <w:r w:rsidR="00C536E8">
        <w:t> </w:t>
      </w:r>
      <w:r w:rsidR="00B71C0D" w:rsidRPr="00B70E82">
        <w:t>нарушениями зрения, слуха, умственного развития, психической деятельност</w:t>
      </w:r>
      <w:r w:rsidR="00320E7A">
        <w:t>и и/или сенсорными нарушениями.</w:t>
      </w:r>
    </w:p>
    <w:p w:rsidR="00B71C0D" w:rsidRPr="00B70E82" w:rsidRDefault="00B71C0D" w:rsidP="000A22D6">
      <w:pPr>
        <w:pStyle w:val="SingleTxtGR"/>
      </w:pPr>
      <w:r w:rsidRPr="00B70E82">
        <w:t>17.</w:t>
      </w:r>
      <w:r w:rsidRPr="00B70E82">
        <w:tab/>
        <w:t>В соответствии с Национальным планом действий (2010</w:t>
      </w:r>
      <w:r w:rsidR="00C536E8">
        <w:t>–</w:t>
      </w:r>
      <w:r w:rsidRPr="00B70E82">
        <w:t>2012</w:t>
      </w:r>
      <w:r w:rsidR="00C536E8">
        <w:t> </w:t>
      </w:r>
      <w:r w:rsidRPr="00B70E82">
        <w:t>годов) в</w:t>
      </w:r>
      <w:r w:rsidR="00C536E8">
        <w:t> </w:t>
      </w:r>
      <w:r w:rsidRPr="00B70E82">
        <w:t>Мьянме инвалидность подразделяется на четыре категории: инвалидность по</w:t>
      </w:r>
      <w:r w:rsidR="00C536E8">
        <w:t> </w:t>
      </w:r>
      <w:r w:rsidRPr="00B70E82">
        <w:t>зрению, инвалидность по слуху, физическая инвалидность и ментальная инвалидность. В некоторых государственных ведомствах имеются собственные классификации в зависимости от характера их работы.</w:t>
      </w:r>
    </w:p>
    <w:p w:rsidR="00B71C0D" w:rsidRPr="00B70E82" w:rsidRDefault="00B71C0D" w:rsidP="000A22D6">
      <w:pPr>
        <w:pStyle w:val="SingleTxtGR"/>
      </w:pPr>
      <w:r w:rsidRPr="00B70E82">
        <w:t>18.</w:t>
      </w:r>
      <w:r w:rsidRPr="00B70E82">
        <w:tab/>
        <w:t>Разумное приспособление вносит соответствующие коррективы для ин</w:t>
      </w:r>
      <w:r w:rsidR="00692C50">
        <w:t>валидов</w:t>
      </w:r>
      <w:r w:rsidRPr="00B70E82">
        <w:t xml:space="preserve"> в плане доступа к услугам, предоставляемым населению, транспорту, информации и связи, возможностям работы и трудоустройства и в общественные здания/места, а также в плане трансляции сурдоперевода для лиц с нарушениями слуха, разработки сетевой доступности для инвалидов по зрению и</w:t>
      </w:r>
      <w:r w:rsidR="00C536E8">
        <w:t> </w:t>
      </w:r>
      <w:r w:rsidRPr="00B70E82">
        <w:t>уделения внимания вопросам создания условий для работы лиц с инвалидностью того или иного вида.</w:t>
      </w:r>
    </w:p>
    <w:p w:rsidR="00B71C0D" w:rsidRPr="00B70E82" w:rsidRDefault="00B71C0D" w:rsidP="000A22D6">
      <w:pPr>
        <w:pStyle w:val="SingleTxtGR"/>
      </w:pPr>
      <w:r w:rsidRPr="00B70E82">
        <w:t>19.</w:t>
      </w:r>
      <w:r w:rsidRPr="00B70E82">
        <w:tab/>
        <w:t>Вместе с тем существует необходимость проведения просветительской и</w:t>
      </w:r>
      <w:r w:rsidR="00C536E8">
        <w:t> </w:t>
      </w:r>
      <w:r w:rsidRPr="00B70E82">
        <w:t>информационно-разъяснительной работы среди различных заинтересованных сторон, включая должностных лиц компетентных государственных органов, представителей частного сектора и широкую обществен</w:t>
      </w:r>
      <w:r w:rsidR="00B87624">
        <w:t>ность, с тем</w:t>
      </w:r>
      <w:r w:rsidRPr="00B70E82">
        <w:t xml:space="preserve"> чтобы они свободнее ориентировались в вопросах разумного приспособления и лучше понимали их.</w:t>
      </w:r>
    </w:p>
    <w:p w:rsidR="00B71C0D" w:rsidRPr="00B70E82" w:rsidRDefault="00B71C0D" w:rsidP="000A22D6">
      <w:pPr>
        <w:pStyle w:val="SingleTxtGR"/>
      </w:pPr>
      <w:r w:rsidRPr="00B70E82">
        <w:t>20.</w:t>
      </w:r>
      <w:r w:rsidRPr="00B70E82">
        <w:tab/>
        <w:t>Разработка Национальной стратегии в области развития и прав инвалидов (на период 2015</w:t>
      </w:r>
      <w:r w:rsidR="00C536E8">
        <w:t>–</w:t>
      </w:r>
      <w:r w:rsidRPr="00B70E82">
        <w:t>2020</w:t>
      </w:r>
      <w:r w:rsidR="00C536E8">
        <w:t> </w:t>
      </w:r>
      <w:r w:rsidRPr="00B70E82">
        <w:t>годов) должна позволить эффективно отстаивать и осуществлять общие принципы и общие обязательства, закрепленные в статьях</w:t>
      </w:r>
      <w:r w:rsidR="00C536E8">
        <w:t> </w:t>
      </w:r>
      <w:r w:rsidRPr="00B70E82">
        <w:t>3 и</w:t>
      </w:r>
      <w:r w:rsidR="00C536E8">
        <w:t> </w:t>
      </w:r>
      <w:r w:rsidRPr="00B70E82">
        <w:t>4 Конвенции. Кроме того, после принятия закона о правах инвалидов будет проводиться информационно-разъяснительная работа по тематике прав, закрепленных в Конвенции.</w:t>
      </w:r>
    </w:p>
    <w:p w:rsidR="00B71C0D" w:rsidRPr="00B70E82" w:rsidRDefault="00B71C0D" w:rsidP="000A22D6">
      <w:pPr>
        <w:pStyle w:val="SingleTxtGR"/>
      </w:pPr>
      <w:r w:rsidRPr="00B70E82">
        <w:t>21.</w:t>
      </w:r>
      <w:r w:rsidRPr="00B70E82">
        <w:tab/>
        <w:t xml:space="preserve">В настоящее время Министерство по вопросам социального обеспечения, чрезвычайной помощи и переселения осуществляет по линии пятилетнего </w:t>
      </w:r>
      <w:r w:rsidR="00C536E8">
        <w:br/>
      </w:r>
      <w:r w:rsidRPr="00B70E82">
        <w:t xml:space="preserve">плана действий Департамента социального обеспечения (на период </w:t>
      </w:r>
      <w:r w:rsidR="00C536E8">
        <w:br/>
      </w:r>
      <w:r w:rsidRPr="00B70E82">
        <w:t>2011</w:t>
      </w:r>
      <w:r w:rsidR="00C536E8">
        <w:t>–</w:t>
      </w:r>
      <w:r w:rsidRPr="00B70E82">
        <w:t>2016</w:t>
      </w:r>
      <w:r w:rsidR="00C536E8">
        <w:t> </w:t>
      </w:r>
      <w:r w:rsidRPr="00B70E82">
        <w:t>годов) просветительскую и информационно-разъяснительную деятельность по вопросам инвалидности и КПИ, разрабатывает программы на местах и занимается вопросами трудоустройства инвалидов и укрепления потенциала поставщиков услуг, включая инвалидов</w:t>
      </w:r>
      <w:r w:rsidR="00AA0E92">
        <w:t>.</w:t>
      </w:r>
    </w:p>
    <w:p w:rsidR="00B71C0D" w:rsidRPr="00B70E82" w:rsidRDefault="00B71C0D" w:rsidP="000A22D6">
      <w:pPr>
        <w:pStyle w:val="SingleTxtGR"/>
      </w:pPr>
      <w:r w:rsidRPr="00B70E82">
        <w:lastRenderedPageBreak/>
        <w:t>22.</w:t>
      </w:r>
      <w:r w:rsidRPr="00B70E82">
        <w:tab/>
        <w:t>Информационно-просветительские программы, осуществляемые в различных секторах под руководством Министерства по вопросам социального обеспечения, чрезвычайной помощи и переселения в сотрудничестве с ОЛИ и</w:t>
      </w:r>
      <w:r w:rsidR="00C536E8">
        <w:t> </w:t>
      </w:r>
      <w:r w:rsidRPr="00B70E82">
        <w:t>НПО, призваны в полной мере обеспечить понимание прав инвалидов и проблем дискриминации по признаку инвалидности.</w:t>
      </w:r>
    </w:p>
    <w:p w:rsidR="00B71C0D" w:rsidRPr="00B70E82" w:rsidRDefault="00B71C0D" w:rsidP="000A22D6">
      <w:pPr>
        <w:pStyle w:val="SingleTxtGR"/>
      </w:pPr>
      <w:r w:rsidRPr="00B70E82">
        <w:t>23.</w:t>
      </w:r>
      <w:r w:rsidRPr="00B70E82">
        <w:tab/>
        <w:t>В ходе разработки закона о правах инвалидов не возникало никаких ограничений в плане равенства мужчин и женщин, поскольку правительство проводило консультации со всеми инвалидами, включая женщин-инвалидов и их организации. Помимо этого, в тесном взаимодействии с Сетью по гендерному равенству организации женщин-инвалидов Мьянмы проводят работу по улучшению жизни и расширению прав и возможностей женщин-инвалидов. Кроме того, женщины-инвалиды не оттесняются на второй план в рамках совещаний, форумов и национальных диалогов по вопросам политики в области прав женщин и ликвидации насилия в отношении женщин; тем не менее по-прежнему необходимо добиваться более активного участия женщин с инвалидностью.</w:t>
      </w:r>
    </w:p>
    <w:p w:rsidR="00B71C0D" w:rsidRPr="00B70E82" w:rsidRDefault="00B71C0D" w:rsidP="000A22D6">
      <w:pPr>
        <w:pStyle w:val="HChGR"/>
      </w:pPr>
      <w:r w:rsidRPr="00B70E82">
        <w:tab/>
      </w:r>
      <w:r w:rsidRPr="00B70E82">
        <w:tab/>
        <w:t>Часть III</w:t>
      </w:r>
      <w:bookmarkStart w:id="8" w:name="_Toc494819926"/>
      <w:bookmarkEnd w:id="8"/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Равенство и недискриминация</w:t>
      </w:r>
      <w:bookmarkStart w:id="9" w:name="_Toc494819927"/>
      <w:bookmarkEnd w:id="9"/>
    </w:p>
    <w:p w:rsidR="00B71C0D" w:rsidRPr="00B70E82" w:rsidRDefault="00B71C0D" w:rsidP="000A22D6">
      <w:pPr>
        <w:pStyle w:val="SingleTxtGR"/>
      </w:pPr>
      <w:r w:rsidRPr="00B70E82">
        <w:t>24.</w:t>
      </w:r>
      <w:r w:rsidRPr="00B70E82">
        <w:tab/>
        <w:t>Как гласит статья</w:t>
      </w:r>
      <w:r w:rsidR="00C536E8">
        <w:t> </w:t>
      </w:r>
      <w:r w:rsidRPr="00B70E82">
        <w:t>347 Конституции (2008</w:t>
      </w:r>
      <w:r w:rsidR="00C913D6">
        <w:t> года</w:t>
      </w:r>
      <w:r w:rsidRPr="00B70E82">
        <w:t>), Союз гарантирует, что все люди равны перед законом и имеют равное право на правовую защиту. В</w:t>
      </w:r>
      <w:r w:rsidR="00C536E8">
        <w:t> </w:t>
      </w:r>
      <w:r w:rsidRPr="00B70E82">
        <w:t>силу этого Союз уделяет внимание вопросам равного доступа к правосудию для всех граждан без дискриминации по признаку инвалид</w:t>
      </w:r>
      <w:r w:rsidR="007410DF">
        <w:t>ности. Аналогичным образом</w:t>
      </w:r>
      <w:r w:rsidR="00F17D9C">
        <w:t>,</w:t>
      </w:r>
      <w:r w:rsidRPr="00B70E82">
        <w:t xml:space="preserve"> в соответствии со статьей</w:t>
      </w:r>
      <w:r w:rsidR="00C536E8">
        <w:t> </w:t>
      </w:r>
      <w:r w:rsidRPr="00B70E82">
        <w:t>348 Конституции Союз не допускает дискриминации в отношении граждан Республики Союз Мьянма на основании расовой принадлежности, рождения, религии, официального положения, статуса, культуры, пола и уровня благосостояния.</w:t>
      </w:r>
    </w:p>
    <w:p w:rsidR="00B71C0D" w:rsidRPr="00B70E82" w:rsidRDefault="00B71C0D" w:rsidP="000A22D6">
      <w:pPr>
        <w:pStyle w:val="SingleTxtGR"/>
      </w:pPr>
      <w:r w:rsidRPr="00B70E82">
        <w:t>25.</w:t>
      </w:r>
      <w:r w:rsidRPr="00B70E82">
        <w:tab/>
        <w:t>В целях обеспечения равных п</w:t>
      </w:r>
      <w:r w:rsidR="00C536E8">
        <w:t>рав и основных свобод инвалидов</w:t>
      </w:r>
      <w:r w:rsidRPr="00B70E82">
        <w:t>, включая неотъемлемые права на жизнь и свободу выражения мнений и вероисповедания, право на образование, право на доступ к информации и медицинскому обслуживанию, а также право требовать необходимые приспособления для обеспечения равных условий в рамках судебного преследования, защиты и дачи свидетельских показаний,</w:t>
      </w:r>
      <w:r w:rsidR="00C913D6">
        <w:t xml:space="preserve"> </w:t>
      </w:r>
      <w:r w:rsidRPr="00B70E82">
        <w:t>в проект закона о правах инвалидов включен целый ряд положений, которые запрещают действия или поведение, затрагивающие физическую и психическ</w:t>
      </w:r>
      <w:r w:rsidR="00C536E8">
        <w:t>ую неприкосновенность инвалидов</w:t>
      </w:r>
      <w:r w:rsidRPr="00B70E82">
        <w:t>, и которые направлены на удовлетворение основных потребностей инвалидов, не имеющих возможности работать с учетом степени своей инвалидности.</w:t>
      </w:r>
    </w:p>
    <w:p w:rsidR="00B71C0D" w:rsidRPr="00B70E82" w:rsidRDefault="00B71C0D" w:rsidP="000A22D6">
      <w:pPr>
        <w:pStyle w:val="SingleTxtGR"/>
      </w:pPr>
      <w:r w:rsidRPr="00B70E82">
        <w:t>26.</w:t>
      </w:r>
      <w:r w:rsidRPr="00B70E82">
        <w:tab/>
        <w:t xml:space="preserve">В действующем законодательстве Мьянмы просто предусмотрено использование понятия </w:t>
      </w:r>
      <w:r w:rsidR="00C913D6">
        <w:t>«</w:t>
      </w:r>
      <w:r w:rsidRPr="00B70E82">
        <w:t>каждый человек</w:t>
      </w:r>
      <w:r w:rsidR="00C913D6">
        <w:t>»</w:t>
      </w:r>
      <w:r w:rsidRPr="00B70E82">
        <w:t>, свидетельствующего об отсутствии какого-либо различия между лицом с ограниченными возможностями, и лицом, не имеющим инвалидности. Несмотря на то, что согласно статье</w:t>
      </w:r>
      <w:r w:rsidR="00C536E8">
        <w:t> </w:t>
      </w:r>
      <w:r w:rsidRPr="00B70E82">
        <w:t>349 Конституции (2008</w:t>
      </w:r>
      <w:r w:rsidR="00C913D6">
        <w:t> года</w:t>
      </w:r>
      <w:r w:rsidRPr="00B70E82">
        <w:t>) и положениям других законов по этой тематике предусмотрено, что все граждане, в том числе инвалиды</w:t>
      </w:r>
      <w:r w:rsidR="00C536E8">
        <w:t>,</w:t>
      </w:r>
      <w:r w:rsidRPr="00B70E82">
        <w:t xml:space="preserve"> наделены равными правами без какой-либо дискриминации, инвалиды</w:t>
      </w:r>
      <w:r w:rsidR="00C913D6">
        <w:t xml:space="preserve"> </w:t>
      </w:r>
      <w:r w:rsidRPr="00B70E82">
        <w:t>все еще сталкиваются с некоторыми формами дискриминации в силу ритуальных обычаев и традиционной практики, а</w:t>
      </w:r>
      <w:r w:rsidR="00C536E8">
        <w:t> </w:t>
      </w:r>
      <w:r w:rsidRPr="00B70E82">
        <w:t>также в сельской местности и некоторых отдаленных районах, где уровень осведомленности по вопросам инвалидности минимален.</w:t>
      </w:r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Повышение уровня осведомленности</w:t>
      </w:r>
      <w:bookmarkStart w:id="10" w:name="_Toc494819928"/>
      <w:bookmarkEnd w:id="10"/>
    </w:p>
    <w:p w:rsidR="00B71C0D" w:rsidRPr="00B70E82" w:rsidRDefault="00B71C0D" w:rsidP="000A22D6">
      <w:pPr>
        <w:pStyle w:val="SingleTxtGR"/>
      </w:pPr>
      <w:r w:rsidRPr="00B70E82">
        <w:t>27.</w:t>
      </w:r>
      <w:r w:rsidRPr="00B70E82">
        <w:tab/>
        <w:t>27</w:t>
      </w:r>
      <w:r w:rsidR="00692C50">
        <w:t> </w:t>
      </w:r>
      <w:r w:rsidRPr="00B70E82">
        <w:t>июня 2012</w:t>
      </w:r>
      <w:r w:rsidR="00C913D6">
        <w:t> года</w:t>
      </w:r>
      <w:r w:rsidRPr="00B70E82">
        <w:t xml:space="preserve"> при участии Министерства по вопросам социального обеспечения, чрезвычайной помощи и переселения, ЭСКАТО ООН, АТЦР и организации </w:t>
      </w:r>
      <w:r w:rsidR="00C913D6">
        <w:t>«</w:t>
      </w:r>
      <w:r w:rsidRPr="00B70E82">
        <w:t>Мьянманская инициатива по обеспечению самостоятельной жизни</w:t>
      </w:r>
      <w:r w:rsidR="00C913D6">
        <w:t>»</w:t>
      </w:r>
      <w:r w:rsidRPr="00B70E82">
        <w:t xml:space="preserve"> было организовано торжественное мероприятие по поводу ратификации КПИ, в</w:t>
      </w:r>
      <w:r w:rsidR="00C536E8">
        <w:t> </w:t>
      </w:r>
      <w:r w:rsidRPr="00B70E82">
        <w:t>ходе которого государственным ведомствам и широкой общественности был</w:t>
      </w:r>
      <w:r w:rsidR="00692C50">
        <w:t>о</w:t>
      </w:r>
      <w:r w:rsidRPr="00B70E82">
        <w:t xml:space="preserve"> </w:t>
      </w:r>
      <w:r w:rsidRPr="00B70E82">
        <w:lastRenderedPageBreak/>
        <w:t>официально объявлено, что Мьянма является государством</w:t>
      </w:r>
      <w:r w:rsidR="00C536E8">
        <w:t xml:space="preserve"> – </w:t>
      </w:r>
      <w:r w:rsidRPr="00B70E82">
        <w:t>участником Конвенции о правах инвалидов.</w:t>
      </w:r>
    </w:p>
    <w:p w:rsidR="00B71C0D" w:rsidRPr="00A97CF0" w:rsidRDefault="00B71C0D" w:rsidP="000A22D6">
      <w:pPr>
        <w:pStyle w:val="SingleTxtGR"/>
      </w:pPr>
      <w:r w:rsidRPr="00B70E82">
        <w:t>28.</w:t>
      </w:r>
      <w:r w:rsidRPr="00B70E82">
        <w:tab/>
        <w:t>В целях распространения среди населения информации о КПИ</w:t>
      </w:r>
      <w:r w:rsidRPr="00A97CF0">
        <w:t xml:space="preserve"> в</w:t>
      </w:r>
      <w:r w:rsidR="00C536E8">
        <w:t> </w:t>
      </w:r>
      <w:r w:rsidRPr="00A97CF0">
        <w:t>2013</w:t>
      </w:r>
      <w:r w:rsidR="00C536E8">
        <w:t> году</w:t>
      </w:r>
      <w:r w:rsidRPr="00A97CF0">
        <w:t xml:space="preserve"> были опубликованы параллельные тексты Конвенции на английском и мьянманском языках и текст КПИ в легкочитаемом формате, в карманном формате и в виде брошюры.</w:t>
      </w:r>
    </w:p>
    <w:p w:rsidR="00B71C0D" w:rsidRPr="00B70E82" w:rsidRDefault="00B71C0D" w:rsidP="000A22D6">
      <w:pPr>
        <w:pStyle w:val="SingleTxtGR"/>
      </w:pPr>
      <w:r w:rsidRPr="00B70E82">
        <w:t>29.</w:t>
      </w:r>
      <w:r w:rsidRPr="00B70E82">
        <w:tab/>
        <w:t>Поскольку Мьянма является государством</w:t>
      </w:r>
      <w:r w:rsidR="00C536E8">
        <w:t xml:space="preserve"> – </w:t>
      </w:r>
      <w:r w:rsidRPr="00B70E82">
        <w:t>участником Конвенции, мероприятия по повышению осведомленности о правах инвалидов в штатах и областях страны включены в пятилетний план развития, разработанный Министерством по вопросам социального обеспечения, чрезвычайной помощи и переселения на период 2011</w:t>
      </w:r>
      <w:r w:rsidR="00C536E8">
        <w:t>–</w:t>
      </w:r>
      <w:r w:rsidRPr="00B70E82">
        <w:t>2016</w:t>
      </w:r>
      <w:r w:rsidR="00C536E8">
        <w:t> </w:t>
      </w:r>
      <w:r w:rsidRPr="00B70E82">
        <w:t>годов. В целях успешного осуществления информационно-просветительских мероприятий по тематике КПИ Департамент социального обеспечения (ДСО) организовал два учебных курса для программ подготовки инструкторов, которые прослушали 70</w:t>
      </w:r>
      <w:r w:rsidR="00C536E8">
        <w:t> </w:t>
      </w:r>
      <w:r w:rsidRPr="00B70E82">
        <w:t>представителей ДСО, ОЛИ, МНПО и НПО во всех штатах и областях страны.</w:t>
      </w:r>
    </w:p>
    <w:p w:rsidR="00B71C0D" w:rsidRPr="00B70E82" w:rsidRDefault="00B71C0D" w:rsidP="000A22D6">
      <w:pPr>
        <w:pStyle w:val="SingleTxtGR"/>
      </w:pPr>
      <w:r w:rsidRPr="00B70E82">
        <w:t>30.</w:t>
      </w:r>
      <w:r w:rsidRPr="00B70E82">
        <w:tab/>
        <w:t>Мероприятиями по вопросам прав инвалидов и понимания проблем инвалидности, проводившимися Департаментом социального обеспечения в сотрудничестве с ОЛИ, МНПО и НПО в 2012</w:t>
      </w:r>
      <w:r w:rsidR="00C536E8">
        <w:t> году</w:t>
      </w:r>
      <w:r w:rsidRPr="00B70E82">
        <w:t>, было охвачено 20</w:t>
      </w:r>
      <w:r w:rsidR="00C536E8">
        <w:t> </w:t>
      </w:r>
      <w:r w:rsidRPr="00B70E82">
        <w:t>000</w:t>
      </w:r>
      <w:r w:rsidR="00C536E8">
        <w:t> </w:t>
      </w:r>
      <w:r w:rsidRPr="00B70E82">
        <w:t>человек. Кроме того, в программу действующих в структуре Министерства образования курсов повышения квалификации преподавателей системы базового образования был включен модуль по вопросам понимания КПИ. В 2012</w:t>
      </w:r>
      <w:r w:rsidR="00C536E8">
        <w:t> году</w:t>
      </w:r>
      <w:r w:rsidRPr="00B70E82">
        <w:t xml:space="preserve"> в рамках десяти сессий курсов повышения квалификации подготовку прошли в общей сложности 15</w:t>
      </w:r>
      <w:r w:rsidR="00C536E8">
        <w:t> </w:t>
      </w:r>
      <w:r w:rsidRPr="00B70E82">
        <w:t>000</w:t>
      </w:r>
      <w:r w:rsidR="00C536E8">
        <w:t> </w:t>
      </w:r>
      <w:r w:rsidRPr="00B70E82">
        <w:t>учителей, по 1</w:t>
      </w:r>
      <w:r w:rsidR="00C536E8">
        <w:t> </w:t>
      </w:r>
      <w:r w:rsidRPr="00B70E82">
        <w:t>500</w:t>
      </w:r>
      <w:r w:rsidR="00C536E8">
        <w:t> </w:t>
      </w:r>
      <w:r w:rsidRPr="00B70E82">
        <w:t>человек за сессию. Кроме того, с</w:t>
      </w:r>
      <w:r w:rsidR="00C536E8">
        <w:t> </w:t>
      </w:r>
      <w:r w:rsidRPr="00B70E82">
        <w:t>2013</w:t>
      </w:r>
      <w:r w:rsidR="00C913D6">
        <w:t> года</w:t>
      </w:r>
      <w:r w:rsidRPr="00B70E82">
        <w:t xml:space="preserve"> работа по повышению осведомленности о проблемах инвалидности ведется с использованием развлекательных и новостных программ вещания. Инвалиды привлекаются к подготовке коротких видеороликов, документальных фильмов и интервью в рамках мероприятий по повышению осведомленности о</w:t>
      </w:r>
      <w:r w:rsidR="00C536E8">
        <w:t> </w:t>
      </w:r>
      <w:r w:rsidRPr="00B70E82">
        <w:t>проблемах инвалидности.</w:t>
      </w:r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Доступность</w:t>
      </w:r>
      <w:bookmarkStart w:id="11" w:name="_Toc494819929"/>
      <w:bookmarkEnd w:id="11"/>
    </w:p>
    <w:p w:rsidR="00B71C0D" w:rsidRPr="00B70E82" w:rsidRDefault="00B71C0D" w:rsidP="000A22D6">
      <w:pPr>
        <w:pStyle w:val="SingleTxtGR"/>
      </w:pPr>
      <w:r w:rsidRPr="00B70E82">
        <w:t>31.</w:t>
      </w:r>
      <w:r w:rsidRPr="00B70E82">
        <w:tab/>
        <w:t>В проект закона о правах инвалидов включены положения, требующие разработки руководящих принципов в отношении модернизации и дизайна общественных зданий и их пространства для обеспечения физической безопасности и психической удовлетворенности инвалидов</w:t>
      </w:r>
      <w:r w:rsidR="00C536E8">
        <w:t>,</w:t>
      </w:r>
      <w:r w:rsidRPr="00B70E82">
        <w:t xml:space="preserve"> проработки архитектурных проектов, позволяющих обеспечить доступную и безбарьерную среду для инвалидов с их средствами передвижения в общественных местах, установки необходимых приспособлений, позволяющих инвалидам пользоваться общественным транспортом, например автомобилями, другими транспортными средствами, поездами и самолетами, внедрения ассистивных технологий, таких как знаки, символы, предупредительная сигнализация, сигнализации на перекрестках транспортных артерий, при пересечении дорог, на углах улиц и на дорожных подъемах и спусках, и проведения дополнительных работ, чтобы инвалиды могли добираться до таких объектов, как государственное жилье, больницы, школы и предприятия и службы связи, информации и контактов с общественностью, и</w:t>
      </w:r>
      <w:r w:rsidR="00C536E8">
        <w:t> </w:t>
      </w:r>
      <w:r w:rsidRPr="00B70E82">
        <w:t>пользоваться ими.</w:t>
      </w:r>
    </w:p>
    <w:p w:rsidR="00B71C0D" w:rsidRPr="00B70E82" w:rsidRDefault="00B71C0D" w:rsidP="000A22D6">
      <w:pPr>
        <w:pStyle w:val="SingleTxtGR"/>
      </w:pPr>
      <w:r w:rsidRPr="00B70E82">
        <w:t>32.</w:t>
      </w:r>
      <w:r w:rsidRPr="00B70E82">
        <w:tab/>
        <w:t>В январе 2014</w:t>
      </w:r>
      <w:r w:rsidR="00C913D6">
        <w:t> года</w:t>
      </w:r>
      <w:r w:rsidRPr="00B70E82">
        <w:t xml:space="preserve"> на общенациональном уровне проводилось информационно-пропагандистское совещание по вопросу о мерах и рекомендациях в</w:t>
      </w:r>
      <w:r w:rsidR="00C536E8">
        <w:t> </w:t>
      </w:r>
      <w:r w:rsidRPr="00B70E82">
        <w:t>отношении доступности, участникам которого было предложено разработать такую политику в интересах осуществления Конвенции. Совещание помогло участникам, особенно из числа представителей государственных организаций, занимающихся проблемами инвалидности, ознакомиться с концепциями инвалидности, прав лиц инвалидов, инклюзивного развития, универсального дизайна, управления деятельностью по осуществлению программ реабилитации и</w:t>
      </w:r>
      <w:r w:rsidR="00C536E8">
        <w:t> </w:t>
      </w:r>
      <w:r w:rsidRPr="00B70E82">
        <w:t>туризма и инвалидности.</w:t>
      </w:r>
    </w:p>
    <w:p w:rsidR="00B71C0D" w:rsidRPr="00B70E82" w:rsidRDefault="00B71C0D" w:rsidP="000A22D6">
      <w:pPr>
        <w:pStyle w:val="SingleTxtGR"/>
      </w:pPr>
      <w:r w:rsidRPr="00B70E82">
        <w:lastRenderedPageBreak/>
        <w:t>33.</w:t>
      </w:r>
      <w:r w:rsidRPr="00B70E82">
        <w:tab/>
        <w:t>Хотя Министерством строительства еще не разработаны стандарты для обеспечения безбарьерной среды в общественных зданиях, элементы обеспечения доступности, такие, как установка пандусов и обустройство санузлов и</w:t>
      </w:r>
      <w:r w:rsidR="00C536E8">
        <w:t> </w:t>
      </w:r>
      <w:r w:rsidRPr="00B70E82">
        <w:t>туалетов с учетом потребностей инвалидов</w:t>
      </w:r>
      <w:r w:rsidR="00C536E8">
        <w:t>,</w:t>
      </w:r>
      <w:r w:rsidRPr="00B70E82">
        <w:t xml:space="preserve"> предусмотрено разделами проекта национального строительного кодекса Мьянмы (2012</w:t>
      </w:r>
      <w:r w:rsidR="00C913D6">
        <w:t> года</w:t>
      </w:r>
      <w:r w:rsidRPr="00B70E82">
        <w:t>), посвященными вопросам внутреннего пространства зданий и обеспечения их доступности.</w:t>
      </w:r>
    </w:p>
    <w:p w:rsidR="00B71C0D" w:rsidRPr="00B70E82" w:rsidRDefault="00B71C0D" w:rsidP="000A22D6">
      <w:pPr>
        <w:pStyle w:val="SingleTxtGR"/>
      </w:pPr>
      <w:r w:rsidRPr="00B70E82">
        <w:t>34.</w:t>
      </w:r>
      <w:r w:rsidRPr="00B70E82">
        <w:tab/>
        <w:t>Предстоит работа по реформированию в соответствии с КПИ действующих законов, правил и положений, регулирующих деятельность Департамента почт и телекоммуникаций Министерства связи и информатизации, в рамках которой будет уделяться особое внимание обеспечению доступа инвалидов к государственным услугам и соответствующим объектам. Для обеспечения доступа лиц с ограниченными возможностями разрабатываются элементы программного обеспечения и аппаратных средств.</w:t>
      </w:r>
    </w:p>
    <w:p w:rsidR="00B71C0D" w:rsidRPr="00B70E82" w:rsidRDefault="00B71C0D" w:rsidP="000A22D6">
      <w:pPr>
        <w:pStyle w:val="SingleTxtGR"/>
      </w:pPr>
      <w:r w:rsidRPr="00B70E82">
        <w:t>35.</w:t>
      </w:r>
      <w:r w:rsidRPr="00B70E82">
        <w:tab/>
        <w:t>В целях уменьшения трудностей общения для людей с нарушениями слуха под руководством ДСО в 2007</w:t>
      </w:r>
      <w:r w:rsidR="00C536E8">
        <w:t> году</w:t>
      </w:r>
      <w:r w:rsidRPr="00B70E82">
        <w:t xml:space="preserve"> был опубликован двухтомный словарь стандартного языка жестов Мьянмы. При содействии Японского агентства по</w:t>
      </w:r>
      <w:r w:rsidR="00C536E8">
        <w:t> </w:t>
      </w:r>
      <w:r w:rsidRPr="00B70E82">
        <w:t>международному сотрудничеству (ЯАМС) Департамент социального обеспечения осуществлял проект оказания помощи органам социального обеспечения в</w:t>
      </w:r>
      <w:r w:rsidR="00C536E8">
        <w:t> </w:t>
      </w:r>
      <w:r w:rsidRPr="00B70E82">
        <w:t>вопросах поощрения участия лиц с нарушениями слуха в целях разработки жестового языка и методик сурдоперевода. В рамках первого этапа реализации этого проекта в 2007</w:t>
      </w:r>
      <w:r w:rsidR="00C536E8">
        <w:t>–</w:t>
      </w:r>
      <w:r w:rsidRPr="00B70E82">
        <w:t>2010</w:t>
      </w:r>
      <w:r w:rsidR="00C913D6">
        <w:t> года</w:t>
      </w:r>
      <w:r w:rsidRPr="00B70E82">
        <w:t>х проводилась работа по стандартизации языка жестов, по подготовке с участием лиц с нарушениями слуха и публикации разговорника с использованием мьянманского стандартного языка жестов и</w:t>
      </w:r>
      <w:r w:rsidR="00C536E8">
        <w:t> </w:t>
      </w:r>
      <w:r w:rsidRPr="00B70E82">
        <w:t>по повышению осведомленности о личностных особенностях лиц с нарушениями слуха, пользующихся жестовым языком. В рамках второго этапа этого проекта (в 2011</w:t>
      </w:r>
      <w:r w:rsidR="00C536E8">
        <w:t>–</w:t>
      </w:r>
      <w:r w:rsidRPr="00B70E82">
        <w:t>2014</w:t>
      </w:r>
      <w:r w:rsidR="00C913D6">
        <w:t> года</w:t>
      </w:r>
      <w:r w:rsidRPr="00B70E82">
        <w:t>х) были организованы курсы углубленной подготовки инструкторов, на которых 18-месячную программу обучения жестовому языку прошла первая группа в составе 24</w:t>
      </w:r>
      <w:r w:rsidR="00AA0E92">
        <w:t> </w:t>
      </w:r>
      <w:r w:rsidRPr="00B70E82">
        <w:t>слушателей, что позволило укрепить систему сурдоперевода. В предстоящие пять лет (2014</w:t>
      </w:r>
      <w:r w:rsidR="00C536E8">
        <w:t>–</w:t>
      </w:r>
      <w:r w:rsidRPr="00B70E82">
        <w:t>2018 годы) планируется подготовить 100</w:t>
      </w:r>
      <w:r w:rsidR="00AA0E92">
        <w:t> </w:t>
      </w:r>
      <w:r w:rsidRPr="00B70E82">
        <w:t xml:space="preserve">сурдопереводчиков. Кроме того, мероприятия по повышению осведомленности об использовании жестового языка осуществлялись </w:t>
      </w:r>
      <w:r w:rsidR="00AA0E92">
        <w:br/>
      </w:r>
      <w:r w:rsidRPr="00B70E82">
        <w:t>в соответствии с планом действий Департамента социального обеспечения (на</w:t>
      </w:r>
      <w:r w:rsidR="00AA0E92">
        <w:t> </w:t>
      </w:r>
      <w:r w:rsidRPr="00B70E82">
        <w:t>2014</w:t>
      </w:r>
      <w:r w:rsidR="00C536E8">
        <w:t>–</w:t>
      </w:r>
      <w:r w:rsidRPr="00B70E82">
        <w:t>2015 годы).</w:t>
      </w:r>
    </w:p>
    <w:p w:rsidR="00B71C0D" w:rsidRPr="00B70E82" w:rsidRDefault="00B71C0D" w:rsidP="000A22D6">
      <w:pPr>
        <w:pStyle w:val="SingleTxtGR"/>
      </w:pPr>
      <w:r w:rsidRPr="00B70E82">
        <w:t>36.</w:t>
      </w:r>
      <w:r w:rsidRPr="00B70E82">
        <w:tab/>
        <w:t>В порядке эксперимента государственные средства массовой информации, в том числе Радио и телевидение Мьянмы, обеспечивали сурдоперевод при трансляции церемонии открытия 27-х Игр ЮВА, состоявшихся в 2013</w:t>
      </w:r>
      <w:r w:rsidR="00C536E8">
        <w:t> году</w:t>
      </w:r>
      <w:r w:rsidRPr="00B70E82">
        <w:t xml:space="preserve"> в</w:t>
      </w:r>
      <w:r w:rsidR="00AA0E92">
        <w:t> </w:t>
      </w:r>
      <w:r w:rsidRPr="00B70E82">
        <w:t>Нейпьидо, и 7-х Параигр, проходивших в Нейпьидо в 2014</w:t>
      </w:r>
      <w:r w:rsidR="00C536E8">
        <w:t> году</w:t>
      </w:r>
      <w:r w:rsidRPr="00B70E82">
        <w:t>. Планируется транслировать с сурдопереводом обычные телевизионные и новостные программы.</w:t>
      </w:r>
    </w:p>
    <w:p w:rsidR="00B71C0D" w:rsidRPr="00B70E82" w:rsidRDefault="00B71C0D" w:rsidP="000A22D6">
      <w:pPr>
        <w:pStyle w:val="SingleTxtGR"/>
      </w:pPr>
      <w:r w:rsidRPr="00B70E82">
        <w:t>37.</w:t>
      </w:r>
      <w:r w:rsidRPr="00B70E82">
        <w:tab/>
        <w:t>В целях создания безбарьерной среды организации инвалидов</w:t>
      </w:r>
      <w:r w:rsidRPr="00B70E82" w:rsidDel="006475F8">
        <w:t xml:space="preserve"> </w:t>
      </w:r>
      <w:r w:rsidRPr="00B70E82">
        <w:t xml:space="preserve">(под руководством организации </w:t>
      </w:r>
      <w:r w:rsidR="00C913D6">
        <w:t>«</w:t>
      </w:r>
      <w:r w:rsidRPr="00B70E82">
        <w:t>Мьянманская инициатива по обеспечению самостоятельной жизни</w:t>
      </w:r>
      <w:r w:rsidR="00AA0E92">
        <w:t>»</w:t>
      </w:r>
      <w:r w:rsidRPr="00B70E82">
        <w:t>) четыре раза организовывали в 2012</w:t>
      </w:r>
      <w:r w:rsidR="00C536E8">
        <w:t> году</w:t>
      </w:r>
      <w:r w:rsidRPr="00B70E82">
        <w:t xml:space="preserve"> на автобусных остановках, общественных рынках и с использованием надписей на магистральных автобусах кампании за безбарьерную среду для инвалидов. В рамках этих кампаний особое внимание также уделялось следующим аспектам:</w:t>
      </w:r>
    </w:p>
    <w:p w:rsidR="00B71C0D" w:rsidRPr="00B70E82" w:rsidRDefault="00B71C0D" w:rsidP="000A22D6">
      <w:pPr>
        <w:pStyle w:val="SingleTxtGR"/>
      </w:pPr>
      <w:r w:rsidRPr="00B70E82">
        <w:tab/>
        <w:t>a)</w:t>
      </w:r>
      <w:r w:rsidRPr="00B70E82">
        <w:tab/>
        <w:t>поощрение посещений общественных объектов лицами с тяжелыми формами инвалидности;</w:t>
      </w:r>
    </w:p>
    <w:p w:rsidR="00B71C0D" w:rsidRPr="00B70E82" w:rsidRDefault="00B71C0D" w:rsidP="000A22D6">
      <w:pPr>
        <w:pStyle w:val="SingleTxtGR"/>
      </w:pPr>
      <w:r w:rsidRPr="00B70E82">
        <w:tab/>
        <w:t>b)</w:t>
      </w:r>
      <w:r w:rsidRPr="00B70E82">
        <w:tab/>
        <w:t>повышение уровня знаний инвалидов и расширение круга их социальных связей на основе взаимодействия с людьми, не имеющими инвалидности;</w:t>
      </w:r>
    </w:p>
    <w:p w:rsidR="00B71C0D" w:rsidRPr="00B70E82" w:rsidRDefault="00B71C0D" w:rsidP="000A22D6">
      <w:pPr>
        <w:pStyle w:val="SingleTxtGR"/>
      </w:pPr>
      <w:r w:rsidRPr="00B70E82">
        <w:tab/>
        <w:t>c)</w:t>
      </w:r>
      <w:r w:rsidRPr="00B70E82">
        <w:tab/>
        <w:t>ознакомление населения с коммуникационными барьерами, возни</w:t>
      </w:r>
      <w:r w:rsidR="00AA0E92">
        <w:t>кающими у инвалидов;</w:t>
      </w:r>
    </w:p>
    <w:p w:rsidR="00B71C0D" w:rsidRPr="00B70E82" w:rsidRDefault="000A22D6" w:rsidP="000A22D6">
      <w:pPr>
        <w:pStyle w:val="SingleTxtGR"/>
      </w:pPr>
      <w:r>
        <w:tab/>
      </w:r>
      <w:r w:rsidR="00B71C0D" w:rsidRPr="00B70E82">
        <w:t>d)</w:t>
      </w:r>
      <w:r w:rsidR="00B71C0D" w:rsidRPr="00B70E82">
        <w:tab/>
        <w:t>обеспечение понимания тех физических барьеров, с которыми сталкиваются инвалиды при посещен</w:t>
      </w:r>
      <w:r w:rsidR="00AA0E92">
        <w:t>ии общественных мест; и</w:t>
      </w:r>
    </w:p>
    <w:p w:rsidR="00B71C0D" w:rsidRPr="00B70E82" w:rsidRDefault="00B71C0D" w:rsidP="000A22D6">
      <w:pPr>
        <w:pStyle w:val="SingleTxtGR"/>
      </w:pPr>
      <w:r w:rsidRPr="00B70E82">
        <w:lastRenderedPageBreak/>
        <w:tab/>
        <w:t>e)</w:t>
      </w:r>
      <w:r w:rsidRPr="00B70E82">
        <w:tab/>
        <w:t>принятие мер по обеспечению доступности путей подхода, общественных зданий и транспорта в интересах инвалидов на основе признания их</w:t>
      </w:r>
      <w:r w:rsidR="008D5096">
        <w:t> </w:t>
      </w:r>
      <w:r w:rsidRPr="00B70E82">
        <w:t>права на самостоятельный образ жизни.</w:t>
      </w:r>
    </w:p>
    <w:p w:rsidR="00B71C0D" w:rsidRPr="00B70E82" w:rsidRDefault="00B71C0D" w:rsidP="000A22D6">
      <w:pPr>
        <w:pStyle w:val="SingleTxtGR"/>
        <w:rPr>
          <w:rtl/>
          <w:cs/>
        </w:rPr>
      </w:pPr>
      <w:r w:rsidRPr="00B70E82">
        <w:t>38.</w:t>
      </w:r>
      <w:r w:rsidRPr="00B70E82">
        <w:tab/>
        <w:t>В 2012</w:t>
      </w:r>
      <w:r w:rsidR="00C536E8">
        <w:t> году</w:t>
      </w:r>
      <w:r w:rsidRPr="00B70E82">
        <w:t xml:space="preserve"> организации, занимающиеся вопросами программ реабилитации на местах, планировали и осуществляли деятельность по разработке программ безбарьерной среды в 128</w:t>
      </w:r>
      <w:r w:rsidR="00AA0E92">
        <w:t> </w:t>
      </w:r>
      <w:r w:rsidRPr="00B70E82">
        <w:t>целевых областях. Кроме того, Янгонский комитет городского развития проводит оценку результатов осуществления программ в интересах инвалидов</w:t>
      </w:r>
      <w:r w:rsidR="00C536E8">
        <w:t>,</w:t>
      </w:r>
      <w:r w:rsidRPr="00B70E82">
        <w:t xml:space="preserve"> таких как установка доступных туалетов/санузлов на заправочных станциях на автотрассах, строительство доступных эстакад, а также ежегодное празднование Международного дня белой трости.</w:t>
      </w:r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Право на жизнь</w:t>
      </w:r>
      <w:bookmarkStart w:id="12" w:name="_Toc494819930"/>
      <w:bookmarkEnd w:id="12"/>
    </w:p>
    <w:p w:rsidR="00B71C0D" w:rsidRPr="00B70E82" w:rsidRDefault="00B71C0D" w:rsidP="000A22D6">
      <w:pPr>
        <w:pStyle w:val="SingleTxtGR"/>
      </w:pPr>
      <w:r w:rsidRPr="00B70E82">
        <w:t>39.</w:t>
      </w:r>
      <w:r w:rsidRPr="00B70E82">
        <w:tab/>
        <w:t>Статья</w:t>
      </w:r>
      <w:r w:rsidR="00AA0E92">
        <w:t> </w:t>
      </w:r>
      <w:r w:rsidRPr="00B70E82">
        <w:t xml:space="preserve">352 Конституции гласит: </w:t>
      </w:r>
      <w:r w:rsidR="00C913D6">
        <w:t>«</w:t>
      </w:r>
      <w:r w:rsidRPr="00B70E82">
        <w:t>Ничто, за исключением случаев, предусмотренных законом, не может угрожать жизни и личной свободе любого человека</w:t>
      </w:r>
      <w:r w:rsidR="00C913D6">
        <w:t>»</w:t>
      </w:r>
      <w:r w:rsidR="00AA0E92">
        <w:t>. Это касается и инвалидов</w:t>
      </w:r>
      <w:r w:rsidRPr="00B70E82">
        <w:t xml:space="preserve">. В отношении права на жизнь детей-инвалидов в пункте а) </w:t>
      </w:r>
      <w:r w:rsidR="00C536E8">
        <w:t>статьи </w:t>
      </w:r>
      <w:r w:rsidRPr="00B70E82">
        <w:t>9 Закона о детях (1993</w:t>
      </w:r>
      <w:r w:rsidR="00C913D6">
        <w:t> года</w:t>
      </w:r>
      <w:r w:rsidRPr="00B70E82">
        <w:t>) предусмотрено, что каждый ребенок имеет право на жизнь, и</w:t>
      </w:r>
      <w:r w:rsidR="00144089">
        <w:t>,</w:t>
      </w:r>
      <w:r w:rsidRPr="00B70E82">
        <w:t xml:space="preserve"> соответственно</w:t>
      </w:r>
      <w:r w:rsidR="00144089">
        <w:t>,</w:t>
      </w:r>
      <w:r w:rsidRPr="00B70E82">
        <w:t xml:space="preserve"> дети-инвалиды имеют такое же</w:t>
      </w:r>
      <w:r w:rsidR="00AA0E92">
        <w:t> право, как и другие дети.</w:t>
      </w:r>
    </w:p>
    <w:p w:rsidR="00B71C0D" w:rsidRPr="00B70E82" w:rsidRDefault="00B71C0D" w:rsidP="000A22D6">
      <w:pPr>
        <w:pStyle w:val="SingleTxtGR"/>
      </w:pPr>
      <w:r w:rsidRPr="00B70E82">
        <w:t>40.</w:t>
      </w:r>
      <w:r w:rsidRPr="00B70E82">
        <w:tab/>
        <w:t xml:space="preserve">Кроме того, в соответствии с принятыми в Мьянме культурными нормами родители всегда дорожат правом своих детей на жизнь, независимо </w:t>
      </w:r>
      <w:r w:rsidR="00144089">
        <w:t>от</w:t>
      </w:r>
      <w:r w:rsidRPr="00B70E82">
        <w:t xml:space="preserve"> того, являются ли они инвалидами или нет. Таким образом, культурные традиции не</w:t>
      </w:r>
      <w:r w:rsidR="00AA0E92">
        <w:t> </w:t>
      </w:r>
      <w:r w:rsidRPr="00B70E82">
        <w:t>препятствуют осуществлению права на жизнь детей-инвалидов.</w:t>
      </w:r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Ситуации риска и чрезвычайные гуманитарные ситуации</w:t>
      </w:r>
      <w:bookmarkStart w:id="13" w:name="_Toc494819931"/>
      <w:bookmarkEnd w:id="13"/>
    </w:p>
    <w:p w:rsidR="00B71C0D" w:rsidRPr="00B70E82" w:rsidRDefault="00B71C0D" w:rsidP="000A22D6">
      <w:pPr>
        <w:pStyle w:val="SingleTxtGR"/>
      </w:pPr>
      <w:r w:rsidRPr="00B70E82">
        <w:t>41.</w:t>
      </w:r>
      <w:r w:rsidRPr="00B70E82">
        <w:tab/>
        <w:t>Согласно пункту</w:t>
      </w:r>
      <w:r w:rsidR="00AA0E92">
        <w:t> </w:t>
      </w:r>
      <w:r w:rsidRPr="00B70E82">
        <w:t xml:space="preserve">b) </w:t>
      </w:r>
      <w:r w:rsidR="00C536E8">
        <w:t>статьи </w:t>
      </w:r>
      <w:r w:rsidRPr="00B70E82">
        <w:t>13 главы</w:t>
      </w:r>
      <w:r w:rsidR="00AA0E92">
        <w:t> </w:t>
      </w:r>
      <w:r w:rsidRPr="00B70E82">
        <w:t>6 Закона о ликвидации последствий стихийных бедствий (2012</w:t>
      </w:r>
      <w:r w:rsidR="00C913D6">
        <w:t> года</w:t>
      </w:r>
      <w:r w:rsidRPr="00B70E82">
        <w:t>) департамент, организации или лица, на которые возложены соответствующие обязанности в соответствии с этим Законом, обязаны в первоочередном порядке обеспечивать защиту младенцев, престарелых, инвалидов и женщин (особенно беременных женщин и кормящих матерей) при осуществлении планов ликвидации последствий стихийных бедствий, в</w:t>
      </w:r>
      <w:r w:rsidR="00AA0E92">
        <w:t> </w:t>
      </w:r>
      <w:r w:rsidRPr="00B70E82">
        <w:t>частности подготовительных и превентивных мер по уменьшению опасности стихийных бедствий в период до их возникновения, включая поисково-спасательные работы во время стихийных бедствий, а также восстановительной деятельности в целях повышения уровня жизни в период после стихийных бедствий и сохранения окружающей среды, пострадавшей от стихийных бедствий. Кроме того, в целях оказания помощи инвалидам в случае бедствий на основе опыта и уроков циклона Наргис, обрушившегося на Мьянму в 2008</w:t>
      </w:r>
      <w:r w:rsidR="00C536E8">
        <w:t> году</w:t>
      </w:r>
      <w:r w:rsidRPr="00B70E82">
        <w:t>, был разработан и реализован план чрезвычайных</w:t>
      </w:r>
      <w:r w:rsidR="00AA0E92">
        <w:t xml:space="preserve"> действий в интересах инвалидов</w:t>
      </w:r>
      <w:r w:rsidRPr="00B70E82">
        <w:t>.</w:t>
      </w:r>
    </w:p>
    <w:p w:rsidR="00B71C0D" w:rsidRPr="00B70E82" w:rsidRDefault="00B71C0D" w:rsidP="000A22D6">
      <w:pPr>
        <w:pStyle w:val="SingleTxtGR"/>
      </w:pPr>
      <w:r w:rsidRPr="00B70E82">
        <w:t>42.</w:t>
      </w:r>
      <w:r w:rsidRPr="00B70E82">
        <w:tab/>
        <w:t>В настоящее время Рабочая группа по уменьшению опасности бедствий под руководством Департамента по вопросам</w:t>
      </w:r>
      <w:r w:rsidR="00C913D6">
        <w:t xml:space="preserve"> </w:t>
      </w:r>
      <w:r w:rsidRPr="00B70E82">
        <w:t>чрезвычайной помощи и переселения МСОПП и в сотрудничестве с организациями инвалидов и организациями, защищающими их интересы, разрабатывает программы по обеспечению готовности к стихийным бедствиям, организует проведение учебных курсов для инструкторов по вопросам ликвидации последствий стихийных бедствий с учетом интересов инвалидов и публикует брошюры и настенные плакаты по тематике инвалидности и стихийных бедствий. В состав Рабочей группы входят представители соответствующих учреждений Организации Объединенных Наций, таких, как УКГВ, МПП, ПРООН, ООН-Хабитат, а также национальные и международные организации, занимающиеся в</w:t>
      </w:r>
      <w:r w:rsidR="00AA0E92">
        <w:t>опросами развития, включая ОЛИ.</w:t>
      </w:r>
    </w:p>
    <w:p w:rsidR="00B71C0D" w:rsidRPr="00B70E82" w:rsidRDefault="00B71C0D" w:rsidP="000A22D6">
      <w:pPr>
        <w:pStyle w:val="SingleTxtGR"/>
      </w:pPr>
      <w:r w:rsidRPr="00B70E82">
        <w:t>43.</w:t>
      </w:r>
      <w:r w:rsidRPr="00B70E82">
        <w:tab/>
        <w:t xml:space="preserve">Созданные Департаментом пожарной охраны Министерства внутренних дел группы спасателей планируют разработать спасательные процедуры с учетом специфики положения инвалидов. Кроме того, в проекте закона о правах </w:t>
      </w:r>
      <w:r w:rsidRPr="00B70E82">
        <w:lastRenderedPageBreak/>
        <w:t>инвалидов учитываются потребности инвалидов в вопросах спасения, защиты, обеспечения безопасности и реабилитации во время чрезвычайных ситуаций, вызванных стихийными бедствиями.</w:t>
      </w:r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Равенство перед законом</w:t>
      </w:r>
      <w:bookmarkStart w:id="14" w:name="_Toc494819932"/>
      <w:bookmarkEnd w:id="14"/>
    </w:p>
    <w:p w:rsidR="00B71C0D" w:rsidRPr="00B70E82" w:rsidRDefault="00B71C0D" w:rsidP="000A22D6">
      <w:pPr>
        <w:pStyle w:val="SingleTxtGR"/>
      </w:pPr>
      <w:r w:rsidRPr="00B70E82">
        <w:t>44.</w:t>
      </w:r>
      <w:r w:rsidRPr="00B70E82">
        <w:tab/>
        <w:t>Все граждане Мьянмы, в том числе инвалиды</w:t>
      </w:r>
      <w:r w:rsidR="00C536E8">
        <w:t>,</w:t>
      </w:r>
      <w:r w:rsidRPr="00B70E82">
        <w:t xml:space="preserve"> равны перед законом: статья</w:t>
      </w:r>
      <w:r w:rsidR="00AA0E92">
        <w:t> </w:t>
      </w:r>
      <w:r w:rsidRPr="00B70E82">
        <w:t>347 Конституции гласит, что Союз гарантирует каждому равенство перед законом и предоставляет всем равную защиту со стороны закона, и в проекте закона о правах инвалидов также предусмотрена равная защита закона и запрещается дискриминация инвалидов по признаку наличия инвалидности. Тем не</w:t>
      </w:r>
      <w:r w:rsidR="00AA0E92">
        <w:t> менее</w:t>
      </w:r>
      <w:r w:rsidRPr="00B70E82">
        <w:t xml:space="preserve"> инвалиды сталкиваются с ограничениями, обусловленными процедурами и нормами, введенными некоторыми частными организациями и государственными ведомствами. Поэтому перед Мьянмой стоит задача устранения таких процедур и норм, поскольку они влияют на возможности трудоустройства и</w:t>
      </w:r>
      <w:r w:rsidR="00AA0E92">
        <w:t> </w:t>
      </w:r>
      <w:r w:rsidRPr="00B70E82">
        <w:t>психологический настрой инвалидов</w:t>
      </w:r>
      <w:r w:rsidR="00AA0E92">
        <w:t>.</w:t>
      </w:r>
      <w:r w:rsidRPr="00B70E82">
        <w:t xml:space="preserve"> В интересах действенного решения указанных проблем будут проводиться общенациональные информационно-пропагандистские совещания по вопросам КПИ, осуществляться программы расширения прав и возможностей инвалидов</w:t>
      </w:r>
      <w:r w:rsidR="00C913D6">
        <w:t xml:space="preserve"> </w:t>
      </w:r>
      <w:r w:rsidRPr="00B70E82">
        <w:t>и организовываться кампании с</w:t>
      </w:r>
      <w:r w:rsidR="00AA0E92">
        <w:t> </w:t>
      </w:r>
      <w:r w:rsidRPr="00B70E82">
        <w:t>целью распространения информации о важности вовлечения инвалидов в деятельность по обеспечению устойчивого развития страны.</w:t>
      </w:r>
    </w:p>
    <w:p w:rsidR="00B71C0D" w:rsidRPr="00B70E82" w:rsidRDefault="00B71C0D" w:rsidP="000A22D6">
      <w:pPr>
        <w:pStyle w:val="H1GR"/>
      </w:pPr>
      <w:r w:rsidRPr="00B70E82">
        <w:tab/>
      </w:r>
      <w:r w:rsidRPr="00B70E82">
        <w:tab/>
        <w:t>Доступ к правосудию</w:t>
      </w:r>
      <w:bookmarkStart w:id="15" w:name="_Toc494819933"/>
      <w:bookmarkEnd w:id="15"/>
    </w:p>
    <w:p w:rsidR="000A22D6" w:rsidRPr="00B70E82" w:rsidRDefault="000A22D6" w:rsidP="000A22D6">
      <w:pPr>
        <w:pStyle w:val="SingleTxtGR"/>
      </w:pPr>
      <w:r w:rsidRPr="00B70E82">
        <w:t>45.</w:t>
      </w:r>
      <w:r w:rsidRPr="00B70E82">
        <w:tab/>
        <w:t>Пункт</w:t>
      </w:r>
      <w:r w:rsidR="00AA0E92">
        <w:t> </w:t>
      </w:r>
      <w:r w:rsidRPr="00B70E82">
        <w:t xml:space="preserve">а) </w:t>
      </w:r>
      <w:r w:rsidR="00C536E8">
        <w:t>статьи </w:t>
      </w:r>
      <w:r w:rsidRPr="00B70E82">
        <w:t xml:space="preserve">21 Конституции гласит: </w:t>
      </w:r>
      <w:r w:rsidR="00C913D6">
        <w:t>«</w:t>
      </w:r>
      <w:r w:rsidRPr="00B70E82">
        <w:t>Каждый гражданин имеет право на равенство, свободу и доступ к правосудию, как предписано настоящей Конституцией</w:t>
      </w:r>
      <w:r w:rsidR="00C913D6">
        <w:t>»</w:t>
      </w:r>
      <w:r w:rsidRPr="00B70E82">
        <w:t>.</w:t>
      </w:r>
    </w:p>
    <w:p w:rsidR="000A22D6" w:rsidRPr="00B70E82" w:rsidRDefault="000A22D6" w:rsidP="000A22D6">
      <w:pPr>
        <w:pStyle w:val="SingleTxtGR"/>
      </w:pPr>
      <w:r w:rsidRPr="00B70E82">
        <w:t>46.</w:t>
      </w:r>
      <w:r w:rsidRPr="00B70E82">
        <w:tab/>
        <w:t>В проекте закона о правах инвалидов предусмотрены положения, которые обеспечивают инвалидам</w:t>
      </w:r>
      <w:r w:rsidR="00C913D6">
        <w:t xml:space="preserve"> </w:t>
      </w:r>
      <w:r w:rsidRPr="00B70E82">
        <w:t>право на получение от суда необходимой помощи в</w:t>
      </w:r>
      <w:r w:rsidR="00AA0E92">
        <w:t> </w:t>
      </w:r>
      <w:r w:rsidRPr="00B70E82">
        <w:t>связи с осуществлением их права на обращение в суд, права на защиту и права вызывать свидетелей и выступать свидетелем. Аналогичным образом, согласно статье</w:t>
      </w:r>
      <w:r w:rsidR="00AA0E92">
        <w:t> </w:t>
      </w:r>
      <w:r w:rsidRPr="00B70E82">
        <w:t>119 Закона о доказательствах для инвалидов предусмотрены обеспечение сурдоперевода и дача показаний в устной или молчаливой (письменной) форме. Статья</w:t>
      </w:r>
      <w:r w:rsidR="00AA0E92">
        <w:t> </w:t>
      </w:r>
      <w:r w:rsidRPr="00B70E82">
        <w:t>10 Закона о детях (1993</w:t>
      </w:r>
      <w:r w:rsidR="00C913D6">
        <w:t> года</w:t>
      </w:r>
      <w:r w:rsidRPr="00B70E82">
        <w:t>) обязывает в ходе судебного разбирательства по делам несовершеннолетних принимать во внимание потребности детей, в том числе детей-инвалидов. Судьи, адвокаты и сотрудники пенитенциарных учреждений зачастую включаются в целевую аудиторию при организации Департаментом социального обеспечения в рамках мероприятий по повышению осведомленности учебных семинаров по вопросам прав инвалидов</w:t>
      </w:r>
      <w:r w:rsidR="00AA0E92">
        <w:t>.</w:t>
      </w:r>
      <w:r w:rsidRPr="00B70E82">
        <w:t xml:space="preserve"> Вместе с</w:t>
      </w:r>
      <w:r w:rsidR="00AA0E92">
        <w:t xml:space="preserve"> </w:t>
      </w:r>
      <w:r w:rsidRPr="00B70E82">
        <w:t>тем необходимо разрабатывать и шире осуществлять индивидуализированные и специализированные программы, которые включают образовательный компонент и компоненты повышения осведомленности и укрепления потенциала и</w:t>
      </w:r>
      <w:r w:rsidR="00AA0E92">
        <w:t xml:space="preserve"> </w:t>
      </w:r>
      <w:r w:rsidRPr="00B70E82">
        <w:t>рассчитаны на сотрудников органов правосудия и Департамента пенитенциарных учреждений.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Свобода и личная неприкосновенность</w:t>
      </w:r>
      <w:bookmarkStart w:id="16" w:name="_Toc494819934"/>
      <w:bookmarkEnd w:id="16"/>
    </w:p>
    <w:p w:rsidR="000A22D6" w:rsidRPr="00B70E82" w:rsidRDefault="000A22D6" w:rsidP="000A22D6">
      <w:pPr>
        <w:pStyle w:val="SingleTxtGR"/>
      </w:pPr>
      <w:r w:rsidRPr="00B70E82">
        <w:t>47.</w:t>
      </w:r>
      <w:r w:rsidRPr="00B70E82">
        <w:tab/>
        <w:t>Статья</w:t>
      </w:r>
      <w:r w:rsidR="00AA0E92">
        <w:t> </w:t>
      </w:r>
      <w:r w:rsidRPr="00B70E82">
        <w:t xml:space="preserve">353 Конституции гласит: </w:t>
      </w:r>
      <w:r w:rsidR="00C913D6">
        <w:t>«</w:t>
      </w:r>
      <w:r w:rsidRPr="00B70E82">
        <w:t>Ничто, за исключением случаев, предусмотренных законом, не может угрожать жизни и личной свободе любого человека</w:t>
      </w:r>
      <w:r w:rsidR="00C913D6">
        <w:t>»</w:t>
      </w:r>
      <w:r w:rsidRPr="00B70E82">
        <w:t>. В пункте</w:t>
      </w:r>
      <w:r w:rsidR="00AA0E92">
        <w:t> </w:t>
      </w:r>
      <w:r w:rsidRPr="00B70E82">
        <w:t xml:space="preserve">а) </w:t>
      </w:r>
      <w:r w:rsidR="00C536E8">
        <w:t>статьи </w:t>
      </w:r>
      <w:r w:rsidRPr="00B70E82">
        <w:t>354 закреплено право выражать и свободно распространять свои убеждения и мнения. Согласно статье</w:t>
      </w:r>
      <w:r w:rsidR="00AA0E92">
        <w:t> </w:t>
      </w:r>
      <w:r w:rsidRPr="00B70E82">
        <w:t>356 Союз в порядке, предусмотренном законом, защищает движимое и недвижимое имущество каждого гражданина, приобретенное законным путем. Как гласит статья</w:t>
      </w:r>
      <w:r w:rsidR="00AA0E92">
        <w:t> </w:t>
      </w:r>
      <w:r w:rsidRPr="00B70E82">
        <w:t>357, Союз охраняет частную жизнь и обеспечивает безопасность жилища, собственности, переписки и других видов коммуникаций граждан на основании закона и в соответствии с положениями Конституции. Таким образом, инвалиды не подвер</w:t>
      </w:r>
      <w:r w:rsidRPr="00B70E82">
        <w:lastRenderedPageBreak/>
        <w:t>гаются дискриминации и на равной основе пользуются теми же правами, что и</w:t>
      </w:r>
      <w:r w:rsidR="00AA0E92">
        <w:t> </w:t>
      </w:r>
      <w:r w:rsidRPr="00B70E82">
        <w:t>другие люди.</w:t>
      </w:r>
    </w:p>
    <w:p w:rsidR="000A22D6" w:rsidRPr="00B70E82" w:rsidRDefault="000A22D6" w:rsidP="000A22D6">
      <w:pPr>
        <w:pStyle w:val="SingleTxtGR"/>
      </w:pPr>
      <w:r w:rsidRPr="00B70E82">
        <w:t>48.</w:t>
      </w:r>
      <w:r w:rsidRPr="00B70E82">
        <w:tab/>
        <w:t>В проекте закона о правах инвалидов указано, что инвалиды</w:t>
      </w:r>
      <w:r w:rsidR="00AA0E92">
        <w:t xml:space="preserve"> </w:t>
      </w:r>
      <w:r w:rsidRPr="00B70E82">
        <w:t>обладают правами на основные свободы. Несмотря на то, что законодательных актов, предусматривающих</w:t>
      </w:r>
      <w:r w:rsidR="00AA0E92">
        <w:t>,</w:t>
      </w:r>
      <w:r w:rsidRPr="00B70E82">
        <w:t xml:space="preserve"> в частности, правила, положения и инструкции в отношении запрещения принудительного помещения в учреждения закрытого типа и</w:t>
      </w:r>
      <w:r w:rsidR="00AA0E92">
        <w:t> </w:t>
      </w:r>
      <w:r w:rsidRPr="00B70E82">
        <w:t>любых действий по лишению инвалидов</w:t>
      </w:r>
      <w:r w:rsidR="00AA0E92">
        <w:t xml:space="preserve">, </w:t>
      </w:r>
      <w:r w:rsidRPr="00B70E82">
        <w:t>пока не принято, в настоящее время применяются положения, касающиеся альтернативного ухода.</w:t>
      </w:r>
    </w:p>
    <w:p w:rsidR="000A22D6" w:rsidRPr="00B70E82" w:rsidRDefault="000A22D6" w:rsidP="000A22D6">
      <w:pPr>
        <w:pStyle w:val="SingleTxtGR"/>
      </w:pPr>
      <w:r w:rsidRPr="00B70E82">
        <w:t>49.</w:t>
      </w:r>
      <w:r w:rsidRPr="00B70E82">
        <w:tab/>
        <w:t>Согласно Бирманскому тюремному регламенту (1894</w:t>
      </w:r>
      <w:r w:rsidR="00C913D6">
        <w:t> года</w:t>
      </w:r>
      <w:r w:rsidRPr="00B70E82">
        <w:t>) в тюрьмах, относящихся к ведению департамента пенитенциарных учреждений, заключенные-инвалиды без дискриминации пользуются теми же правами и средствами защиты, что и другие заключенные. В настоящее время ведется работа по пересмотру этого регламента. В соответствии с его пунктом</w:t>
      </w:r>
      <w:r w:rsidR="00AA0E92">
        <w:t> </w:t>
      </w:r>
      <w:r w:rsidRPr="00B70E82">
        <w:t>359 заключенным-инвалидам предоставляются условия размещения, например спальные места, наравне с другими заключенными.</w:t>
      </w:r>
    </w:p>
    <w:p w:rsidR="000A22D6" w:rsidRPr="00B70E82" w:rsidRDefault="000A22D6" w:rsidP="000A22D6">
      <w:pPr>
        <w:pStyle w:val="SingleTxtGR"/>
      </w:pPr>
      <w:r w:rsidRPr="00B70E82">
        <w:t>50.</w:t>
      </w:r>
      <w:r w:rsidRPr="00B70E82">
        <w:tab/>
        <w:t>В соответствии с пунктом</w:t>
      </w:r>
      <w:r w:rsidR="00AA0E92">
        <w:t> </w:t>
      </w:r>
      <w:r w:rsidRPr="00B70E82">
        <w:t>398 все заключенные, включая заключенных-инвалидов, в равной степени обеспечиваются всем предусмотренным для камеры оборудованием, и при поступлении доставляются на освидетельствование к</w:t>
      </w:r>
      <w:r w:rsidR="00AA0E92">
        <w:t> </w:t>
      </w:r>
      <w:r w:rsidRPr="00B70E82">
        <w:t>медицинскому сотруднику для регистрации состояния здоровья в соответствии с пунктом</w:t>
      </w:r>
      <w:r w:rsidR="00AA0E92">
        <w:t> </w:t>
      </w:r>
      <w:r w:rsidRPr="00B70E82">
        <w:t>399. Согласно подпункту</w:t>
      </w:r>
      <w:r w:rsidR="00AA0E92">
        <w:t> </w:t>
      </w:r>
      <w:r w:rsidRPr="00B70E82">
        <w:t>4 пункта</w:t>
      </w:r>
      <w:r w:rsidR="00AA0E92">
        <w:t> </w:t>
      </w:r>
      <w:r w:rsidRPr="00B70E82">
        <w:t>925 технический медицинский персонал предоставляет заключенным-инвалидам и выздоравливающим предписанные им предметы, например медикаменты, продовольствие, одежду, постельные принадлежности и т.д. При этом, как указано в пункте</w:t>
      </w:r>
      <w:r w:rsidR="00AA0E92">
        <w:t> </w:t>
      </w:r>
      <w:r w:rsidRPr="00B70E82">
        <w:t>935, врач может рекомендовать использовать любого ослабевшего или выздоравливающего заключенного, в том числе заключенных-инвалидов, с учетом их состояния на легких и ненормируемых работах. Кроме того, по решению врача, помимо обычного рациона питания, устанавливается особый рацион, включающий, например, рис более высокого качества и дополнительные порции мяса, рыбы, молока или картофеля, как предусмотрено положениями пункта</w:t>
      </w:r>
      <w:r w:rsidR="00AA0E92">
        <w:t> </w:t>
      </w:r>
      <w:r w:rsidRPr="00B70E82">
        <w:t>936.</w:t>
      </w:r>
    </w:p>
    <w:p w:rsidR="000A22D6" w:rsidRPr="00B70E82" w:rsidRDefault="000A22D6" w:rsidP="000A22D6">
      <w:pPr>
        <w:pStyle w:val="SingleTxtGR"/>
      </w:pPr>
      <w:r w:rsidRPr="00B70E82">
        <w:t>51.</w:t>
      </w:r>
      <w:r w:rsidRPr="00B70E82">
        <w:tab/>
        <w:t>Согласно пункту</w:t>
      </w:r>
      <w:r w:rsidR="00AA0E92">
        <w:t> </w:t>
      </w:r>
      <w:r w:rsidRPr="00B70E82">
        <w:t>439 Регламента каждому осужденному заключенному, включая инвалидов, желающему подать апелляцию и имеющему право на это, предоставляются все возможности для обжалования, и ходатайства о получении разрешения на подачу апелляционной жалобы в любое время в пределах срока, предусмотренного законом для подачи апелляции (см.</w:t>
      </w:r>
      <w:r w:rsidR="00AA0E92">
        <w:t> </w:t>
      </w:r>
      <w:r w:rsidRPr="00B70E82">
        <w:t>пункт</w:t>
      </w:r>
      <w:r w:rsidR="00AA0E92">
        <w:t> </w:t>
      </w:r>
      <w:r w:rsidRPr="00B70E82">
        <w:t>446), подлежат незамедлительному рассмотрению. Предусмотрено, что заключенные-инвалиды имеют право на сокращение срока заключения и на сокращение срока заключения в особом порядке наравне с другими заключенными согласно пункту</w:t>
      </w:r>
      <w:r w:rsidR="00AA0E92">
        <w:t> </w:t>
      </w:r>
      <w:r w:rsidRPr="00B70E82">
        <w:t>838 в</w:t>
      </w:r>
      <w:r w:rsidR="00AA0E92">
        <w:t> </w:t>
      </w:r>
      <w:r w:rsidRPr="00B70E82">
        <w:t xml:space="preserve">первом случае и пункту 848 </w:t>
      </w:r>
      <w:r w:rsidR="00AA0E92">
        <w:t>–</w:t>
      </w:r>
      <w:r w:rsidRPr="00B70E82">
        <w:t xml:space="preserve"> во втором. В отдельных случаях заключенные-инвалиды могут амнистироваться государством.</w:t>
      </w:r>
    </w:p>
    <w:p w:rsidR="000A22D6" w:rsidRPr="00B70E82" w:rsidRDefault="000A22D6" w:rsidP="000A22D6">
      <w:pPr>
        <w:pStyle w:val="SingleTxtGR"/>
      </w:pPr>
      <w:r w:rsidRPr="00B70E82">
        <w:t>52.</w:t>
      </w:r>
      <w:r w:rsidRPr="00B70E82">
        <w:tab/>
        <w:t>Заключенные-инвалиды с учетом их потребностей имеют право использовать средства передвижения. Они могут также принимать участие в сеансах медитации для психологического перевоспитания и учиться читать, писать и</w:t>
      </w:r>
      <w:r w:rsidR="00AA0E92">
        <w:t> </w:t>
      </w:r>
      <w:r w:rsidRPr="00B70E82">
        <w:t>считать.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Свобода от пыток и жестоких, бесчеловечных или унижающих достоинство видов обращения и наказания</w:t>
      </w:r>
      <w:bookmarkStart w:id="17" w:name="_Toc494819935"/>
      <w:bookmarkEnd w:id="17"/>
    </w:p>
    <w:p w:rsidR="000A22D6" w:rsidRPr="00B70E82" w:rsidRDefault="000A22D6" w:rsidP="000A22D6">
      <w:pPr>
        <w:pStyle w:val="SingleTxtGR"/>
      </w:pPr>
      <w:r w:rsidRPr="00B70E82">
        <w:t>53.</w:t>
      </w:r>
      <w:r w:rsidRPr="00B70E82">
        <w:tab/>
        <w:t>В части принятия эффективных мер по обеспечению свободы от пыток и</w:t>
      </w:r>
      <w:r w:rsidR="00AA0E92">
        <w:t> </w:t>
      </w:r>
      <w:r w:rsidRPr="00B70E82">
        <w:t>жестоких, бесчеловечных или унижающих достоинство видов обращения и</w:t>
      </w:r>
      <w:r w:rsidR="00AA0E92">
        <w:t> </w:t>
      </w:r>
      <w:r w:rsidRPr="00B70E82">
        <w:t>наказания проект закона о правах инвалидов предусматривает ликвидацию дискриминации по признаку инвалидности, защиту от пыток, дискриминации, отсутствия заботы и от жестокого обращения, обеспечение доступа к услугам, а</w:t>
      </w:r>
      <w:r w:rsidR="00AA0E92">
        <w:t> </w:t>
      </w:r>
      <w:r w:rsidRPr="00B70E82">
        <w:t>также запрещение видов практики и обращения, физически или психически пагубных для инвалидов. В частности, в законопроекте учтены потребности женщин-инвалидов, которые имеют право на защиту от всех форм насилия и</w:t>
      </w:r>
      <w:r w:rsidR="00AA0E92">
        <w:t> </w:t>
      </w:r>
      <w:r w:rsidRPr="00B70E82">
        <w:t>дискриминации. Кроме того, в нем говорится, что умышленное дурное обра</w:t>
      </w:r>
      <w:r w:rsidRPr="00B70E82">
        <w:lastRenderedPageBreak/>
        <w:t>щение с ребенком является преступлением согласно подразделу</w:t>
      </w:r>
      <w:r w:rsidR="00AA0E92">
        <w:t> </w:t>
      </w:r>
      <w:r w:rsidRPr="00B70E82">
        <w:t>d) раздела</w:t>
      </w:r>
      <w:r w:rsidR="00AA0E92">
        <w:t> </w:t>
      </w:r>
      <w:r w:rsidRPr="00B70E82">
        <w:t>66 Закона о детях (1993</w:t>
      </w:r>
      <w:r w:rsidR="00C913D6">
        <w:t> года</w:t>
      </w:r>
      <w:r w:rsidRPr="00B70E82">
        <w:t>).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Свобода от эксплуатации, насилия и надругательства</w:t>
      </w:r>
      <w:bookmarkStart w:id="18" w:name="_Toc494819936"/>
      <w:bookmarkEnd w:id="18"/>
    </w:p>
    <w:p w:rsidR="000A22D6" w:rsidRPr="00B70E82" w:rsidRDefault="000A22D6" w:rsidP="000A22D6">
      <w:pPr>
        <w:pStyle w:val="SingleTxtGR"/>
      </w:pPr>
      <w:r w:rsidRPr="00B70E82">
        <w:t>54.</w:t>
      </w:r>
      <w:r w:rsidRPr="00B70E82">
        <w:tab/>
        <w:t>Одной из целей проекта закона о правах инвалидов является обеспечение защиты инвалидов, в частности женщин и детей, от насилия, в том числе от</w:t>
      </w:r>
      <w:r w:rsidR="00AA0E92">
        <w:t> </w:t>
      </w:r>
      <w:r w:rsidRPr="00B70E82">
        <w:t>всех форм насилия в семье, жестокого обращения и эксплуатации. Кроме того, в разделе законопроекта, где сформулированы запрещающие нормы, указано, что никто не вправе умышленно подвергать дискриминации, оставлять без надзора, унижать, подвергать насилию, эксплуатации и принудительному труду или пользоваться положением инвалидов</w:t>
      </w:r>
      <w:r w:rsidR="007410DF" w:rsidRPr="007410DF">
        <w:t xml:space="preserve"> </w:t>
      </w:r>
      <w:r w:rsidRPr="00B70E82">
        <w:t>на основании наличия последней.</w:t>
      </w:r>
    </w:p>
    <w:p w:rsidR="000A22D6" w:rsidRPr="00B70E82" w:rsidRDefault="000A22D6" w:rsidP="000A22D6">
      <w:pPr>
        <w:pStyle w:val="SingleTxtGR"/>
      </w:pPr>
      <w:r w:rsidRPr="00B70E82">
        <w:t>55.</w:t>
      </w:r>
      <w:r w:rsidRPr="00B70E82">
        <w:tab/>
        <w:t>Организации инвалидов, выступающие за их самостоятельную жизнь, и</w:t>
      </w:r>
      <w:r w:rsidR="00AA0E92">
        <w:t> </w:t>
      </w:r>
      <w:r w:rsidRPr="00B70E82">
        <w:t>другие группы, занимающиеся проблемами инвалидности, снимают и показывают по телевидению просветительские видеоролики, распространяют брошюры, буклеты и листовки по тематике Конвенции о правах инвалидов, используют радиопередачи для ознакомления населения с новыми концепциями инвалидности и правами инвалидов, организуют курсы подготовки и дискуссии в целях повышения осведомленности о проблемах инвалидности, а также совещания для обмена информацией с инвалидами. Они также организуют коллективные обсуждения вопросов инвалидности и инклюзивного развития и программ реабилитации на местах, с тем чтобы исключить любые формы злоупотреблений, насилия, эксплуатации и угнетения в отношении инвалидов</w:t>
      </w:r>
      <w:r w:rsidR="00AA0E92">
        <w:t xml:space="preserve"> </w:t>
      </w:r>
      <w:r w:rsidRPr="00B70E82">
        <w:t>в быту и</w:t>
      </w:r>
      <w:r w:rsidR="00AA0E92">
        <w:t> </w:t>
      </w:r>
      <w:r w:rsidRPr="00B70E82">
        <w:t>в государственных учреждениях.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Защита личной целостности</w:t>
      </w:r>
      <w:bookmarkStart w:id="19" w:name="_Toc494819937"/>
      <w:bookmarkEnd w:id="19"/>
    </w:p>
    <w:p w:rsidR="000A22D6" w:rsidRPr="00B70E82" w:rsidRDefault="000A22D6" w:rsidP="000A22D6">
      <w:pPr>
        <w:pStyle w:val="SingleTxtGR"/>
      </w:pPr>
      <w:r w:rsidRPr="00B70E82">
        <w:t>56.</w:t>
      </w:r>
      <w:r w:rsidRPr="00B70E82">
        <w:tab/>
        <w:t>В проекте закона о правах инвалидов предусмотрено, что каждый инвалид имеет право на уважение своей личной целостности. В 2012</w:t>
      </w:r>
      <w:r w:rsidR="00C536E8">
        <w:t> году</w:t>
      </w:r>
      <w:r w:rsidRPr="00B70E82">
        <w:t xml:space="preserve"> Департамент здравоохранения провел национальный семинар по вопросам репродуктивного здоровья и определил на будущее планы строительства семейной жизни инвалидов. Им учрежден комитет по этике, и врачи соблюдают принципы </w:t>
      </w:r>
      <w:r w:rsidR="00B87624">
        <w:t>медицинской этики. Тем не менее</w:t>
      </w:r>
      <w:r w:rsidRPr="00B70E82">
        <w:t xml:space="preserve"> предстоит принять дополнительные меры для обеспечения личной целостности инвалидов.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Свобода передвижения и гражданство</w:t>
      </w:r>
      <w:bookmarkStart w:id="20" w:name="_Toc494819938"/>
      <w:bookmarkEnd w:id="20"/>
    </w:p>
    <w:p w:rsidR="000A22D6" w:rsidRPr="00B70E82" w:rsidRDefault="000A22D6" w:rsidP="000A22D6">
      <w:pPr>
        <w:pStyle w:val="SingleTxtGR"/>
      </w:pPr>
      <w:r w:rsidRPr="00B70E82">
        <w:t>57.</w:t>
      </w:r>
      <w:r w:rsidRPr="00B70E82">
        <w:tab/>
        <w:t>Согласно статье</w:t>
      </w:r>
      <w:r w:rsidR="00AA0E92">
        <w:t> </w:t>
      </w:r>
      <w:r w:rsidRPr="00B70E82">
        <w:t>345 Конституции (2008</w:t>
      </w:r>
      <w:r w:rsidR="00C913D6">
        <w:t> года</w:t>
      </w:r>
      <w:r w:rsidRPr="00B70E82">
        <w:t>) гражданами Республики Союз Мьянма являются все лица, отвечающие одному из следующих критериев: a)</w:t>
      </w:r>
      <w:r w:rsidR="00662374">
        <w:t> </w:t>
      </w:r>
      <w:r w:rsidRPr="00B70E82">
        <w:t>лица, рожденные от родителей, оба из которых являются гражданами Республики Союз Мьянма; и b)</w:t>
      </w:r>
      <w:r w:rsidR="00662374">
        <w:t> </w:t>
      </w:r>
      <w:r w:rsidRPr="00B70E82">
        <w:t>лица, являющиеся гражданами по закону на</w:t>
      </w:r>
      <w:r w:rsidR="00662374">
        <w:t> </w:t>
      </w:r>
      <w:r w:rsidRPr="00B70E82">
        <w:t>день вступления в силу данной Конституции. В Конституции также предусмотрено, что каждый гражданин имеет право на свободу передвижения и проживания в любом месте на территории Республики Союза Мьянма в соответствии с законодательством, обеспечивающим свободу передвижения инвалидов. Кроме того, инвалиды имеют равное право на гражданство согласно Закону о</w:t>
      </w:r>
      <w:r w:rsidR="00662374">
        <w:t> </w:t>
      </w:r>
      <w:r w:rsidRPr="00B70E82">
        <w:t>гражданстве Мьянмы (1982</w:t>
      </w:r>
      <w:r w:rsidR="00C913D6">
        <w:t> года</w:t>
      </w:r>
      <w:r w:rsidRPr="00B70E82">
        <w:t>).</w:t>
      </w:r>
    </w:p>
    <w:p w:rsidR="000A22D6" w:rsidRPr="00B70E82" w:rsidRDefault="000A22D6" w:rsidP="000A22D6">
      <w:pPr>
        <w:pStyle w:val="SingleTxtGR"/>
      </w:pPr>
      <w:r w:rsidRPr="00B70E82">
        <w:t>58.</w:t>
      </w:r>
      <w:r w:rsidRPr="00B70E82">
        <w:tab/>
        <w:t>В пункте</w:t>
      </w:r>
      <w:r w:rsidR="009C543B">
        <w:t> </w:t>
      </w:r>
      <w:r w:rsidRPr="00B70E82">
        <w:t xml:space="preserve">b) </w:t>
      </w:r>
      <w:r w:rsidR="00C536E8">
        <w:t>статьи </w:t>
      </w:r>
      <w:r w:rsidRPr="00B70E82">
        <w:t>9 Закона о детях (1993</w:t>
      </w:r>
      <w:r w:rsidR="00C913D6">
        <w:t> года</w:t>
      </w:r>
      <w:r w:rsidRPr="00B70E82">
        <w:t>) предусмотрено, что родители или опекун обязаны зарегистрировать рождение ребенка в соответствии с</w:t>
      </w:r>
      <w:r w:rsidR="00662374">
        <w:t> </w:t>
      </w:r>
      <w:r w:rsidRPr="00B70E82">
        <w:t>законом. Таким образом, дети-инвалиды регистрируются при рождении. В</w:t>
      </w:r>
      <w:r w:rsidR="00662374">
        <w:t> </w:t>
      </w:r>
      <w:r w:rsidRPr="00B70E82">
        <w:t>статье</w:t>
      </w:r>
      <w:r w:rsidR="00662374">
        <w:t> </w:t>
      </w:r>
      <w:r w:rsidRPr="00B70E82">
        <w:t>10 указано, что каждый ребенок имеет право на гражданство в соответствии с положениями действующего законодательства.</w:t>
      </w:r>
    </w:p>
    <w:p w:rsidR="000A22D6" w:rsidRPr="00B70E82" w:rsidRDefault="000A22D6" w:rsidP="000A22D6">
      <w:pPr>
        <w:pStyle w:val="H1GR"/>
      </w:pPr>
      <w:r w:rsidRPr="00B70E82">
        <w:lastRenderedPageBreak/>
        <w:tab/>
      </w:r>
      <w:r w:rsidRPr="00B70E82">
        <w:tab/>
        <w:t>Самостоятельный образ жизни и вовлеченность в местное сообщество</w:t>
      </w:r>
      <w:bookmarkStart w:id="21" w:name="_Toc494819939"/>
      <w:bookmarkEnd w:id="21"/>
    </w:p>
    <w:p w:rsidR="000A22D6" w:rsidRPr="00B70E82" w:rsidRDefault="000A22D6" w:rsidP="000A22D6">
      <w:pPr>
        <w:pStyle w:val="SingleTxtGR"/>
      </w:pPr>
      <w:r w:rsidRPr="00B70E82">
        <w:t>59.</w:t>
      </w:r>
      <w:r w:rsidRPr="00B70E82">
        <w:tab/>
        <w:t>Законодательство Мьянмы не предусматривает никаких ограничений самостоятельной жизни, поэтому инвалиды</w:t>
      </w:r>
      <w:r w:rsidR="009C543B">
        <w:t xml:space="preserve"> </w:t>
      </w:r>
      <w:r w:rsidRPr="00B70E82">
        <w:t>вправе выбирать вариант оказания персональной помощи. Департамент социального обеспечения оказывает содействие и поддержку организациям, занимающимся проблемами инвалидности, в вопросах технической поддержки и учебной подготовки для целей персональной помощи инвалидам. Для обеспечения достойной жизни в обществе оказываются услуги по поддержанию мобильности на дому; эти услуги предоставляются по линии местных проектов реабилитации и программ ухода на дому, а также в рамках плановых мероприятий ресурсных центров по проблемам инвалидности.</w:t>
      </w:r>
    </w:p>
    <w:p w:rsidR="000A22D6" w:rsidRPr="00B70E82" w:rsidRDefault="000A22D6" w:rsidP="000A22D6">
      <w:pPr>
        <w:pStyle w:val="SingleTxtGR"/>
      </w:pPr>
      <w:r w:rsidRPr="00B70E82">
        <w:t>60.</w:t>
      </w:r>
      <w:r w:rsidRPr="00B70E82">
        <w:tab/>
        <w:t>По сравнению с другими людьми инвалиды имеют более ограниченный доступ к социально-экономическим услугам, предоставляемым населению. Ввиду этого организуются информационно-разъяснительные кампании в целях поощрения вовлечения инвалидов</w:t>
      </w:r>
      <w:r w:rsidR="009C543B">
        <w:t xml:space="preserve"> </w:t>
      </w:r>
      <w:r w:rsidRPr="00B70E82">
        <w:t>в программы развития на местном уровне с</w:t>
      </w:r>
      <w:r w:rsidR="009C543B">
        <w:t> </w:t>
      </w:r>
      <w:r w:rsidRPr="00B70E82">
        <w:t>обеспечением их доступности.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Индивидуальная мобильность</w:t>
      </w:r>
      <w:bookmarkStart w:id="22" w:name="_Toc494819940"/>
      <w:bookmarkEnd w:id="22"/>
    </w:p>
    <w:p w:rsidR="000A22D6" w:rsidRPr="00B70E82" w:rsidRDefault="000A22D6" w:rsidP="000A22D6">
      <w:pPr>
        <w:pStyle w:val="SingleTxtGR"/>
      </w:pPr>
      <w:r w:rsidRPr="00B70E82">
        <w:t>61.</w:t>
      </w:r>
      <w:r w:rsidRPr="00B70E82">
        <w:tab/>
        <w:t>В Мьянме крайне необходимо активизировать усилия по оказанию помощи в обеспечении индивидуальной мобильности инвалидов, включая пользование сигнализаторами и уличными указателями для доступности. Проект закона о правах инвалидов</w:t>
      </w:r>
      <w:r w:rsidR="009C543B">
        <w:t xml:space="preserve"> </w:t>
      </w:r>
      <w:r w:rsidRPr="00B70E82">
        <w:t>предусматривает меры по обеспечению доступности в целях мобильности инвалидов, применение универсального дизайна для удовлетворения требований доступности для инвалидов</w:t>
      </w:r>
      <w:r w:rsidR="009C543B">
        <w:t xml:space="preserve"> </w:t>
      </w:r>
      <w:r w:rsidRPr="00B70E82">
        <w:t>в общественных зданиях, на</w:t>
      </w:r>
      <w:r w:rsidR="009C543B">
        <w:t> </w:t>
      </w:r>
      <w:r w:rsidRPr="00B70E82">
        <w:t>транспорте, в больницах и школах, а также необходимое обустройство помещений для обеспечения инвалидам</w:t>
      </w:r>
      <w:r w:rsidR="009C543B">
        <w:t xml:space="preserve"> </w:t>
      </w:r>
      <w:r w:rsidRPr="00B70E82">
        <w:t>доступа к информации и средствам коммуникации.</w:t>
      </w:r>
    </w:p>
    <w:p w:rsidR="000A22D6" w:rsidRPr="00B70E82" w:rsidRDefault="000A22D6" w:rsidP="000A22D6">
      <w:pPr>
        <w:pStyle w:val="SingleTxtGR"/>
      </w:pPr>
      <w:r w:rsidRPr="00B70E82">
        <w:t>62.</w:t>
      </w:r>
      <w:r w:rsidRPr="00B70E82">
        <w:tab/>
        <w:t>При поддержке международных специалистов в 2012</w:t>
      </w:r>
      <w:r w:rsidR="00C536E8">
        <w:t> году</w:t>
      </w:r>
      <w:r w:rsidRPr="00B70E82">
        <w:t xml:space="preserve"> учебные курсы</w:t>
      </w:r>
      <w:r w:rsidR="009C543B">
        <w:t> </w:t>
      </w:r>
      <w:r w:rsidRPr="00B70E82">
        <w:t>(ОО) по вопросам вспомогательных средств обеспечения мобильности дважды организовывались в учебных заведениях для инвалидов</w:t>
      </w:r>
      <w:r w:rsidRPr="00B70E82" w:rsidDel="00FB1C7B">
        <w:t xml:space="preserve"> </w:t>
      </w:r>
      <w:r w:rsidRPr="00B70E82">
        <w:t>(их прослушали 40</w:t>
      </w:r>
      <w:r w:rsidR="009C543B">
        <w:t> </w:t>
      </w:r>
      <w:r w:rsidRPr="00B70E82">
        <w:t>человек), и также дважды для широкой общественности (30</w:t>
      </w:r>
      <w:r w:rsidR="009C543B">
        <w:t> </w:t>
      </w:r>
      <w:r w:rsidRPr="00B70E82">
        <w:t>слушателей).</w:t>
      </w:r>
    </w:p>
    <w:p w:rsidR="000A22D6" w:rsidRPr="00B70E82" w:rsidRDefault="000A22D6" w:rsidP="000A22D6">
      <w:pPr>
        <w:pStyle w:val="SingleTxtGR"/>
      </w:pPr>
      <w:r w:rsidRPr="00B70E82">
        <w:t>63.</w:t>
      </w:r>
      <w:r w:rsidRPr="00B70E82">
        <w:tab/>
        <w:t>Что касается протезирования и ортезирования, то в 2012</w:t>
      </w:r>
      <w:r w:rsidR="00C536E8">
        <w:t> году</w:t>
      </w:r>
      <w:r w:rsidRPr="00B70E82">
        <w:t xml:space="preserve"> восемь </w:t>
      </w:r>
      <w:r w:rsidR="009C543B">
        <w:br/>
      </w:r>
      <w:r w:rsidRPr="00B70E82">
        <w:t>мастерских изготовили 1</w:t>
      </w:r>
      <w:r w:rsidR="009C543B">
        <w:t> </w:t>
      </w:r>
      <w:r w:rsidRPr="00B70E82">
        <w:t>672</w:t>
      </w:r>
      <w:r w:rsidR="009C543B">
        <w:t> </w:t>
      </w:r>
      <w:r w:rsidRPr="00B70E82">
        <w:t xml:space="preserve">протеза и ортеза. В настоящее время при поддержке Фонда </w:t>
      </w:r>
      <w:r w:rsidR="00C913D6">
        <w:t>«</w:t>
      </w:r>
      <w:r w:rsidRPr="00B70E82">
        <w:t>Ниппон</w:t>
      </w:r>
      <w:r w:rsidR="00C913D6">
        <w:t>»</w:t>
      </w:r>
      <w:r w:rsidRPr="00B70E82">
        <w:t xml:space="preserve"> создается центр протезирования и ортезирования на</w:t>
      </w:r>
      <w:r w:rsidR="009C543B">
        <w:t> </w:t>
      </w:r>
      <w:r w:rsidRPr="00B70E82">
        <w:t xml:space="preserve">базе Янгонского медицинского колледжа. Кроме того, Фонд </w:t>
      </w:r>
      <w:r w:rsidR="00C913D6">
        <w:t>«</w:t>
      </w:r>
      <w:r w:rsidRPr="00B70E82">
        <w:t>Ниппон</w:t>
      </w:r>
      <w:r w:rsidR="00C913D6">
        <w:t>»</w:t>
      </w:r>
      <w:r w:rsidRPr="00B70E82">
        <w:t xml:space="preserve"> предоставил для прохождения трехлетнего курса ОО одну стипендию в</w:t>
      </w:r>
      <w:r w:rsidR="009C543B">
        <w:t> </w:t>
      </w:r>
      <w:r w:rsidRPr="00B70E82">
        <w:t>2012</w:t>
      </w:r>
      <w:r w:rsidR="00C536E8">
        <w:t> году</w:t>
      </w:r>
      <w:r w:rsidRPr="00B70E82">
        <w:t xml:space="preserve"> и три </w:t>
      </w:r>
      <w:r w:rsidR="009C543B">
        <w:t>–</w:t>
      </w:r>
      <w:r w:rsidRPr="00B70E82">
        <w:t xml:space="preserve"> в 2013</w:t>
      </w:r>
      <w:r w:rsidR="00C536E8">
        <w:t> году</w:t>
      </w:r>
      <w:r w:rsidRPr="00B70E82">
        <w:t>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Свобода выражения мнения и убеждений и доступ к</w:t>
      </w:r>
      <w:r w:rsidR="009C543B">
        <w:t> </w:t>
      </w:r>
      <w:r w:rsidRPr="00B70E82">
        <w:t>информации</w:t>
      </w:r>
      <w:bookmarkStart w:id="23" w:name="_Toc494819941"/>
      <w:bookmarkEnd w:id="23"/>
    </w:p>
    <w:p w:rsidR="000A22D6" w:rsidRPr="00B70E82" w:rsidRDefault="000A22D6" w:rsidP="000A22D6">
      <w:pPr>
        <w:pStyle w:val="SingleTxtGR"/>
      </w:pPr>
      <w:r w:rsidRPr="00B70E82">
        <w:t>64.</w:t>
      </w:r>
      <w:r w:rsidRPr="00B70E82">
        <w:tab/>
        <w:t>Инвалиды</w:t>
      </w:r>
      <w:r w:rsidR="009C543B">
        <w:t xml:space="preserve"> </w:t>
      </w:r>
      <w:r w:rsidRPr="00B70E82">
        <w:t>в Мьянме имеют право на своевременное получение общедоступной информации без какой-либо дискриминации. Отмечен прогресс в работе по обеспечению новостных программ телевидения сурдопереводом. В отношении языков инвалидов</w:t>
      </w:r>
      <w:r w:rsidR="009C543B">
        <w:t xml:space="preserve"> </w:t>
      </w:r>
      <w:r w:rsidRPr="00B70E82">
        <w:t>в проекте закона о правах инвалидов официально признается и упоминается определение языка в соответствии с КПИ.</w:t>
      </w:r>
    </w:p>
    <w:p w:rsidR="000A22D6" w:rsidRPr="00B70E82" w:rsidRDefault="000A22D6" w:rsidP="000A22D6">
      <w:pPr>
        <w:pStyle w:val="SingleTxtGR"/>
      </w:pPr>
      <w:r w:rsidRPr="00B70E82">
        <w:t>65.</w:t>
      </w:r>
      <w:r w:rsidRPr="00B70E82">
        <w:tab/>
        <w:t xml:space="preserve">В Мьянме предстоит работа по повышению доступности Интернета для инвалидов, поскольку пока нет звукового программного обеспечения на мьянманском языке. Вместе с тем совместными усилиями Департамента социального обеспечения и </w:t>
      </w:r>
      <w:r w:rsidR="00C913D6">
        <w:t>«</w:t>
      </w:r>
      <w:r w:rsidRPr="00B70E82">
        <w:t>Лепрози мишн Мьянма</w:t>
      </w:r>
      <w:r w:rsidR="00C913D6">
        <w:t>»</w:t>
      </w:r>
      <w:r w:rsidRPr="00B70E82">
        <w:t xml:space="preserve"> создано программное обеспечение, в котором по системе Брайля поддерживаются шрифты для мья</w:t>
      </w:r>
      <w:r w:rsidR="00692C50">
        <w:t>н</w:t>
      </w:r>
      <w:r w:rsidRPr="00B70E82">
        <w:t>манского языка и которое позволяет людям с нарушениями зрения получить доступ к информа</w:t>
      </w:r>
      <w:r w:rsidRPr="00B70E82">
        <w:lastRenderedPageBreak/>
        <w:t>ции в Интернете. В настоящее время упомянутый департамент совместно с</w:t>
      </w:r>
      <w:r w:rsidR="009C543B">
        <w:t> </w:t>
      </w:r>
      <w:r w:rsidR="00C913D6">
        <w:t>«</w:t>
      </w:r>
      <w:r w:rsidRPr="00B70E82">
        <w:t>Лепрози мишн Мьянма</w:t>
      </w:r>
      <w:r w:rsidR="00C913D6">
        <w:t>»</w:t>
      </w:r>
      <w:r w:rsidRPr="00B70E82">
        <w:t xml:space="preserve"> и Мьянманской ассоциацией слепых разрабатывает звуковое программное обеспечение.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Неприкосновенность частной жизни</w:t>
      </w:r>
      <w:bookmarkStart w:id="24" w:name="_Toc494819942"/>
      <w:bookmarkEnd w:id="24"/>
    </w:p>
    <w:p w:rsidR="000A22D6" w:rsidRPr="00B70E82" w:rsidRDefault="000A22D6" w:rsidP="000A22D6">
      <w:pPr>
        <w:pStyle w:val="SingleTxtGR"/>
      </w:pPr>
      <w:r w:rsidRPr="00B70E82">
        <w:t>66.</w:t>
      </w:r>
      <w:r w:rsidRPr="00B70E82">
        <w:tab/>
        <w:t>В соответствии со статьей</w:t>
      </w:r>
      <w:r w:rsidR="009C543B">
        <w:t> </w:t>
      </w:r>
      <w:r w:rsidRPr="00B70E82">
        <w:t>354 Конституции любой гражданин, если это не противоречит законам, принятым для обеспечения безопасности Союза, торжества закона и порядка, мира и спокойствия в обществе и общественного порядка и морали, свободен в использовании следующих прав:</w:t>
      </w:r>
    </w:p>
    <w:p w:rsidR="000A22D6" w:rsidRPr="00B70E82" w:rsidRDefault="000A22D6" w:rsidP="000A22D6">
      <w:pPr>
        <w:pStyle w:val="SingleTxtGR"/>
      </w:pPr>
      <w:r w:rsidRPr="00B70E82">
        <w:tab/>
        <w:t>a)</w:t>
      </w:r>
      <w:r w:rsidRPr="00B70E82">
        <w:tab/>
        <w:t>свободно выражать и распространять свои убеждения и мнения;</w:t>
      </w:r>
    </w:p>
    <w:p w:rsidR="000A22D6" w:rsidRPr="00B70E82" w:rsidRDefault="000A22D6" w:rsidP="000A22D6">
      <w:pPr>
        <w:pStyle w:val="SingleTxtGR"/>
      </w:pPr>
      <w:r w:rsidRPr="00B70E82">
        <w:tab/>
        <w:t>b)</w:t>
      </w:r>
      <w:r w:rsidRPr="00B70E82">
        <w:tab/>
        <w:t>собираться мирно и без оружия, проводить митинги и демонстрации;</w:t>
      </w:r>
    </w:p>
    <w:p w:rsidR="000A22D6" w:rsidRPr="00B70E82" w:rsidRDefault="000A22D6" w:rsidP="000A22D6">
      <w:pPr>
        <w:pStyle w:val="SingleTxtGR"/>
      </w:pPr>
      <w:r w:rsidRPr="00B70E82">
        <w:tab/>
        <w:t>c)</w:t>
      </w:r>
      <w:r w:rsidRPr="00B70E82">
        <w:tab/>
        <w:t>создавать ассоциации и организации;</w:t>
      </w:r>
    </w:p>
    <w:p w:rsidR="000A22D6" w:rsidRPr="00B70E82" w:rsidRDefault="000A22D6" w:rsidP="000A22D6">
      <w:pPr>
        <w:pStyle w:val="SingleTxtGR"/>
      </w:pPr>
      <w:r w:rsidRPr="00B70E82">
        <w:tab/>
        <w:t>d)</w:t>
      </w:r>
      <w:r w:rsidRPr="00B70E82">
        <w:tab/>
        <w:t>развивать свой язык, литературу, культуру, которые он ценит и любит, религию, которую он исповедует, и свои обычаи без ущерба для межнациональных отношений и других конфессий.</w:t>
      </w:r>
    </w:p>
    <w:p w:rsidR="000A22D6" w:rsidRPr="00B70E82" w:rsidRDefault="000A22D6" w:rsidP="000A22D6">
      <w:pPr>
        <w:pStyle w:val="SingleTxtGR"/>
      </w:pPr>
      <w:r w:rsidRPr="00B70E82">
        <w:t>67.</w:t>
      </w:r>
      <w:r w:rsidRPr="00B70E82">
        <w:tab/>
        <w:t>В статье 357 также оговорено, что Союз охраняет частную жизнь и обеспечивает безопасность жилища, собственности, переписки и других видов коммуникаций граждан на основании закона и в соответствии с положениями Конституции.</w:t>
      </w:r>
    </w:p>
    <w:p w:rsidR="000A22D6" w:rsidRPr="00B70E82" w:rsidRDefault="000A22D6" w:rsidP="000A22D6">
      <w:pPr>
        <w:pStyle w:val="SingleTxtGR"/>
      </w:pPr>
      <w:r w:rsidRPr="00B70E82">
        <w:t>68.</w:t>
      </w:r>
      <w:r w:rsidRPr="00B70E82">
        <w:tab/>
        <w:t>В Мьянме некоторые семьи излишне опекают инвалидов, при этом некоторые не желают демонстрировать своих родственников-инвалидов. Ввиду этого с использованием возможностей государственных средств массовой информации, в частности документальных видеофильмов, радиопередач и газет, осуществляются информационно-просветительские программы по вопросам инвалидности. Кроме того, населению регулярно демонстрируются возможности и</w:t>
      </w:r>
      <w:r w:rsidR="009C543B">
        <w:t> </w:t>
      </w:r>
      <w:r w:rsidRPr="00B70E82">
        <w:t>выдающиеся достижения инвалидов.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Уважение дома и семьи</w:t>
      </w:r>
      <w:bookmarkStart w:id="25" w:name="_Toc494819943"/>
      <w:bookmarkEnd w:id="25"/>
    </w:p>
    <w:p w:rsidR="000A22D6" w:rsidRPr="00B70E82" w:rsidRDefault="000A22D6" w:rsidP="000A22D6">
      <w:pPr>
        <w:pStyle w:val="SingleTxtGR"/>
      </w:pPr>
      <w:r w:rsidRPr="00B70E82">
        <w:t>69.</w:t>
      </w:r>
      <w:r w:rsidRPr="00B70E82">
        <w:tab/>
        <w:t>Инвалиды</w:t>
      </w:r>
      <w:r w:rsidR="009C543B">
        <w:t xml:space="preserve"> </w:t>
      </w:r>
      <w:r w:rsidRPr="00B70E82">
        <w:t>свободны в реализации права на вступление в брак и на семейную жизнь по своему собственному усмотрению в соответствии с религиозными традициями, обычаями и действующим законодательством.</w:t>
      </w:r>
    </w:p>
    <w:p w:rsidR="000A22D6" w:rsidRPr="00B70E82" w:rsidRDefault="000A22D6" w:rsidP="000A22D6">
      <w:pPr>
        <w:pStyle w:val="SingleTxtGR"/>
      </w:pPr>
      <w:r w:rsidRPr="00B70E82">
        <w:t>70.</w:t>
      </w:r>
      <w:r w:rsidRPr="00B70E82">
        <w:tab/>
        <w:t>Необходимо активизировать реализацию программ повышения осведомленности в вопросах планирования семьи, репродуктивного здоровья и усыновления или взятия под опеку инвалидов, поскольку такие программы не относятся к числу основных при осуществлении мероприятий по охране здоровья населения. Планы будущей работы по вопросам репродуктивного здоровья учитываются в рамках анализа сотрудничества различных заинтересованных сторон, включая государственные учреждения, международные и местные организации, в целях расширения и повышения качества</w:t>
      </w:r>
      <w:r w:rsidR="00C913D6">
        <w:t xml:space="preserve"> </w:t>
      </w:r>
      <w:r w:rsidRPr="00B70E82">
        <w:t>услуг в области репродуктивного здоровья, предоставляемых инвалидам, и включения представителей организаций инвалидов и организаций, защищающих их интересы, в состав созданного в структуре Министерства здравоохранения рабочего комитета по вопросам репродуктивного здоровья. При разработке стратегического плана охраны репродуктивного здоровья на 2014</w:t>
      </w:r>
      <w:r w:rsidR="009C543B">
        <w:t>–</w:t>
      </w:r>
      <w:r w:rsidRPr="00B70E82">
        <w:t>2019</w:t>
      </w:r>
      <w:r w:rsidR="009C543B">
        <w:t> </w:t>
      </w:r>
      <w:r w:rsidRPr="00B70E82">
        <w:t xml:space="preserve">годы будет рассматриваться возможность включения вопросов репродуктивного здоровья инвалидов, разработки законодательных актов, мер политики и рекомендаций в отношении репродуктивного здоровья в соответствии с Конвенцией о правах инвалидов, поощрения осуществления программ по повышению информированности населения в вопросах здоровья, включая поставщиков услуг в различных секторах, в целях борьбы с заблуждениями и мифами по поводу инвалидности и с практикой дискриминации инвалидов, а также планирования мероприятий, призванных </w:t>
      </w:r>
      <w:r w:rsidRPr="00B70E82">
        <w:lastRenderedPageBreak/>
        <w:t>обеспечить доступность</w:t>
      </w:r>
      <w:r w:rsidR="00C913D6">
        <w:t xml:space="preserve"> </w:t>
      </w:r>
      <w:r w:rsidRPr="00B70E82">
        <w:t>услуг по охране репродуктивного здоровья для инвалидов.</w:t>
      </w:r>
    </w:p>
    <w:p w:rsidR="000A22D6" w:rsidRPr="00B70E82" w:rsidRDefault="000A22D6" w:rsidP="000A22D6">
      <w:pPr>
        <w:pStyle w:val="SingleTxtGR"/>
      </w:pPr>
      <w:r w:rsidRPr="00B70E82">
        <w:t>71.</w:t>
      </w:r>
      <w:r w:rsidRPr="00B70E82">
        <w:tab/>
        <w:t>Все дети, включая детей-инвалидов, находятся под защитой закона, поскольку согласно статье</w:t>
      </w:r>
      <w:r w:rsidR="003541B8">
        <w:t> </w:t>
      </w:r>
      <w:r w:rsidRPr="00B70E82">
        <w:t>12 Закона о детях (1993</w:t>
      </w:r>
      <w:r w:rsidR="00C913D6">
        <w:t> года</w:t>
      </w:r>
      <w:r w:rsidRPr="00B70E82">
        <w:t>) каждый ребенок:</w:t>
      </w:r>
    </w:p>
    <w:p w:rsidR="000A22D6" w:rsidRPr="00B70E82" w:rsidRDefault="000A22D6" w:rsidP="000A22D6">
      <w:pPr>
        <w:pStyle w:val="SingleTxtGR"/>
      </w:pPr>
      <w:r w:rsidRPr="00B70E82">
        <w:tab/>
        <w:t>a)</w:t>
      </w:r>
      <w:r w:rsidRPr="00B70E82">
        <w:tab/>
        <w:t>имеет право жить и воспитываться у обоих родителей или любого из них, если они живы;</w:t>
      </w:r>
    </w:p>
    <w:p w:rsidR="000A22D6" w:rsidRPr="00B70E82" w:rsidRDefault="000A22D6" w:rsidP="000A22D6">
      <w:pPr>
        <w:pStyle w:val="SingleTxtGR"/>
      </w:pPr>
      <w:r w:rsidRPr="00B70E82">
        <w:tab/>
        <w:t>b)</w:t>
      </w:r>
      <w:r w:rsidRPr="00B70E82">
        <w:tab/>
        <w:t>не может принудительно разлучаться со своими родителями, за исключением тех случаев, когда в соответствии с законом разлучение необходимо в наилучших интересах ребенка.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Образование</w:t>
      </w:r>
      <w:bookmarkStart w:id="26" w:name="_Toc494819944"/>
      <w:bookmarkEnd w:id="26"/>
    </w:p>
    <w:p w:rsidR="000A22D6" w:rsidRPr="00B70E82" w:rsidRDefault="000A22D6" w:rsidP="000A22D6">
      <w:pPr>
        <w:pStyle w:val="SingleTxtGR"/>
      </w:pPr>
      <w:r w:rsidRPr="00B70E82">
        <w:t>72.</w:t>
      </w:r>
      <w:r w:rsidRPr="00B70E82">
        <w:tab/>
        <w:t>Согласно статье</w:t>
      </w:r>
      <w:r w:rsidR="003541B8">
        <w:t> </w:t>
      </w:r>
      <w:r w:rsidRPr="00B70E82">
        <w:t>366 Конституции каждый гражданин в соответствии с</w:t>
      </w:r>
      <w:r w:rsidR="003541B8">
        <w:t> </w:t>
      </w:r>
      <w:r w:rsidRPr="00B70E82">
        <w:t>политикой Союза в области образования:</w:t>
      </w:r>
    </w:p>
    <w:p w:rsidR="000A22D6" w:rsidRPr="00B70E82" w:rsidRDefault="000A22D6" w:rsidP="000A22D6">
      <w:pPr>
        <w:pStyle w:val="SingleTxtGR"/>
      </w:pPr>
      <w:r w:rsidRPr="00B70E82">
        <w:tab/>
        <w:t>a)</w:t>
      </w:r>
      <w:r w:rsidRPr="00B70E82">
        <w:tab/>
        <w:t>имеет право на образование;</w:t>
      </w:r>
    </w:p>
    <w:p w:rsidR="000A22D6" w:rsidRPr="00B70E82" w:rsidRDefault="000A22D6" w:rsidP="000A22D6">
      <w:pPr>
        <w:pStyle w:val="SingleTxtGR"/>
      </w:pPr>
      <w:r w:rsidRPr="00B70E82">
        <w:tab/>
        <w:t>b)</w:t>
      </w:r>
      <w:r w:rsidRPr="00B70E82">
        <w:tab/>
        <w:t>получает базовое образование, которое Союз в законодательном порядке признал обязательным;</w:t>
      </w:r>
    </w:p>
    <w:p w:rsidR="000A22D6" w:rsidRPr="00B70E82" w:rsidRDefault="000A22D6" w:rsidP="000A22D6">
      <w:pPr>
        <w:pStyle w:val="SingleTxtGR"/>
      </w:pPr>
      <w:r w:rsidRPr="00B70E82">
        <w:tab/>
        <w:t>c)</w:t>
      </w:r>
      <w:r w:rsidRPr="00B70E82">
        <w:tab/>
        <w:t>имеет право на проведение научных исследований, изучение наук, творческий и писательский труд, развитие искусств и свободное изучение других отраслей культуры.</w:t>
      </w:r>
    </w:p>
    <w:p w:rsidR="000A22D6" w:rsidRPr="00B70E82" w:rsidRDefault="000A22D6" w:rsidP="000A22D6">
      <w:pPr>
        <w:pStyle w:val="SingleTxtGR"/>
      </w:pPr>
      <w:r w:rsidRPr="00B70E82">
        <w:t>73.</w:t>
      </w:r>
      <w:r w:rsidRPr="00B70E82">
        <w:tab/>
        <w:t>В подпункте</w:t>
      </w:r>
      <w:r w:rsidR="003541B8">
        <w:t> </w:t>
      </w:r>
      <w:r w:rsidRPr="00B70E82">
        <w:t>i) пункта</w:t>
      </w:r>
      <w:r w:rsidR="003541B8">
        <w:t> </w:t>
      </w:r>
      <w:r w:rsidRPr="00B70E82">
        <w:t xml:space="preserve">а) </w:t>
      </w:r>
      <w:r w:rsidR="00C536E8">
        <w:t>статьи </w:t>
      </w:r>
      <w:r w:rsidRPr="00B70E82">
        <w:t>18 Закона о детях (1993</w:t>
      </w:r>
      <w:r w:rsidR="00C913D6">
        <w:t> года</w:t>
      </w:r>
      <w:r w:rsidRPr="00B70E82">
        <w:t>) оговорено, что ребенок с умственными или физическими отклонениями имеет право на</w:t>
      </w:r>
      <w:r w:rsidR="003541B8">
        <w:t> </w:t>
      </w:r>
      <w:r w:rsidRPr="00B70E82">
        <w:t>получение базового образования (начальный уровень) или профессионально-технического образования в специальных школах, созданных Департаментом социального обеспечения или добровольными социальными работниками или неправительственной организацией.</w:t>
      </w:r>
    </w:p>
    <w:p w:rsidR="000A22D6" w:rsidRPr="00B70E82" w:rsidRDefault="000A22D6" w:rsidP="000D1E68">
      <w:pPr>
        <w:pStyle w:val="SingleTxtGR"/>
      </w:pPr>
      <w:r w:rsidRPr="00B70E82">
        <w:t>74.</w:t>
      </w:r>
      <w:r w:rsidRPr="00B70E82">
        <w:tab/>
      </w:r>
      <w:r w:rsidR="008D1BD1" w:rsidRPr="008D1BD1">
        <w:t>Под руководством Министерства по вопросам социального обеспечения, чрезвычайной помощи и переселения разработана и принята в 2013 году Мьянманская политика по вопросам ухода за детьми в раннем возрасте и их развития. В числе предусмотренных э</w:t>
      </w:r>
      <w:r w:rsidR="00A35E40">
        <w:t xml:space="preserve">той политикой десяти стратегий </w:t>
      </w:r>
      <w:r w:rsidR="008D1BD1" w:rsidRPr="008D1BD1">
        <w:t xml:space="preserve">развития детей-инвалидов касаются мероприятия по разработке эффективной программы перехода детей в возрасте от </w:t>
      </w:r>
      <w:r w:rsidR="000D1E68">
        <w:t>четырех</w:t>
      </w:r>
      <w:r w:rsidR="008D1BD1" w:rsidRPr="008D1BD1">
        <w:t xml:space="preserve"> до </w:t>
      </w:r>
      <w:r w:rsidR="000D1E68">
        <w:t>пяти</w:t>
      </w:r>
      <w:r w:rsidR="008D1BD1" w:rsidRPr="008D1BD1">
        <w:t xml:space="preserve"> лет из дома и дошкольного учреждения в</w:t>
      </w:r>
      <w:r w:rsidR="008D1BD1">
        <w:t> </w:t>
      </w:r>
      <w:r w:rsidR="008D1BD1" w:rsidRPr="008D1BD1">
        <w:t>инклюзивный детский сад и начальную школу, созданию безбарьерной среды для детей с ограниченными возможностями в системе дошкольного и начального школьного образования, обеспечению возможностей для обучения детей-инвалидов с упор</w:t>
      </w:r>
      <w:r w:rsidR="00A35E40">
        <w:t xml:space="preserve">ом на индивидуальное развитие, </w:t>
      </w:r>
      <w:r w:rsidR="008D1BD1" w:rsidRPr="008D1BD1">
        <w:t>расширению сети услуг для детей-инвалидов в штатах и областях и включению темы инвалидности в курс подготовки в рамках программы ухода за детьми в раннем возрасте и их развития.</w:t>
      </w:r>
    </w:p>
    <w:p w:rsidR="000A22D6" w:rsidRPr="00B70E82" w:rsidRDefault="000A22D6" w:rsidP="000A22D6">
      <w:pPr>
        <w:pStyle w:val="SingleTxtGR"/>
      </w:pPr>
      <w:r w:rsidRPr="00B70E82">
        <w:t>75.</w:t>
      </w:r>
      <w:r w:rsidRPr="00B70E82">
        <w:tab/>
        <w:t xml:space="preserve">В системе Департамента социального обеспечения два учебных центра занимаются вопросами инвалидности по зрению, один </w:t>
      </w:r>
      <w:r w:rsidR="00B87624">
        <w:t>–</w:t>
      </w:r>
      <w:r w:rsidRPr="00B70E82">
        <w:t xml:space="preserve"> инвалидности по слуху и еще один </w:t>
      </w:r>
      <w:r w:rsidR="003541B8">
        <w:t>–</w:t>
      </w:r>
      <w:r w:rsidRPr="00B70E82">
        <w:t xml:space="preserve"> детьми-инвалидами. Этими учебными центрами принимаются необходимые меры для обеспечения получения образования всеми инвалидами, в</w:t>
      </w:r>
      <w:r w:rsidR="003541B8">
        <w:t> </w:t>
      </w:r>
      <w:r w:rsidRPr="00B70E82">
        <w:t xml:space="preserve">том числе на уровне начального образования в форме специального обучения с использованием методик, разработанных с учетом инвалидности, и на уровне среднего, полного среднего и высшего образования </w:t>
      </w:r>
      <w:r w:rsidR="003541B8">
        <w:t>–</w:t>
      </w:r>
      <w:r w:rsidRPr="00B70E82">
        <w:t xml:space="preserve"> в рамках инклюзивного образования. Кроме того, другими организациями гражданского общества и</w:t>
      </w:r>
      <w:r w:rsidR="003541B8">
        <w:t> </w:t>
      </w:r>
      <w:r w:rsidRPr="00B70E82">
        <w:t>частными организациями создано шесть учебных заведений для учащихся с</w:t>
      </w:r>
      <w:r w:rsidR="003541B8">
        <w:t> </w:t>
      </w:r>
      <w:r w:rsidRPr="00B70E82">
        <w:t>нарушениями зрения, одна школа для учащихся с инвалидностью по слуху и</w:t>
      </w:r>
      <w:r w:rsidR="003541B8">
        <w:t> </w:t>
      </w:r>
      <w:r w:rsidRPr="00B70E82">
        <w:t>шесть специальных школ для детей с умственными и физическими отклонениями. В 2012</w:t>
      </w:r>
      <w:r w:rsidR="00C536E8">
        <w:t> году</w:t>
      </w:r>
      <w:r w:rsidRPr="00B70E82">
        <w:t xml:space="preserve"> учились 1</w:t>
      </w:r>
      <w:r w:rsidR="003541B8">
        <w:t> </w:t>
      </w:r>
      <w:r w:rsidRPr="00B70E82">
        <w:t>513</w:t>
      </w:r>
      <w:r w:rsidR="003541B8">
        <w:t> </w:t>
      </w:r>
      <w:r w:rsidRPr="00B70E82">
        <w:t>инвалидов. В том числе 1</w:t>
      </w:r>
      <w:r w:rsidR="003541B8">
        <w:t> </w:t>
      </w:r>
      <w:r w:rsidRPr="00B70E82">
        <w:t xml:space="preserve">306 из них учились в школах, а 207 проходили обучение в рамках программ профессиональной подготовки. В настоящее время в Департаменте социального обеспечения ведется </w:t>
      </w:r>
      <w:r w:rsidRPr="00B70E82">
        <w:lastRenderedPageBreak/>
        <w:t>работа по созданию в 2014</w:t>
      </w:r>
      <w:r w:rsidR="00C536E8">
        <w:t> году</w:t>
      </w:r>
      <w:r w:rsidRPr="00B70E82">
        <w:t xml:space="preserve"> новых школ, соответственно</w:t>
      </w:r>
      <w:r w:rsidR="00144089">
        <w:t>,</w:t>
      </w:r>
      <w:r w:rsidRPr="00B70E82">
        <w:t xml:space="preserve"> для детей с умственными отклонениями и с инвалидностью по слуху.</w:t>
      </w:r>
    </w:p>
    <w:p w:rsidR="000A22D6" w:rsidRPr="00B70E82" w:rsidRDefault="000A22D6" w:rsidP="000A22D6">
      <w:pPr>
        <w:pStyle w:val="SingleTxtGR"/>
      </w:pPr>
      <w:r w:rsidRPr="00B70E82">
        <w:t>76.</w:t>
      </w:r>
      <w:r w:rsidRPr="00B70E82">
        <w:tab/>
        <w:t>В рамках внедрения инклюзивного образования Министерство образования будет организовывать специализированные курсы подготовки преподавателей по вопросам инвалидности и разрабатывать учебные программы с применением специальных методик обучения с учетом специфики каждого типа инвалидности для системы ОО, колледжей и университетов. В настоящее время Министерство рассматривает вопрос выделения дополнительного числа преподавателей, способных обучать учащихся с инвалидностью.</w:t>
      </w:r>
    </w:p>
    <w:p w:rsidR="000A22D6" w:rsidRPr="00B70E82" w:rsidRDefault="000A22D6" w:rsidP="000A22D6">
      <w:pPr>
        <w:pStyle w:val="SingleTxtGR"/>
      </w:pPr>
      <w:r w:rsidRPr="00B70E82">
        <w:t>77.</w:t>
      </w:r>
      <w:r w:rsidRPr="00B70E82">
        <w:tab/>
        <w:t>По данным обследования 2008</w:t>
      </w:r>
      <w:r w:rsidR="003541B8">
        <w:t>–</w:t>
      </w:r>
      <w:r w:rsidRPr="00B70E82">
        <w:t>2009</w:t>
      </w:r>
      <w:r w:rsidR="003541B8">
        <w:t> </w:t>
      </w:r>
      <w:r w:rsidRPr="00B70E82">
        <w:t>годов в школе учились лишь 47%</w:t>
      </w:r>
      <w:r w:rsidR="003541B8">
        <w:t> </w:t>
      </w:r>
      <w:r w:rsidRPr="00B70E82">
        <w:t>контингента инвалидов, а высшее образование получили только 2%. С точки зрения равенства мужчин и женщин выяснилось, что в случае мужчин и</w:t>
      </w:r>
      <w:r w:rsidR="003541B8">
        <w:t> </w:t>
      </w:r>
      <w:r w:rsidRPr="00B70E82">
        <w:t xml:space="preserve">женщин с инвалидностью большого разрыва нет: для мужчин этот показатель составляет 55,9%, а женщин </w:t>
      </w:r>
      <w:r w:rsidR="003541B8">
        <w:t>–</w:t>
      </w:r>
      <w:r w:rsidRPr="00B70E82">
        <w:t xml:space="preserve"> 49,2%. Организациями гражданского общества, организациями инвалидов</w:t>
      </w:r>
      <w:r w:rsidR="00692C50">
        <w:t xml:space="preserve"> </w:t>
      </w:r>
      <w:r w:rsidRPr="00B70E82">
        <w:t>и государственными и волонтерскими организациями при составлении программ реабилитации на местах в соответствующих областях деятельности принимаются необходимые меры для обучения детей-инвалидов.</w:t>
      </w:r>
    </w:p>
    <w:p w:rsidR="000A22D6" w:rsidRPr="00B70E82" w:rsidRDefault="000A22D6" w:rsidP="000A22D6">
      <w:pPr>
        <w:pStyle w:val="SingleTxtGR"/>
      </w:pPr>
      <w:r w:rsidRPr="00B70E82">
        <w:t>78.</w:t>
      </w:r>
      <w:r w:rsidRPr="00B70E82">
        <w:tab/>
        <w:t>Инвалиды, их семьи и население в целом не всегда осведомлены о праве на образование, хотя у инвалидов имеются возможности получения образования. Кроме того, признано необходимым решать проблемы нехватки школ, отвечающих требованиям доступности, и специалистов по разработке специальных систем образования с учетом всех видов инвалидности. Ввиду этого Министерство образования будет продолжать прилагать усилия по повышению роли инвалидов</w:t>
      </w:r>
      <w:r w:rsidR="003541B8">
        <w:t xml:space="preserve"> </w:t>
      </w:r>
      <w:r w:rsidRPr="00B70E82">
        <w:t>в сфере и системе образования.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Здравоохранение</w:t>
      </w:r>
      <w:bookmarkStart w:id="27" w:name="_Toc494819945"/>
      <w:bookmarkEnd w:id="27"/>
    </w:p>
    <w:p w:rsidR="000A22D6" w:rsidRPr="00B70E82" w:rsidRDefault="000A22D6" w:rsidP="000A22D6">
      <w:pPr>
        <w:pStyle w:val="SingleTxtGR"/>
      </w:pPr>
      <w:r w:rsidRPr="00B70E82">
        <w:t>79.</w:t>
      </w:r>
      <w:r w:rsidRPr="00B70E82">
        <w:tab/>
        <w:t>В статье</w:t>
      </w:r>
      <w:r w:rsidR="003541B8">
        <w:t> </w:t>
      </w:r>
      <w:r w:rsidRPr="00B70E82">
        <w:t>367 Конституции указано, что каждый гражданин в соответствии с политикой здравоохранения Союза имеет право на охрану здоровья.</w:t>
      </w:r>
    </w:p>
    <w:p w:rsidR="000A22D6" w:rsidRPr="00B70E82" w:rsidRDefault="000A22D6" w:rsidP="000A22D6">
      <w:pPr>
        <w:pStyle w:val="SingleTxtGR"/>
      </w:pPr>
      <w:r w:rsidRPr="00B70E82">
        <w:t>80.</w:t>
      </w:r>
      <w:r w:rsidRPr="00B70E82">
        <w:tab/>
        <w:t>В отношении здоровья инвалидов</w:t>
      </w:r>
      <w:r w:rsidR="003541B8">
        <w:t xml:space="preserve"> </w:t>
      </w:r>
      <w:r w:rsidRPr="00B70E82">
        <w:t>в проекте документа о правах лиц инвалидов</w:t>
      </w:r>
      <w:r w:rsidR="003541B8">
        <w:t xml:space="preserve"> </w:t>
      </w:r>
      <w:r w:rsidRPr="00B70E82">
        <w:t>предусмотрена глава, посвященная ранней диагностике и лечению инвалидности, участию инвалидов в определении категорий степени инвалидности и анализу обеспечения для инвалидов доступных медицинских услуг того же качества, что и для других категорий населения.</w:t>
      </w:r>
    </w:p>
    <w:p w:rsidR="000A22D6" w:rsidRPr="00B70E82" w:rsidRDefault="000A22D6" w:rsidP="000A22D6">
      <w:pPr>
        <w:pStyle w:val="SingleTxtGR"/>
      </w:pPr>
      <w:r w:rsidRPr="00B70E82">
        <w:t>81.</w:t>
      </w:r>
      <w:r w:rsidRPr="00B70E82">
        <w:tab/>
        <w:t>В Мьянме нужно перевести осуществление программы ранней диагностики на постоянную основу. Медицинское обслуживание детей-инвалидов и</w:t>
      </w:r>
      <w:r w:rsidR="003541B8">
        <w:t> </w:t>
      </w:r>
      <w:r w:rsidRPr="00B70E82">
        <w:t>оказание им медицинской помощи зачастую организовано в коммунальных медицинских центрах. В этой связи необходимо особо отметить необходимость организации в таких центрах служб лечебно-терапевтического вмешательства в</w:t>
      </w:r>
      <w:r w:rsidR="003541B8">
        <w:t> </w:t>
      </w:r>
      <w:r w:rsidRPr="00B70E82">
        <w:t>раннем детском возрасте.</w:t>
      </w:r>
    </w:p>
    <w:p w:rsidR="000A22D6" w:rsidRPr="00B70E82" w:rsidRDefault="000A22D6" w:rsidP="00605EC2">
      <w:pPr>
        <w:pStyle w:val="SingleTxtGR"/>
      </w:pPr>
      <w:r w:rsidRPr="00B70E82">
        <w:t>82.</w:t>
      </w:r>
      <w:r w:rsidRPr="00B70E82">
        <w:tab/>
        <w:t xml:space="preserve">Третье стратегическое направление </w:t>
      </w:r>
      <w:r w:rsidR="003541B8">
        <w:t>–</w:t>
      </w:r>
      <w:r w:rsidR="00C913D6">
        <w:t xml:space="preserve"> </w:t>
      </w:r>
      <w:r w:rsidRPr="00B70E82">
        <w:t xml:space="preserve">услуги лечебно-терапевтического вмешательства в раннем детском возрасте (для возрастной группы </w:t>
      </w:r>
      <w:r w:rsidR="008D5096">
        <w:br/>
      </w:r>
      <w:r w:rsidRPr="00B70E82">
        <w:t xml:space="preserve">до </w:t>
      </w:r>
      <w:r w:rsidR="00605EC2">
        <w:t>пяти</w:t>
      </w:r>
      <w:r w:rsidR="008D5096">
        <w:t> </w:t>
      </w:r>
      <w:r w:rsidRPr="00B70E82">
        <w:t>лет)</w:t>
      </w:r>
      <w:r w:rsidR="003541B8">
        <w:t> –</w:t>
      </w:r>
      <w:r w:rsidRPr="00B70E82">
        <w:t xml:space="preserve"> в рамках Мьянманской политики по вопросам ухода за детьми в</w:t>
      </w:r>
      <w:r w:rsidR="008D5096">
        <w:t> </w:t>
      </w:r>
      <w:r w:rsidRPr="00B70E82">
        <w:t>раннем возрасте и их развития (2013</w:t>
      </w:r>
      <w:r w:rsidR="00C913D6">
        <w:t> года</w:t>
      </w:r>
      <w:r w:rsidRPr="00B70E82">
        <w:t>) ориентировано на создание, совершенствование и расширение служб лечебно-терапевтического вмешательства и реабилитации в раннем детском возрасте, чтобы помочь каждому ребенку в полной мере реализовать свои возможности, а также не допускать дискриминации и</w:t>
      </w:r>
      <w:r w:rsidR="008D5096">
        <w:t xml:space="preserve"> </w:t>
      </w:r>
      <w:r w:rsidRPr="00B70E82">
        <w:t>стигматизации детей-инвалидов и обеспечить оказание поддержки их семьям.</w:t>
      </w:r>
    </w:p>
    <w:p w:rsidR="000A22D6" w:rsidRPr="00B70E82" w:rsidRDefault="000A22D6" w:rsidP="000A22D6">
      <w:pPr>
        <w:pStyle w:val="SingleTxtGR"/>
      </w:pPr>
      <w:r w:rsidRPr="00B70E82">
        <w:t>83.</w:t>
      </w:r>
      <w:r w:rsidRPr="00B70E82">
        <w:tab/>
        <w:t>В рамках сотрудничества Министерства здравоохранения и Японского агентства по международному сотрудничеству был разработан пятилетний проект реабилитационных мероприятий (на 2008</w:t>
      </w:r>
      <w:r w:rsidR="003541B8">
        <w:t>–</w:t>
      </w:r>
      <w:r w:rsidRPr="00B70E82">
        <w:t>2013</w:t>
      </w:r>
      <w:r w:rsidR="003541B8">
        <w:t> </w:t>
      </w:r>
      <w:r w:rsidRPr="00B70E82">
        <w:t>годы), по линии которого осуществлялось 16</w:t>
      </w:r>
      <w:r w:rsidR="003541B8">
        <w:t> </w:t>
      </w:r>
      <w:r w:rsidRPr="00B70E82">
        <w:t xml:space="preserve">рассчитанных на медицинский персонал программ </w:t>
      </w:r>
      <w:r w:rsidR="00C913D6">
        <w:t>«</w:t>
      </w:r>
      <w:r w:rsidRPr="00B70E82">
        <w:t>обучения обучающих</w:t>
      </w:r>
      <w:r w:rsidR="00C913D6">
        <w:t>»</w:t>
      </w:r>
      <w:r w:rsidRPr="00B70E82">
        <w:t xml:space="preserve"> (1</w:t>
      </w:r>
      <w:r w:rsidR="003541B8">
        <w:t> </w:t>
      </w:r>
      <w:r w:rsidRPr="00B70E82">
        <w:t>665</w:t>
      </w:r>
      <w:r w:rsidR="003541B8">
        <w:t> </w:t>
      </w:r>
      <w:r w:rsidRPr="00B70E82">
        <w:t>сотрудников), с уделением особого внимания пациен</w:t>
      </w:r>
      <w:r w:rsidRPr="00B70E82">
        <w:lastRenderedPageBreak/>
        <w:t>там с церебральным параличом и перенесшим инсульт и травмы позвоночника. В связи с уходом за инвалидами вследствие соматических нарушений среди медицинского персонала в сельских районах было распространено более 180</w:t>
      </w:r>
      <w:r w:rsidR="003541B8">
        <w:t> </w:t>
      </w:r>
      <w:r w:rsidRPr="00B70E82">
        <w:t>000</w:t>
      </w:r>
      <w:r w:rsidR="003541B8">
        <w:t> </w:t>
      </w:r>
      <w:r w:rsidRPr="00B70E82">
        <w:t>экземпляров журналов со статьями, посвященными этому виду инвалидности и соответствующим методам лечения. Было организовано шесть конференций по вопросам реабилитации; проведены работы по модернизации Национальной реабилитационной больницы.</w:t>
      </w:r>
    </w:p>
    <w:p w:rsidR="000A22D6" w:rsidRPr="00B70E82" w:rsidRDefault="000A22D6" w:rsidP="000A22D6">
      <w:pPr>
        <w:pStyle w:val="SingleTxtGR"/>
      </w:pPr>
      <w:r w:rsidRPr="00B70E82">
        <w:t>84.</w:t>
      </w:r>
      <w:r w:rsidRPr="00B70E82">
        <w:tab/>
        <w:t>Министерство здравоохранения осуществляет программы медицинского обслуживания на местном уровне с 1982</w:t>
      </w:r>
      <w:r w:rsidR="00C913D6">
        <w:t> года</w:t>
      </w:r>
      <w:r w:rsidRPr="00B70E82">
        <w:t>. В 2012</w:t>
      </w:r>
      <w:r w:rsidR="00C536E8">
        <w:t> году</w:t>
      </w:r>
      <w:r w:rsidRPr="00B70E82">
        <w:t xml:space="preserve"> такими услугами было охвачено около 1</w:t>
      </w:r>
      <w:r w:rsidR="003541B8">
        <w:t> </w:t>
      </w:r>
      <w:r w:rsidRPr="00B70E82">
        <w:t>млн</w:t>
      </w:r>
      <w:r w:rsidR="003541B8">
        <w:t> </w:t>
      </w:r>
      <w:r w:rsidRPr="00B70E82">
        <w:t>человек, в том числе инвалиды, в 785</w:t>
      </w:r>
      <w:r w:rsidR="003541B8">
        <w:t> </w:t>
      </w:r>
      <w:r w:rsidRPr="00B70E82">
        <w:t>деревнях 31</w:t>
      </w:r>
      <w:r w:rsidR="003541B8">
        <w:t> </w:t>
      </w:r>
      <w:r w:rsidRPr="00B70E82">
        <w:t>района. В целях профилактики причин инвалидности в связи с ревматическими заболеваниями проводятся просветительские беседы и организуются презентации.</w:t>
      </w:r>
    </w:p>
    <w:p w:rsidR="000A22D6" w:rsidRPr="00B70E82" w:rsidRDefault="000A22D6" w:rsidP="000A22D6">
      <w:pPr>
        <w:pStyle w:val="SingleTxtGR"/>
      </w:pPr>
      <w:r w:rsidRPr="00B70E82">
        <w:t>85.</w:t>
      </w:r>
      <w:r w:rsidRPr="00B70E82">
        <w:tab/>
        <w:t>В системе здравоохранения Мьянмы планируется введение медицинского страхования. При проведении мероприятий по линии медико-санитарного просвещения еще не всегда обеспечивается доступность для лиц с инвалидностью по слуху и зрению.</w:t>
      </w:r>
    </w:p>
    <w:p w:rsidR="000A22D6" w:rsidRPr="00B70E82" w:rsidRDefault="000A22D6" w:rsidP="000A22D6">
      <w:pPr>
        <w:pStyle w:val="SingleTxtGR"/>
      </w:pPr>
      <w:r w:rsidRPr="00B70E82">
        <w:t>86.</w:t>
      </w:r>
      <w:r w:rsidRPr="00B70E82">
        <w:tab/>
        <w:t>В 2013</w:t>
      </w:r>
      <w:r w:rsidR="00C536E8">
        <w:t> году</w:t>
      </w:r>
      <w:r w:rsidRPr="00B70E82">
        <w:t xml:space="preserve"> в Янгоне и Мандалае организовывались курсы жестового языка для медсестер и других медицинских сотрудников, направляемых на работу в сельскую местность.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Адаптация и реабилитация</w:t>
      </w:r>
      <w:bookmarkStart w:id="28" w:name="_Toc494819946"/>
      <w:bookmarkEnd w:id="28"/>
    </w:p>
    <w:p w:rsidR="000A22D6" w:rsidRPr="00B70E82" w:rsidRDefault="000A22D6" w:rsidP="000A22D6">
      <w:pPr>
        <w:pStyle w:val="SingleTxtGR"/>
      </w:pPr>
      <w:r w:rsidRPr="00B70E82">
        <w:t>87.</w:t>
      </w:r>
      <w:r w:rsidRPr="00B70E82">
        <w:tab/>
        <w:t>В Мьянме программы реабилитации осуществляются на основе двух подходов: на базе профильных учреждений и на базе программ на местах. В</w:t>
      </w:r>
      <w:r w:rsidR="003541B8">
        <w:t> </w:t>
      </w:r>
      <w:r w:rsidRPr="00B70E82">
        <w:t>рамках реабилитации на базе профильных учреждений организуются профессионально-техническое обучение, обучение навыкам повседневной жизни, начальное образование по специальной программе обучения и обучение навыкам социальных взаимоотношений. Программы реабилитации на местном уровне осуществляются в соответствии с руководящими принципами РМУ; в</w:t>
      </w:r>
      <w:r w:rsidR="003541B8">
        <w:t> </w:t>
      </w:r>
      <w:r w:rsidRPr="00B70E82">
        <w:t>марте 2014</w:t>
      </w:r>
      <w:r w:rsidR="00C913D6">
        <w:t> года</w:t>
      </w:r>
      <w:r w:rsidRPr="00B70E82">
        <w:t xml:space="preserve"> состоялось совещание, посвященное вопросам контроля и</w:t>
      </w:r>
      <w:r w:rsidR="003541B8">
        <w:t> </w:t>
      </w:r>
      <w:r w:rsidRPr="00B70E82">
        <w:t>оценки программ РМУ.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Труд и занятость</w:t>
      </w:r>
      <w:bookmarkStart w:id="29" w:name="_Toc494819947"/>
      <w:bookmarkEnd w:id="29"/>
    </w:p>
    <w:p w:rsidR="000A22D6" w:rsidRPr="00B70E82" w:rsidRDefault="000A22D6" w:rsidP="000A22D6">
      <w:pPr>
        <w:pStyle w:val="SingleTxtGR"/>
      </w:pPr>
      <w:r w:rsidRPr="00B70E82">
        <w:t>88.</w:t>
      </w:r>
      <w:r w:rsidRPr="00B70E82">
        <w:tab/>
        <w:t>Согласно статье</w:t>
      </w:r>
      <w:r w:rsidR="003541B8">
        <w:t> </w:t>
      </w:r>
      <w:r w:rsidRPr="00B70E82">
        <w:t>349 Конституции граждане имеют равные возможности в</w:t>
      </w:r>
      <w:r w:rsidR="003541B8">
        <w:t> </w:t>
      </w:r>
      <w:r w:rsidRPr="00B70E82">
        <w:t>области занятости. Успешно продвигается работа по обеспечению возможностей занятости для инвалидов на равной основе с другими лицами, поскольку согласно статье</w:t>
      </w:r>
      <w:r w:rsidR="003541B8">
        <w:t> </w:t>
      </w:r>
      <w:r w:rsidRPr="00B70E82">
        <w:t>370 Конституции каждый гражданин в соответствии с законом имеет право на свободу предпринимательской деятельности в Союзе в целях развития национальной экономики.</w:t>
      </w:r>
    </w:p>
    <w:p w:rsidR="000A22D6" w:rsidRPr="00B70E82" w:rsidRDefault="000A22D6" w:rsidP="000A22D6">
      <w:pPr>
        <w:pStyle w:val="SingleTxtGR"/>
      </w:pPr>
      <w:r w:rsidRPr="00B70E82">
        <w:t>89.</w:t>
      </w:r>
      <w:r w:rsidRPr="00B70E82">
        <w:tab/>
        <w:t>В проекте закона о правах инвалидов предусмотрена отдельная статья о</w:t>
      </w:r>
      <w:r w:rsidR="003541B8">
        <w:t> </w:t>
      </w:r>
      <w:r w:rsidRPr="00B70E82">
        <w:t>возможностях трудоустройства инвалидов, где оговорено право на равные возможности трудоустройства и права претендовать на свободные рабочие места, не подвергаться принудительному труду, получать равную заработную плату и другие пособия, проходить обучение по линии программ профессионально-технической подготовки, трудоустраиваться с помощью системы квот во</w:t>
      </w:r>
      <w:r w:rsidR="003541B8">
        <w:t> </w:t>
      </w:r>
      <w:r w:rsidRPr="00B70E82">
        <w:t>всех сферах государственного и частного секторов, участвовать в разработке стратегии по вопросам доступности рабочих мест и в осуществлении планов действий по обеспечению трудовой деятельности и занятости инвалидов.</w:t>
      </w:r>
    </w:p>
    <w:p w:rsidR="000A22D6" w:rsidRPr="00B70E82" w:rsidRDefault="000A22D6" w:rsidP="000A22D6">
      <w:pPr>
        <w:pStyle w:val="SingleTxtGR"/>
      </w:pPr>
      <w:r w:rsidRPr="00B70E82">
        <w:t>90.</w:t>
      </w:r>
      <w:r w:rsidRPr="00B70E82">
        <w:tab/>
        <w:t>Тем не менее инвалид</w:t>
      </w:r>
      <w:r w:rsidR="003541B8">
        <w:t>ы</w:t>
      </w:r>
      <w:r w:rsidRPr="00B70E82">
        <w:t xml:space="preserve"> все еще сталкиваются с трудностями в получении возможностей для трудоустройства. Ввиду этого Департамент социального обеспечения в целях поощрения трудоустройства инвалидов предусмотрел в</w:t>
      </w:r>
      <w:r w:rsidR="003541B8">
        <w:t> </w:t>
      </w:r>
      <w:r w:rsidRPr="00B70E82">
        <w:t>рамках своих национальных комплексных планов развития организацию курсов углубленного профессионально-технического обучения и курсов подготов</w:t>
      </w:r>
      <w:r w:rsidRPr="00B70E82">
        <w:lastRenderedPageBreak/>
        <w:t>ки для поступления на работу. Для того чтобы заинтересовать частный сектор и</w:t>
      </w:r>
      <w:r w:rsidR="003541B8">
        <w:t> </w:t>
      </w:r>
      <w:r w:rsidRPr="00B70E82">
        <w:t>привлечь его внимание к вопросам трудоустройства инвалидов, в преддверии празднования Международного дня инвалидов (2012</w:t>
      </w:r>
      <w:r w:rsidR="00C913D6">
        <w:t> года</w:t>
      </w:r>
      <w:r w:rsidRPr="00B70E82">
        <w:t>) была организована ярмарка вакансий.</w:t>
      </w:r>
    </w:p>
    <w:p w:rsidR="000A22D6" w:rsidRPr="00B70E82" w:rsidRDefault="000A22D6" w:rsidP="000A22D6">
      <w:pPr>
        <w:pStyle w:val="SingleTxtGR"/>
      </w:pPr>
      <w:r w:rsidRPr="00B70E82">
        <w:t>91.</w:t>
      </w:r>
      <w:r w:rsidRPr="00B70E82">
        <w:tab/>
        <w:t xml:space="preserve">Проект закона о правах инвалидов предусматривает обеспечение возможностей для трудоустройства инвалидов. В настоящее время у лиц с инвалидностью по зрению расширяются возможности трудоустройства в частном секторе при приобретении квалификации </w:t>
      </w:r>
      <w:r w:rsidR="00C913D6">
        <w:t>«</w:t>
      </w:r>
      <w:r w:rsidRPr="00B70E82">
        <w:t>незрячего массажиста</w:t>
      </w:r>
      <w:r w:rsidR="00C913D6">
        <w:t>»</w:t>
      </w:r>
      <w:r w:rsidRPr="00B70E82">
        <w:t>, к тому же частный сектор проявляет максимальную заинтересованность.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Достаточный жизненный уровень и социальная защита</w:t>
      </w:r>
      <w:bookmarkStart w:id="30" w:name="_Toc494819948"/>
      <w:bookmarkEnd w:id="30"/>
    </w:p>
    <w:p w:rsidR="000A22D6" w:rsidRPr="00B70E82" w:rsidRDefault="000A22D6" w:rsidP="000A22D6">
      <w:pPr>
        <w:pStyle w:val="SingleTxtGR"/>
      </w:pPr>
      <w:r w:rsidRPr="00B70E82">
        <w:t>92.</w:t>
      </w:r>
      <w:r w:rsidRPr="00B70E82">
        <w:tab/>
        <w:t>Для обеспечения надлежащего уровня жизни и социальной защиты в</w:t>
      </w:r>
      <w:r w:rsidR="003541B8">
        <w:t> </w:t>
      </w:r>
      <w:r w:rsidRPr="00B70E82">
        <w:t>проекте закона о правах инвалидов предусмотрены права в соответствии с законом иметь наличные денежные средства и переводить их и владеть имуществом и зданиями, а также право проживать в жилых помещениях и владеть ими.</w:t>
      </w:r>
    </w:p>
    <w:p w:rsidR="000A22D6" w:rsidRPr="00B70E82" w:rsidRDefault="000A22D6" w:rsidP="000A22D6">
      <w:pPr>
        <w:pStyle w:val="SingleTxtGR"/>
      </w:pPr>
      <w:r w:rsidRPr="00B70E82">
        <w:t>93.</w:t>
      </w:r>
      <w:r w:rsidRPr="00B70E82">
        <w:tab/>
        <w:t>При разработке национальных стратегий и программ социальной защиты учитывается задача интеграции инвалидов в жизнь общества. В 2012</w:t>
      </w:r>
      <w:r w:rsidR="00C536E8">
        <w:t> году</w:t>
      </w:r>
      <w:r w:rsidRPr="00B70E82">
        <w:t xml:space="preserve"> был принят Закон о социальном обеспечении, предусматривающий положения, касающиеся пособий по инвалидности, в частности страховых пособий по инвалидности и пособий на трудоустройство и реабилитацию.</w:t>
      </w:r>
    </w:p>
    <w:p w:rsidR="000A22D6" w:rsidRPr="00B70E82" w:rsidRDefault="000A22D6" w:rsidP="000A22D6">
      <w:pPr>
        <w:pStyle w:val="SingleTxtGR"/>
      </w:pPr>
      <w:r w:rsidRPr="00B70E82">
        <w:t>94.</w:t>
      </w:r>
      <w:r w:rsidRPr="00B70E82">
        <w:tab/>
        <w:t>В Мьянме, несмотря на усилия государства, стремящегося в рамках программ сокращения масштабов нищеты гарантировать обязательное трудоустройство для всех, нет специальных программ, предназначенных для инвалидов; тем не менее они не оказываются забытыми при осуществлении этой деятельности. Учреждена Группа по изучению вопросов социальной политики и</w:t>
      </w:r>
      <w:r w:rsidR="003541B8">
        <w:t> </w:t>
      </w:r>
      <w:r w:rsidRPr="00B70E82">
        <w:t>проблем нищеты, которая проводит исследования для программ сокращения масштабов нищеты и связанных с этим мероприятий в интересах инвалидов.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Участие в политической и общественной жизни</w:t>
      </w:r>
      <w:bookmarkStart w:id="31" w:name="_Toc494819949"/>
      <w:bookmarkEnd w:id="31"/>
    </w:p>
    <w:p w:rsidR="000A22D6" w:rsidRPr="00B70E82" w:rsidRDefault="000A22D6" w:rsidP="000A22D6">
      <w:pPr>
        <w:pStyle w:val="SingleTxtGR"/>
      </w:pPr>
      <w:r w:rsidRPr="00B70E82">
        <w:t>95.</w:t>
      </w:r>
      <w:r w:rsidRPr="00B70E82">
        <w:tab/>
        <w:t>Согласно статье</w:t>
      </w:r>
      <w:r w:rsidR="003541B8">
        <w:t> </w:t>
      </w:r>
      <w:r w:rsidRPr="00B70E82">
        <w:t>38 Конституции (2008</w:t>
      </w:r>
      <w:r w:rsidR="00C913D6">
        <w:t> года</w:t>
      </w:r>
      <w:r w:rsidRPr="00B70E82">
        <w:t>) каждый гражданин имеет право избирать и быть избранным в соответствии с законом. Кроме того, в соответствии с пунктом</w:t>
      </w:r>
      <w:r w:rsidR="003541B8">
        <w:t> </w:t>
      </w:r>
      <w:r w:rsidRPr="00B70E82">
        <w:t xml:space="preserve">a) </w:t>
      </w:r>
      <w:r w:rsidR="00C536E8">
        <w:t>статьи </w:t>
      </w:r>
      <w:r w:rsidRPr="00B70E82">
        <w:t xml:space="preserve">391 Конституции при избрании народных представителей в </w:t>
      </w:r>
      <w:r w:rsidR="00C913D6">
        <w:t>«</w:t>
      </w:r>
      <w:r w:rsidRPr="00B70E82">
        <w:t>хлуто</w:t>
      </w:r>
      <w:r w:rsidR="00C913D6">
        <w:t>»</w:t>
      </w:r>
      <w:r w:rsidRPr="00B70E82">
        <w:t xml:space="preserve"> (парламент) каждый гражданин, достигший 18</w:t>
      </w:r>
      <w:r w:rsidR="003541B8">
        <w:t> </w:t>
      </w:r>
      <w:r w:rsidRPr="00B70E82">
        <w:t>лет на</w:t>
      </w:r>
      <w:r w:rsidR="003541B8">
        <w:t> </w:t>
      </w:r>
      <w:r w:rsidRPr="00B70E82">
        <w:t>день начала выборов, не отстраненный от участия в выборах по закону и</w:t>
      </w:r>
      <w:r w:rsidR="003541B8">
        <w:t> </w:t>
      </w:r>
      <w:r w:rsidRPr="00B70E82">
        <w:t xml:space="preserve">имеющий право голоса, и лицо, имеющее право голоса по закону, вправе участвовать в голосовании. Поскольку вышеупомянутые права являются универсальными правами для всех граждан, Конституция наделяет инвалидов равными правами. </w:t>
      </w:r>
    </w:p>
    <w:p w:rsidR="000A22D6" w:rsidRPr="00B70E82" w:rsidRDefault="000A22D6" w:rsidP="000A22D6">
      <w:pPr>
        <w:pStyle w:val="SingleTxtGR"/>
      </w:pPr>
      <w:r w:rsidRPr="00B70E82">
        <w:t>96.</w:t>
      </w:r>
      <w:r w:rsidRPr="00B70E82">
        <w:tab/>
        <w:t>Лица, заразившиеся проказой, и тяжелобольные включаются в список тех, кто не в состоянии лично явиться на избирательные участки для голосования, и соответствующая районная или сельская подкомиссия обеспечивает им</w:t>
      </w:r>
      <w:r w:rsidR="008D5096">
        <w:t> </w:t>
      </w:r>
      <w:r w:rsidRPr="00B70E82">
        <w:t>возможность досрочного голосования в соответствии с пунктом</w:t>
      </w:r>
      <w:r w:rsidR="003541B8">
        <w:t> </w:t>
      </w:r>
      <w:r w:rsidRPr="00B70E82">
        <w:t xml:space="preserve">с) </w:t>
      </w:r>
      <w:r w:rsidR="00C536E8">
        <w:t>статьи </w:t>
      </w:r>
      <w:r w:rsidRPr="00B70E82">
        <w:t>48 Закона о выборах в Палату представителей (пьиту хлуто) (2010</w:t>
      </w:r>
      <w:r w:rsidR="00C913D6">
        <w:t> года</w:t>
      </w:r>
      <w:r w:rsidRPr="00B70E82">
        <w:t>). Как свидетельствует это положение, все инвалиды</w:t>
      </w:r>
      <w:r w:rsidR="003541B8">
        <w:t xml:space="preserve"> </w:t>
      </w:r>
      <w:r w:rsidRPr="00B70E82">
        <w:t>имеют право голоса. В ходе выборов 2010</w:t>
      </w:r>
      <w:r w:rsidR="00C913D6">
        <w:t> года</w:t>
      </w:r>
      <w:r w:rsidRPr="00B70E82">
        <w:t xml:space="preserve"> у инвалидов</w:t>
      </w:r>
      <w:r w:rsidR="003541B8">
        <w:t xml:space="preserve"> </w:t>
      </w:r>
      <w:r w:rsidRPr="00B70E82">
        <w:t>возникали трудности при голосовании, поскольку не</w:t>
      </w:r>
      <w:r w:rsidR="003541B8">
        <w:t> </w:t>
      </w:r>
      <w:r w:rsidRPr="00B70E82">
        <w:t>везде кабины для голосования были оборудованы с учетом потребностей инвалидов</w:t>
      </w:r>
      <w:r w:rsidR="003541B8">
        <w:t xml:space="preserve"> </w:t>
      </w:r>
      <w:r w:rsidRPr="00B70E82">
        <w:t>и не всегда на избирательных участках были осведомлены об их праве на</w:t>
      </w:r>
      <w:r w:rsidR="003541B8">
        <w:t> </w:t>
      </w:r>
      <w:r w:rsidRPr="00B70E82">
        <w:t xml:space="preserve">персональную помощь. Ввиду этого в целях принятия необходимых мер Департамент социального обеспечения и организация </w:t>
      </w:r>
      <w:r w:rsidR="00C913D6">
        <w:t>«</w:t>
      </w:r>
      <w:r w:rsidRPr="00B70E82">
        <w:t>Мьянманская инициатива по обеспечению самостоятельной жизни</w:t>
      </w:r>
      <w:r w:rsidR="00C913D6">
        <w:t>»</w:t>
      </w:r>
      <w:r w:rsidRPr="00B70E82">
        <w:t xml:space="preserve"> в ходе дополнительных выборов в</w:t>
      </w:r>
      <w:r w:rsidR="003541B8">
        <w:t> </w:t>
      </w:r>
      <w:r w:rsidRPr="00B70E82">
        <w:t>2012</w:t>
      </w:r>
      <w:r w:rsidR="00C536E8">
        <w:t> году</w:t>
      </w:r>
      <w:r w:rsidRPr="00B70E82">
        <w:t xml:space="preserve"> на экспериментальной основе совместно провели в трех округах Янгонского района информационно-просветительскую программу, посвященную положению инвалидов</w:t>
      </w:r>
      <w:r w:rsidR="003541B8">
        <w:t xml:space="preserve"> </w:t>
      </w:r>
      <w:r w:rsidRPr="00B70E82">
        <w:t>во время выборов. В 2012</w:t>
      </w:r>
      <w:r w:rsidR="00C536E8">
        <w:t> году</w:t>
      </w:r>
      <w:r w:rsidRPr="00B70E82">
        <w:t xml:space="preserve"> было организовано </w:t>
      </w:r>
      <w:r w:rsidRPr="00B70E82">
        <w:lastRenderedPageBreak/>
        <w:t>три совещания с представителями пьиту хлуто, амьота хлуто (Совета национальностей) и собраний областей или штатов. Для кандидатов соответствующих избирательных округов на дополнительных выборах в Янгонском районе в</w:t>
      </w:r>
      <w:r w:rsidR="003541B8">
        <w:t> </w:t>
      </w:r>
      <w:r w:rsidRPr="00B70E82">
        <w:t>2012</w:t>
      </w:r>
      <w:r w:rsidR="00C536E8">
        <w:t> году</w:t>
      </w:r>
      <w:r w:rsidRPr="00B70E82">
        <w:t xml:space="preserve"> проводились рабочие совещания по вопросам осведомленности о</w:t>
      </w:r>
      <w:r w:rsidR="003541B8">
        <w:t> </w:t>
      </w:r>
      <w:r w:rsidRPr="00B70E82">
        <w:t>положении инвалидов во время выборов, и был опубликован справочник по</w:t>
      </w:r>
      <w:r w:rsidR="003541B8">
        <w:t> </w:t>
      </w:r>
      <w:r w:rsidRPr="00B70E82">
        <w:t>правам инвалидов на выборах. В 2013</w:t>
      </w:r>
      <w:r w:rsidR="00C536E8">
        <w:t> году</w:t>
      </w:r>
      <w:r w:rsidRPr="00B70E82">
        <w:t xml:space="preserve"> организация </w:t>
      </w:r>
      <w:r w:rsidR="00C913D6">
        <w:t>«</w:t>
      </w:r>
      <w:r w:rsidRPr="00B70E82">
        <w:t>Мьянманская инициатива по обеспечению самостоятельной жизни</w:t>
      </w:r>
      <w:r w:rsidR="00C913D6">
        <w:t>»</w:t>
      </w:r>
      <w:r w:rsidRPr="00B70E82">
        <w:t xml:space="preserve"> провела информационный семинар по вопросам положения инвалидов на выборах для ответственных сотрудников Избирательной комиссии Союза в целях координации усилий и распространения информации о необходимости создания безбарьерной среды </w:t>
      </w:r>
      <w:r w:rsidR="003541B8">
        <w:br/>
      </w:r>
      <w:r w:rsidRPr="00B70E82">
        <w:t>и на избирательных участках.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Участие в культурной жизни, проведении досуга и отдыха и</w:t>
      </w:r>
      <w:r w:rsidR="003541B8">
        <w:t> </w:t>
      </w:r>
      <w:r w:rsidRPr="00B70E82">
        <w:t>занятии спортом</w:t>
      </w:r>
      <w:bookmarkStart w:id="32" w:name="_Toc494819950"/>
      <w:bookmarkEnd w:id="32"/>
    </w:p>
    <w:p w:rsidR="000A22D6" w:rsidRPr="00B70E82" w:rsidRDefault="000A22D6" w:rsidP="000A22D6">
      <w:pPr>
        <w:pStyle w:val="SingleTxtGR"/>
      </w:pPr>
      <w:r w:rsidRPr="00B70E82">
        <w:t>97.</w:t>
      </w:r>
      <w:r w:rsidRPr="00B70E82">
        <w:tab/>
        <w:t>В проекте закона о правах инвалидов говорится о праве на участие в</w:t>
      </w:r>
      <w:r w:rsidR="003541B8">
        <w:t> </w:t>
      </w:r>
      <w:r w:rsidRPr="00B70E82">
        <w:t>культурной жизни, проведении досуга и отдыха и занятии спортом и о необходимости надлежащих мер для привлечения инвалидов при проведении традиционных культурных мероприятий, развлекательных и спортивных меропри</w:t>
      </w:r>
      <w:r w:rsidR="00320E7A">
        <w:t>ятий и конкурсов.</w:t>
      </w:r>
    </w:p>
    <w:p w:rsidR="000A22D6" w:rsidRPr="00B70E82" w:rsidRDefault="000A22D6" w:rsidP="000A22D6">
      <w:pPr>
        <w:pStyle w:val="SingleTxtGR"/>
      </w:pPr>
      <w:r w:rsidRPr="00B70E82">
        <w:t>98.</w:t>
      </w:r>
      <w:r w:rsidRPr="00B70E82">
        <w:tab/>
        <w:t>Под руководством Департамента социального обеспечения союз организаций инвалидов обеспечил успешное проведение Мьянманского фестиваля работников искусств с ограниченными возможностями, состоявшегося в Янгоне в</w:t>
      </w:r>
      <w:r w:rsidR="003541B8">
        <w:t> </w:t>
      </w:r>
      <w:r w:rsidRPr="00B70E82">
        <w:t>период 17</w:t>
      </w:r>
      <w:r w:rsidR="003541B8">
        <w:t>–</w:t>
      </w:r>
      <w:r w:rsidRPr="00B70E82">
        <w:t>19</w:t>
      </w:r>
      <w:r w:rsidR="003541B8">
        <w:t> </w:t>
      </w:r>
      <w:r w:rsidRPr="00B70E82">
        <w:t>октября 2013</w:t>
      </w:r>
      <w:r w:rsidR="00C913D6">
        <w:t> года</w:t>
      </w:r>
      <w:r w:rsidRPr="00B70E82">
        <w:t xml:space="preserve">. Фестиваль должен был продемонстрировать населению способности инвалидов через их художественные композиции и выступления, содействовать их вовлечению в жизнь общества, показать достижения выдающихся работников искусства с ограниченными возможностями </w:t>
      </w:r>
      <w:r w:rsidR="003541B8">
        <w:br/>
      </w:r>
      <w:r w:rsidRPr="00B70E82">
        <w:t>и в перспективе обеспечить для них возможность сделать художественную деятельность источником средств к существованию.</w:t>
      </w:r>
    </w:p>
    <w:p w:rsidR="000A22D6" w:rsidRPr="00B70E82" w:rsidRDefault="000A22D6" w:rsidP="004C06EE">
      <w:pPr>
        <w:pStyle w:val="SingleTxtGR"/>
      </w:pPr>
      <w:r w:rsidRPr="00B70E82">
        <w:t>99.</w:t>
      </w:r>
      <w:r w:rsidRPr="00B70E82">
        <w:tab/>
        <w:t>В целях улучшения состояния физического и психического здоровья инвалидов в рамках реализации спортивных программ Министерство спорта учредило в 1989</w:t>
      </w:r>
      <w:r w:rsidR="00C536E8">
        <w:t> году</w:t>
      </w:r>
      <w:r w:rsidRPr="00B70E82">
        <w:t xml:space="preserve"> Федерацию спорта инвалидов Мьянмы. С 1990</w:t>
      </w:r>
      <w:r w:rsidR="00C913D6">
        <w:t> года</w:t>
      </w:r>
      <w:r w:rsidRPr="00B70E82">
        <w:t xml:space="preserve"> Министерство ежегодно проводит национальные состязания спортсменов-инвалидов. Министерство обеспечивает оказание необходимой поддержки выдающимся спортсменам-инвалидам, чтобы они могли принимать участие в соревнованиях спортсменов-инвалидов на уровне стран Юго-Восточной Азии, на</w:t>
      </w:r>
      <w:r w:rsidR="003541B8">
        <w:t> </w:t>
      </w:r>
      <w:r w:rsidRPr="00B70E82">
        <w:t>уровне Азиатского континента и на мировом уровне. В 2014</w:t>
      </w:r>
      <w:r w:rsidR="00C536E8">
        <w:t> году</w:t>
      </w:r>
      <w:r w:rsidRPr="00B70E82">
        <w:t xml:space="preserve"> Министерство открыло учебный лагерь для спортсменов-инвалидов в Янгоне, где созданы условия для эффективных тренировок. В учебном лагере спортсменам-инвалидам обеспечиваются проживание и различные возможности для тренировок. Под руководством Федерации спорта инвалидов Мьянмы ежегодно проводятся состязания спортсменов-инвалидов и формируются команды для участия в международных спортивных соревнованиях инвалидов. В результате этого они могут достойно отстаивать честь нации. В</w:t>
      </w:r>
      <w:r w:rsidR="004C06EE">
        <w:t xml:space="preserve"> </w:t>
      </w:r>
      <w:r w:rsidRPr="00B70E82">
        <w:t>период</w:t>
      </w:r>
      <w:r w:rsidR="004C06EE">
        <w:t xml:space="preserve"> </w:t>
      </w:r>
      <w:r w:rsidRPr="00B70E82">
        <w:t>14</w:t>
      </w:r>
      <w:r w:rsidR="003541B8">
        <w:t>–</w:t>
      </w:r>
      <w:r w:rsidRPr="00B70E82">
        <w:t>20</w:t>
      </w:r>
      <w:r w:rsidR="003541B8">
        <w:t> </w:t>
      </w:r>
      <w:r w:rsidRPr="00B70E82">
        <w:t>января 2014</w:t>
      </w:r>
      <w:r w:rsidR="004C06EE">
        <w:t xml:space="preserve"> </w:t>
      </w:r>
      <w:r w:rsidR="00C913D6">
        <w:t>года</w:t>
      </w:r>
      <w:r w:rsidRPr="00B70E82">
        <w:t xml:space="preserve"> Мьянма с гордостью принимала Седьмые Параигры АСЕАН, на которых были представлены двенадцать видов спорта. В Играх приняли участие 1</w:t>
      </w:r>
      <w:r w:rsidR="003541B8">
        <w:t> </w:t>
      </w:r>
      <w:r w:rsidRPr="00B70E82">
        <w:t>482</w:t>
      </w:r>
      <w:r w:rsidR="003541B8">
        <w:t> </w:t>
      </w:r>
      <w:r w:rsidRPr="00B70E82">
        <w:t>тренера, менеджера и спортсмена. Они проходили под лозунгом дружбы, равенства</w:t>
      </w:r>
      <w:r w:rsidR="004C06EE">
        <w:t xml:space="preserve"> </w:t>
      </w:r>
      <w:r w:rsidRPr="00B70E82">
        <w:t>и</w:t>
      </w:r>
      <w:r w:rsidR="004C06EE">
        <w:t xml:space="preserve"> </w:t>
      </w:r>
      <w:r w:rsidRPr="00B70E82">
        <w:t>единства.</w:t>
      </w:r>
      <w:r w:rsidR="004C06EE">
        <w:t xml:space="preserve"> </w:t>
      </w:r>
      <w:r w:rsidRPr="00B70E82">
        <w:t>Команда</w:t>
      </w:r>
      <w:r w:rsidR="004C06EE">
        <w:t xml:space="preserve"> </w:t>
      </w:r>
      <w:r w:rsidRPr="00B70E82">
        <w:t>Мьянмы насчитывала 269</w:t>
      </w:r>
      <w:r w:rsidR="004C06EE">
        <w:t xml:space="preserve"> </w:t>
      </w:r>
      <w:r w:rsidRPr="00B70E82">
        <w:t>спортсменов</w:t>
      </w:r>
      <w:r w:rsidR="003541B8">
        <w:noBreakHyphen/>
      </w:r>
      <w:r w:rsidR="004C06EE">
        <w:br/>
      </w:r>
      <w:r w:rsidRPr="00B70E82">
        <w:t>инвалидов,</w:t>
      </w:r>
      <w:r w:rsidR="004C06EE">
        <w:t xml:space="preserve"> </w:t>
      </w:r>
      <w:r w:rsidRPr="00B70E82">
        <w:t>которые</w:t>
      </w:r>
      <w:r w:rsidR="004C06EE">
        <w:t xml:space="preserve"> </w:t>
      </w:r>
      <w:r w:rsidRPr="00B70E82">
        <w:t>завоевали 34</w:t>
      </w:r>
      <w:r w:rsidR="004C06EE">
        <w:t xml:space="preserve"> </w:t>
      </w:r>
      <w:r w:rsidRPr="00B70E82">
        <w:t>золотых</w:t>
      </w:r>
      <w:r w:rsidR="004C06EE">
        <w:t xml:space="preserve"> </w:t>
      </w:r>
      <w:r w:rsidRPr="00B70E82">
        <w:t>медалей, 26</w:t>
      </w:r>
      <w:r w:rsidR="004C06EE">
        <w:t xml:space="preserve"> </w:t>
      </w:r>
      <w:r w:rsidRPr="00B70E82">
        <w:t>серебряных и</w:t>
      </w:r>
      <w:r w:rsidR="003541B8">
        <w:t> </w:t>
      </w:r>
      <w:r w:rsidRPr="00B70E82">
        <w:t>36</w:t>
      </w:r>
      <w:r w:rsidR="004C06EE">
        <w:t xml:space="preserve"> </w:t>
      </w:r>
      <w:r w:rsidRPr="00B70E82">
        <w:t>бронзовых медалей, заняв на Играх пятое место.</w:t>
      </w:r>
    </w:p>
    <w:p w:rsidR="000A22D6" w:rsidRPr="00B70E82" w:rsidRDefault="000A22D6" w:rsidP="000A22D6">
      <w:pPr>
        <w:pStyle w:val="HChGR"/>
      </w:pPr>
      <w:r w:rsidRPr="00B70E82">
        <w:lastRenderedPageBreak/>
        <w:tab/>
      </w:r>
      <w:r w:rsidRPr="00B70E82">
        <w:tab/>
        <w:t>Часть IV</w:t>
      </w:r>
      <w:bookmarkStart w:id="33" w:name="_Toc494819951"/>
      <w:bookmarkEnd w:id="33"/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Женщины-инвалиды</w:t>
      </w:r>
      <w:bookmarkStart w:id="34" w:name="_Toc494819952"/>
      <w:bookmarkEnd w:id="34"/>
    </w:p>
    <w:p w:rsidR="000A22D6" w:rsidRPr="00B70E82" w:rsidRDefault="000A22D6" w:rsidP="000A22D6">
      <w:pPr>
        <w:pStyle w:val="SingleTxtGR"/>
      </w:pPr>
      <w:r w:rsidRPr="00B70E82">
        <w:t>100.</w:t>
      </w:r>
      <w:r w:rsidRPr="00B70E82">
        <w:tab/>
        <w:t>Как гласит статья 350 Конституции, женщины имеют те же права, что и</w:t>
      </w:r>
      <w:r w:rsidR="003541B8">
        <w:t> </w:t>
      </w:r>
      <w:r w:rsidRPr="00B70E82">
        <w:t>мужчины, а также право на равную зарплату за равный труд. Согласно статье</w:t>
      </w:r>
      <w:r w:rsidR="003541B8">
        <w:t> </w:t>
      </w:r>
      <w:r w:rsidRPr="00B70E82">
        <w:t>351 матери, дети и беременные женщины имеют равные права, установленные законом. В статье</w:t>
      </w:r>
      <w:r w:rsidR="003541B8">
        <w:t> </w:t>
      </w:r>
      <w:r w:rsidRPr="00B70E82">
        <w:t>352 указано, что в Союзе при условии соблюдения особых требований при назначении или возложении обязанностей на гражданских служащих запрещена дискриминация граждан Республики Союз Мьянма по</w:t>
      </w:r>
      <w:r w:rsidR="003541B8">
        <w:t> </w:t>
      </w:r>
      <w:r w:rsidRPr="00B70E82">
        <w:t>признаку расы, рождения, религии или пола.</w:t>
      </w:r>
    </w:p>
    <w:p w:rsidR="000A22D6" w:rsidRPr="00B70E82" w:rsidRDefault="000A22D6" w:rsidP="000A22D6">
      <w:pPr>
        <w:pStyle w:val="SingleTxtGR"/>
      </w:pPr>
      <w:r w:rsidRPr="00B70E82">
        <w:t>101.</w:t>
      </w:r>
      <w:r w:rsidRPr="00B70E82">
        <w:tab/>
        <w:t>В проекте закона о правах инвалидов упомянута необходимость обеспечения участия женщин-инвалидов посредством уделения повышенного внимания аспектам гендерного равенства в процессе разработки и осуществления всех планов действий в интересах инвалидов, при этом женщины-инвалиды имеют такие же права, как и другие женщины в рамках стратегий, осуществляемых в Мьянме в интересах женщин.</w:t>
      </w:r>
    </w:p>
    <w:p w:rsidR="000A22D6" w:rsidRPr="00B70E82" w:rsidRDefault="000A22D6" w:rsidP="000A22D6">
      <w:pPr>
        <w:pStyle w:val="SingleTxtGR"/>
      </w:pPr>
      <w:r w:rsidRPr="00B70E82">
        <w:t>102.</w:t>
      </w:r>
      <w:r w:rsidRPr="00B70E82">
        <w:tab/>
        <w:t>Сеть по гендерному равенству и Ассоциация женщин-инвалидов Мьянмы прилагают совместные усилия для расширения реабилитационных возможностей и доступа к гуманитарной помощи в интересах обеспечения участия женщин-инвалидов в жизни общества в соответствии с принятой Организацией Объединенных Наций Декларацией прав человека, Конвенцией Организации Объединенных Наций о ликвидации всех форм дискриминации в отношении женщин и Конвенцией Организации Объединенных Наций о правах инвалидов. В целях искоренения дискриминационной практики и в целях расширения возможностей женщин-инвалидов создаются рабочие комитеты по вопросам здравоохранения, образования, обеспечения средств к существованию, социальной помощи и участия в жизни общества, охраны психического здоровья, дерматологии, ВИЧ/СПИДа и гуманитарной помощи. Вместе с тем сделан вывод о</w:t>
      </w:r>
      <w:r w:rsidR="003541B8">
        <w:t> </w:t>
      </w:r>
      <w:r w:rsidRPr="00B70E82">
        <w:t>необходимости дальнейшего расширения участия женщин-инвалидов в рамках программ по тематике инвалидности и положения инвалидов. Предстоит активизировать работу по реализации программ, в рамках которых уделяется первоочередное внимание проблемам женщин-инвалидов, вопросам расширения их прав и возможностей, а также организациям женщин-инвалидов.</w:t>
      </w:r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Дети-инвалиды</w:t>
      </w:r>
      <w:bookmarkStart w:id="35" w:name="_Toc494819953"/>
      <w:bookmarkEnd w:id="35"/>
    </w:p>
    <w:p w:rsidR="000A22D6" w:rsidRPr="00B70E82" w:rsidRDefault="000A22D6" w:rsidP="000A22D6">
      <w:pPr>
        <w:pStyle w:val="SingleTxtGR"/>
      </w:pPr>
      <w:r w:rsidRPr="00B70E82">
        <w:t>103.</w:t>
      </w:r>
      <w:r w:rsidRPr="00B70E82">
        <w:tab/>
        <w:t>По данным первого национального обследования по вопросам инвалидности в Мьянме (2008</w:t>
      </w:r>
      <w:r w:rsidR="003541B8">
        <w:t>–</w:t>
      </w:r>
      <w:r w:rsidRPr="00B70E82">
        <w:t>2009 годов), в возрастной группе до 5</w:t>
      </w:r>
      <w:r w:rsidR="003541B8">
        <w:t> </w:t>
      </w:r>
      <w:r w:rsidRPr="00B70E82">
        <w:t xml:space="preserve">лет насчитывается 0,08% детей-инвалидов, а в группе от 5 до 16 лет </w:t>
      </w:r>
      <w:r w:rsidR="00B87624">
        <w:t>–</w:t>
      </w:r>
      <w:r w:rsidRPr="00B70E82">
        <w:t xml:space="preserve"> 2,25%.</w:t>
      </w:r>
    </w:p>
    <w:p w:rsidR="000A22D6" w:rsidRPr="00B70E82" w:rsidRDefault="000A22D6" w:rsidP="000A22D6">
      <w:pPr>
        <w:pStyle w:val="SingleTxtGR"/>
      </w:pPr>
      <w:r w:rsidRPr="00B70E82">
        <w:t>104.</w:t>
      </w:r>
      <w:r w:rsidRPr="00B70E82">
        <w:tab/>
        <w:t>Дети-инвалиды не сталкиваются с дискриминацией, поскольку Законом о</w:t>
      </w:r>
      <w:r w:rsidR="003541B8">
        <w:t> </w:t>
      </w:r>
      <w:r w:rsidRPr="00B70E82">
        <w:t>детях (1993</w:t>
      </w:r>
      <w:r w:rsidR="00C913D6">
        <w:t> года</w:t>
      </w:r>
      <w:r w:rsidRPr="00B70E82">
        <w:t>) признаны права детей-инвалидов. В соответствии со статьей</w:t>
      </w:r>
      <w:r w:rsidR="003541B8">
        <w:t> </w:t>
      </w:r>
      <w:r w:rsidRPr="00B70E82">
        <w:t>18 Закона о детях (1993</w:t>
      </w:r>
      <w:r w:rsidR="00C913D6">
        <w:t> года</w:t>
      </w:r>
      <w:r w:rsidRPr="00B70E82">
        <w:t xml:space="preserve">) ребенок с умственными или физическими отклонениями имеет право на получение базового образования (начальный уровень) или профессионально-технического образования, а также право на особую заботу и помощь государства. Кроме того, положения </w:t>
      </w:r>
      <w:r w:rsidR="00C536E8">
        <w:t>статьи </w:t>
      </w:r>
      <w:r w:rsidRPr="00B70E82">
        <w:t>18 обязывают Департамент социального обеспечения принимать и проводить в жизнь все необходимые меры, чтобы дети с умственными или физическими отклонениями могли достойно участвовать в жизни общества и вести самостоятельный образ жизни, опираясь на свои силы.</w:t>
      </w:r>
    </w:p>
    <w:p w:rsidR="000A22D6" w:rsidRPr="00B70E82" w:rsidRDefault="000A22D6" w:rsidP="000A22D6">
      <w:pPr>
        <w:pStyle w:val="SingleTxtGR"/>
      </w:pPr>
      <w:r w:rsidRPr="00B70E82">
        <w:t>105.</w:t>
      </w:r>
      <w:r w:rsidRPr="00B70E82">
        <w:tab/>
        <w:t>В Мьянме все дети, включая детей-инвалидов, имеют право посещать начальные школы. Вместе с тем в целях повышения успеваемости детей-инвалидов в начальных школах, учебных центрах при монастырях и в частных школах требуются определенные изменения, такие как создание безбарьерной среды и использование вспомогательных устройств с учетом форм инвалидности. В целях выполнения вышеупомянутых требований в недавно разработан</w:t>
      </w:r>
      <w:r w:rsidRPr="00B70E82">
        <w:lastRenderedPageBreak/>
        <w:t>ный проект закона о национальном образовании включены положения об обеспечении равного доступа к образованию и поощрении стандартов образования детей-инвалидов.</w:t>
      </w:r>
    </w:p>
    <w:p w:rsidR="000A22D6" w:rsidRPr="00B70E82" w:rsidRDefault="000A22D6" w:rsidP="000A22D6">
      <w:pPr>
        <w:pStyle w:val="SingleTxtGR"/>
      </w:pPr>
      <w:r w:rsidRPr="00B70E82">
        <w:t>106.</w:t>
      </w:r>
      <w:r w:rsidRPr="00B70E82">
        <w:tab/>
        <w:t>Совместно с ЮНИСЕФ Департамент социального обеспечения с</w:t>
      </w:r>
      <w:r w:rsidR="003541B8">
        <w:t> </w:t>
      </w:r>
      <w:r w:rsidRPr="00B70E82">
        <w:t>2007</w:t>
      </w:r>
      <w:r w:rsidR="00C913D6">
        <w:t> года</w:t>
      </w:r>
      <w:r w:rsidRPr="00B70E82">
        <w:t xml:space="preserve"> осуществляет планы действий по защите детей, в том числе детей-инвалидов. Ввиду этого осуществляются информационно-просветительские программы по вопросам раннего выявления детей с ограниченными возможностями и ухода за ними. На региональных конференциях по вопросам ухода за</w:t>
      </w:r>
      <w:r w:rsidR="003541B8">
        <w:t> </w:t>
      </w:r>
      <w:r w:rsidRPr="00B70E82">
        <w:t>детьми в раннем возрасте и их развития распространяется информация о типах и причинах детской инвалидности и профилактике инвалидности в дородовый и послеродовый периоды. Кроме того, для преподавателей частных и волонтерских дошкольных учебных заведений организуются курсы базовой подготовки по вопросам ухода за детьми в раннем возрасте и их развития, включая методики по уходу за детьми-инвалидами.</w:t>
      </w:r>
    </w:p>
    <w:p w:rsidR="000A22D6" w:rsidRPr="00B70E82" w:rsidRDefault="000A22D6" w:rsidP="000A22D6">
      <w:pPr>
        <w:pStyle w:val="SingleTxtGR"/>
      </w:pPr>
      <w:r w:rsidRPr="00B70E82">
        <w:t>107.</w:t>
      </w:r>
      <w:r w:rsidRPr="00B70E82">
        <w:tab/>
        <w:t>C 7 по 11</w:t>
      </w:r>
      <w:r w:rsidR="003541B8">
        <w:t> </w:t>
      </w:r>
      <w:r w:rsidRPr="00B70E82">
        <w:t>октября в Янгоне проходило рабочее совещание по вопросам укрепления мира и воспитания детей, котор</w:t>
      </w:r>
      <w:r w:rsidR="00692C50">
        <w:t>ое</w:t>
      </w:r>
      <w:r w:rsidRPr="00B70E82">
        <w:t xml:space="preserve"> был</w:t>
      </w:r>
      <w:r w:rsidR="00692C50">
        <w:t>о</w:t>
      </w:r>
      <w:r w:rsidRPr="00B70E82">
        <w:t xml:space="preserve"> организован</w:t>
      </w:r>
      <w:r w:rsidR="00692C50">
        <w:t>о</w:t>
      </w:r>
      <w:r w:rsidRPr="00B70E82">
        <w:t xml:space="preserve"> совместно с</w:t>
      </w:r>
      <w:r w:rsidR="003541B8">
        <w:t> </w:t>
      </w:r>
      <w:r w:rsidRPr="00B70E82">
        <w:t>ЮНИСЕФ в целях пропаганды идеи воспитания в духе понимания ценности мира с самого детства, а также в целях обеспечения осознания на национальном, местном и индивидуальном уровнях важности многообразия и уважения и</w:t>
      </w:r>
      <w:r w:rsidR="003541B8">
        <w:t> </w:t>
      </w:r>
      <w:r w:rsidRPr="00B70E82">
        <w:t>понимания детей, а также доброго к ним отношения; при проведении совещания учитывались мнения детей-инвалидов.</w:t>
      </w:r>
    </w:p>
    <w:p w:rsidR="000A22D6" w:rsidRPr="00B70E82" w:rsidRDefault="000A22D6" w:rsidP="000A22D6">
      <w:pPr>
        <w:pStyle w:val="SingleTxtGR"/>
      </w:pPr>
      <w:r w:rsidRPr="00B70E82">
        <w:t>108.</w:t>
      </w:r>
      <w:r w:rsidRPr="00B70E82">
        <w:tab/>
        <w:t>Департамент социального обеспечения проводит семинары и курсы по</w:t>
      </w:r>
      <w:r w:rsidR="003541B8">
        <w:t> </w:t>
      </w:r>
      <w:r w:rsidRPr="00B70E82">
        <w:t>информированию о минной опасности, осуществляет программы мер по</w:t>
      </w:r>
      <w:r w:rsidR="003541B8">
        <w:t> </w:t>
      </w:r>
      <w:r w:rsidRPr="00B70E82">
        <w:t>уменьшению минной опасности, а также организует консультации для инвалидов, включая детей-инвалидов; планируется в рамках сотрудничества с</w:t>
      </w:r>
      <w:r w:rsidR="003541B8">
        <w:t> </w:t>
      </w:r>
      <w:r w:rsidRPr="00B70E82">
        <w:t xml:space="preserve">ЮНИСЕФ, организациями </w:t>
      </w:r>
      <w:r w:rsidR="00C913D6">
        <w:t>«</w:t>
      </w:r>
      <w:r w:rsidRPr="00B70E82">
        <w:t>Уорлд вижн</w:t>
      </w:r>
      <w:r w:rsidR="00C913D6">
        <w:t>»</w:t>
      </w:r>
      <w:r w:rsidRPr="00B70E82">
        <w:t xml:space="preserve">, </w:t>
      </w:r>
      <w:r w:rsidR="00C913D6">
        <w:t>«</w:t>
      </w:r>
      <w:r w:rsidRPr="00B70E82">
        <w:t>Дэниш ч</w:t>
      </w:r>
      <w:r w:rsidR="00C913D6">
        <w:t>е</w:t>
      </w:r>
      <w:r w:rsidRPr="00B70E82">
        <w:t>рч эйд</w:t>
      </w:r>
      <w:r w:rsidR="00C913D6">
        <w:t>»</w:t>
      </w:r>
      <w:r w:rsidRPr="00B70E82">
        <w:t xml:space="preserve">, </w:t>
      </w:r>
      <w:r w:rsidR="00C913D6">
        <w:t>«</w:t>
      </w:r>
      <w:r w:rsidRPr="00B70E82">
        <w:t>Помощь норвежского народа</w:t>
      </w:r>
      <w:r w:rsidR="00C913D6">
        <w:t>»</w:t>
      </w:r>
      <w:r w:rsidRPr="00B70E82">
        <w:t xml:space="preserve"> и УВКБ обеспечить предоставление протезов, ортезов и других вспомогательных средств.</w:t>
      </w:r>
    </w:p>
    <w:p w:rsidR="000A22D6" w:rsidRPr="00B70E82" w:rsidRDefault="000A22D6" w:rsidP="000A22D6">
      <w:pPr>
        <w:pStyle w:val="HChGR"/>
      </w:pPr>
      <w:r w:rsidRPr="00B70E82">
        <w:tab/>
      </w:r>
      <w:r w:rsidRPr="00B70E82">
        <w:tab/>
      </w:r>
      <w:bookmarkStart w:id="36" w:name="_Toc494819954"/>
      <w:r w:rsidRPr="00B70E82">
        <w:t>Часть V</w:t>
      </w:r>
      <w:bookmarkEnd w:id="36"/>
    </w:p>
    <w:p w:rsidR="000A22D6" w:rsidRPr="00B70E82" w:rsidRDefault="000A22D6" w:rsidP="000A22D6">
      <w:pPr>
        <w:pStyle w:val="H1GR"/>
      </w:pPr>
      <w:r w:rsidRPr="00B70E82">
        <w:tab/>
      </w:r>
      <w:r w:rsidRPr="00B70E82">
        <w:tab/>
        <w:t>Статистика и сбор данных</w:t>
      </w:r>
      <w:bookmarkStart w:id="37" w:name="_Toc494819955"/>
      <w:bookmarkEnd w:id="37"/>
    </w:p>
    <w:p w:rsidR="000A22D6" w:rsidRPr="00B70E82" w:rsidRDefault="000A22D6" w:rsidP="000A22D6">
      <w:pPr>
        <w:pStyle w:val="SingleTxtGR"/>
      </w:pPr>
      <w:r w:rsidRPr="00B70E82">
        <w:t>109.</w:t>
      </w:r>
      <w:r w:rsidRPr="00B70E82">
        <w:tab/>
        <w:t>Первое национальное обследование по вопросам инвалидности в Мьянме (2008</w:t>
      </w:r>
      <w:r w:rsidR="003541B8">
        <w:t>–</w:t>
      </w:r>
      <w:r w:rsidRPr="00B70E82">
        <w:t>2009</w:t>
      </w:r>
      <w:r w:rsidR="003541B8">
        <w:t> </w:t>
      </w:r>
      <w:r w:rsidRPr="00B70E82">
        <w:t>годов) проводилось с охватом 108</w:t>
      </w:r>
      <w:r w:rsidR="003541B8">
        <w:t> </w:t>
      </w:r>
      <w:r w:rsidRPr="00B70E82">
        <w:t>000</w:t>
      </w:r>
      <w:r w:rsidR="003541B8">
        <w:t> </w:t>
      </w:r>
      <w:r w:rsidRPr="00B70E82">
        <w:t xml:space="preserve">домохозяйств в штатах и областях совместно с организацией </w:t>
      </w:r>
      <w:r w:rsidR="00C913D6">
        <w:t>«</w:t>
      </w:r>
      <w:r w:rsidRPr="00B70E82">
        <w:t>Лепрози мишн Мьянма</w:t>
      </w:r>
      <w:r w:rsidR="00C913D6">
        <w:t>»</w:t>
      </w:r>
      <w:r w:rsidRPr="00B70E82">
        <w:t>, прежде носившей название Международная миссия по борьбе с проказой. Результаты обследования были обобщены и опубликованы в 2010</w:t>
      </w:r>
      <w:r w:rsidR="00C536E8">
        <w:t> году</w:t>
      </w:r>
      <w:r w:rsidRPr="00B70E82">
        <w:t>. Материалы обследования являются полезным вспомогательным инструментом при осуществлении в настоящее время мероприятий в области улучшения положения инвалидов.</w:t>
      </w:r>
    </w:p>
    <w:p w:rsidR="000A22D6" w:rsidRPr="00B70E82" w:rsidRDefault="000A22D6" w:rsidP="00B068EE">
      <w:pPr>
        <w:pStyle w:val="SingleTxtGR"/>
      </w:pPr>
      <w:r w:rsidRPr="00B70E82">
        <w:t>110.</w:t>
      </w:r>
      <w:r w:rsidRPr="00B70E82">
        <w:tab/>
        <w:t>При сборе данных национальной переписи было предусмотрено получение сведений по видам инвалидности в соответствии с апробированными на</w:t>
      </w:r>
      <w:r w:rsidR="003541B8">
        <w:t> </w:t>
      </w:r>
      <w:r w:rsidRPr="00B70E82">
        <w:t>международном уровне анкетами Вашингтонской группы, которые можно с</w:t>
      </w:r>
      <w:r w:rsidR="003541B8">
        <w:t> </w:t>
      </w:r>
      <w:r w:rsidRPr="00B70E82">
        <w:t>большой пользой использовать при принятии более эффе</w:t>
      </w:r>
      <w:r w:rsidR="008D5096">
        <w:t>ктивных мер по </w:t>
      </w:r>
      <w:r w:rsidRPr="00B70E82">
        <w:t>обеспечению прав инвалидов</w:t>
      </w:r>
      <w:r w:rsidR="003541B8">
        <w:t xml:space="preserve"> </w:t>
      </w:r>
      <w:r w:rsidRPr="00B70E82">
        <w:t>и их развития.</w:t>
      </w:r>
    </w:p>
    <w:p w:rsidR="000A22D6" w:rsidRPr="00B70E82" w:rsidRDefault="000A22D6" w:rsidP="000A22D6">
      <w:pPr>
        <w:pStyle w:val="SingleTxtGR"/>
      </w:pPr>
      <w:r w:rsidRPr="00B70E82">
        <w:t>111.</w:t>
      </w:r>
      <w:r w:rsidRPr="00B70E82">
        <w:tab/>
        <w:t>Для того чтобы в ходе национальной переписи населения можно было устанавливать виды инвалидности, принимался целый ряд мер, в частности организовывались курсы подготовки, распространялись видеозаписи, среди инвалидов велась работа по разъяснению важности их участия, проводились специальные занятия со статистическими работниками и счетчиками.</w:t>
      </w:r>
    </w:p>
    <w:p w:rsidR="000A22D6" w:rsidRPr="00B70E82" w:rsidRDefault="000A22D6" w:rsidP="000A22D6">
      <w:pPr>
        <w:pStyle w:val="H1GR"/>
      </w:pPr>
      <w:r w:rsidRPr="00B70E82">
        <w:lastRenderedPageBreak/>
        <w:tab/>
      </w:r>
      <w:r w:rsidRPr="00B70E82">
        <w:tab/>
        <w:t>Международное сотрудничество</w:t>
      </w:r>
      <w:bookmarkStart w:id="38" w:name="_Toc494819956"/>
      <w:bookmarkEnd w:id="38"/>
    </w:p>
    <w:p w:rsidR="000A22D6" w:rsidRPr="00B70E82" w:rsidRDefault="000A22D6" w:rsidP="00B068EE">
      <w:pPr>
        <w:pStyle w:val="SingleTxtGR"/>
        <w:keepNext/>
        <w:keepLines/>
      </w:pPr>
      <w:r w:rsidRPr="00B70E82">
        <w:t>112.</w:t>
      </w:r>
      <w:r w:rsidRPr="00B70E82">
        <w:tab/>
        <w:t>В целях расширения международного сотрудничества по тематике прав инвалидов в проекте закона о правах инвалидов предусмотрено, что соответствующие государственные организации и международные и национальные неправительственные организации должны принимать во внимание вопросы защиты прав инвалидов при разработке программ социального развития для обеспечения участия инвалидов, с учетом их способностей и возможностей, в</w:t>
      </w:r>
      <w:r w:rsidR="003541B8">
        <w:t> </w:t>
      </w:r>
      <w:r w:rsidRPr="00B70E82">
        <w:t>решении национальных задач в области развития наравне с другими гражданами. Помимо этого, Департамент социального обеспечения проводит работу по осуществлению прав инвалидов в сотрудничестве с семью международными неправительственными организациями, подписавшими с Департаментом меморандумы о договоренности.</w:t>
      </w:r>
    </w:p>
    <w:p w:rsidR="000A22D6" w:rsidRPr="00B70E82" w:rsidRDefault="000A22D6" w:rsidP="000A22D6">
      <w:pPr>
        <w:pStyle w:val="SingleTxtGR"/>
      </w:pPr>
      <w:r w:rsidRPr="00B70E82">
        <w:t>113.</w:t>
      </w:r>
      <w:r w:rsidRPr="00B70E82">
        <w:tab/>
        <w:t>Департамент социального обеспечения активизирует свою деятельность в</w:t>
      </w:r>
      <w:r w:rsidR="003541B8">
        <w:t> </w:t>
      </w:r>
      <w:r w:rsidRPr="00B70E82">
        <w:t xml:space="preserve">тесном партнерстве с международным </w:t>
      </w:r>
      <w:r w:rsidR="00692C50">
        <w:t>сообществом, например</w:t>
      </w:r>
      <w:r w:rsidRPr="00B70E82">
        <w:t xml:space="preserve"> при поддержке Японского агентства по международному сотрудничеству (ЯАМС) осуществляется проект оказания помощи органам социального обеспечения в вопросах поощрения социальной интеграции лиц с нарушениями слуха, при поддержке Японии и Кореи организуется работа добровольцев старшего возраста и</w:t>
      </w:r>
      <w:r w:rsidR="00692C50">
        <w:t xml:space="preserve"> </w:t>
      </w:r>
      <w:r w:rsidRPr="00B70E82">
        <w:t>других добровольцев по вопросам инвалидности, в сотрудничестве с Вулвергемптонским университетом (Соединенное Королевство) организуются курсы по вопросам обучения по специальным программам.</w:t>
      </w:r>
    </w:p>
    <w:p w:rsidR="000A22D6" w:rsidRPr="00B70E82" w:rsidRDefault="000A22D6" w:rsidP="000A22D6">
      <w:pPr>
        <w:pStyle w:val="SingleTxtGR"/>
      </w:pPr>
      <w:r w:rsidRPr="00B70E82">
        <w:t>114.</w:t>
      </w:r>
      <w:r w:rsidRPr="00B70E82">
        <w:tab/>
        <w:t>В Мьянме организации инвалидов при осуществлении мероприятий по</w:t>
      </w:r>
      <w:r w:rsidR="003541B8">
        <w:t> </w:t>
      </w:r>
      <w:r w:rsidRPr="00B70E82">
        <w:t>улучшени</w:t>
      </w:r>
      <w:r w:rsidR="008D1BD1">
        <w:t xml:space="preserve">ю положения </w:t>
      </w:r>
      <w:r w:rsidRPr="00B70E82">
        <w:t>инвалидов тесно взаимодействуют с государственными организациями, волонтерскими организациями и учреждениями Организации Объединенных Наций. 15</w:t>
      </w:r>
      <w:r w:rsidR="0028395F">
        <w:rPr>
          <w:lang w:val="en-US"/>
        </w:rPr>
        <w:t> </w:t>
      </w:r>
      <w:r w:rsidRPr="00B70E82">
        <w:t>таких организаций вносят активный вклад в</w:t>
      </w:r>
      <w:r w:rsidR="0028395F">
        <w:rPr>
          <w:lang w:val="en-US"/>
        </w:rPr>
        <w:t> </w:t>
      </w:r>
      <w:r w:rsidRPr="00B70E82">
        <w:t>осуществление программы по укреплению потенциала, повышению осведомленности, реабилитации на местах, созданию безбарьерной среды и оказанию помощи в приобретении вспомогательных приспособлений.</w:t>
      </w:r>
    </w:p>
    <w:p w:rsidR="000A22D6" w:rsidRPr="00B70E82" w:rsidRDefault="000A22D6" w:rsidP="000A22D6">
      <w:pPr>
        <w:pStyle w:val="SingleTxtGR"/>
      </w:pPr>
      <w:r w:rsidRPr="00B70E82">
        <w:t>115.</w:t>
      </w:r>
      <w:r w:rsidRPr="00B70E82">
        <w:tab/>
        <w:t>Благодаря семинарам и конференциям по вопросам укрепления потенциала, проводимым организациями инвалидов и организациями гражданского общества, дополнительные возможности получили 2</w:t>
      </w:r>
      <w:r w:rsidR="003541B8">
        <w:t> </w:t>
      </w:r>
      <w:r w:rsidRPr="00B70E82">
        <w:t>260</w:t>
      </w:r>
      <w:r w:rsidR="003541B8">
        <w:t> </w:t>
      </w:r>
      <w:r w:rsidRPr="00B70E82">
        <w:t>инвалидов.</w:t>
      </w:r>
    </w:p>
    <w:p w:rsidR="000A22D6" w:rsidRPr="00B70E82" w:rsidRDefault="000A22D6" w:rsidP="000A22D6">
      <w:pPr>
        <w:pStyle w:val="SingleTxtGR"/>
      </w:pPr>
      <w:r w:rsidRPr="00B70E82">
        <w:t>116.</w:t>
      </w:r>
      <w:r w:rsidRPr="00B70E82">
        <w:tab/>
        <w:t>В целях обеспечения полноценного и эффективного участия инвалидов в</w:t>
      </w:r>
      <w:r w:rsidR="003541B8">
        <w:t> </w:t>
      </w:r>
      <w:r w:rsidRPr="00B70E82">
        <w:t>жизни общества и создания безбарьерной среды Департамент социального обеспечения совместно с Азиатско-тихоокеанским центром развития (АЦТР) реализует в Пхьяпоунском районе области Иравади проект АТЦР и Фонда интеграции Япония-АСЕАН по созданию условий, не создающих проблем для инвалидов. Кроме того, Департамент в тесном контакте с Экономической и социальной комиссией Организации Объединенных Наций для Азии и Тихого океана (ЭСКАТО) участвовал в мероприятиях в рамках первого Десятилетия инвалидов в Азиатско-Тихоокеанском регионе (1993</w:t>
      </w:r>
      <w:r w:rsidR="003541B8">
        <w:t>–</w:t>
      </w:r>
      <w:r w:rsidRPr="00B70E82">
        <w:t>2002</w:t>
      </w:r>
      <w:r w:rsidR="003541B8">
        <w:t> </w:t>
      </w:r>
      <w:r w:rsidRPr="00B70E82">
        <w:t>годов) и второго Десятилетия инвалидов в Азиатско-Тихоокеанском регионе (2003</w:t>
      </w:r>
      <w:r w:rsidR="003541B8">
        <w:t>–</w:t>
      </w:r>
      <w:r w:rsidRPr="00B70E82">
        <w:t>2012</w:t>
      </w:r>
      <w:r w:rsidR="003541B8">
        <w:t> </w:t>
      </w:r>
      <w:r w:rsidRPr="00B70E82">
        <w:t xml:space="preserve">годов), которое также получило название Бивакской рамочной программы действий на пороге </w:t>
      </w:r>
      <w:r w:rsidR="00F17D9C" w:rsidRPr="00B70E82">
        <w:t>Тысячелетия</w:t>
      </w:r>
      <w:r w:rsidRPr="00B70E82">
        <w:t>. В настоящее время Департамент продолжает активно сотрудничать с Экономической и социальной комиссией Организации Объединенных Наций для Азии и Тихого океана (ЭСКАТО) в интересах успешного осуществления третьего Десятилетия инвалидов в Азиатско-Тихоокеанском регионе (2013</w:t>
      </w:r>
      <w:r w:rsidR="003541B8">
        <w:t>–</w:t>
      </w:r>
      <w:r w:rsidRPr="00B70E82">
        <w:t>2022</w:t>
      </w:r>
      <w:r w:rsidR="003541B8">
        <w:t> </w:t>
      </w:r>
      <w:r w:rsidRPr="00B70E82">
        <w:t>годов) и десяти Инчхонских стратегий, которые легли в основу Национального плана действий в интересах инвалидов на 2014</w:t>
      </w:r>
      <w:r w:rsidR="003541B8">
        <w:t>–</w:t>
      </w:r>
      <w:r w:rsidRPr="00B70E82">
        <w:t>2019</w:t>
      </w:r>
      <w:r w:rsidR="003541B8">
        <w:t> </w:t>
      </w:r>
      <w:r w:rsidRPr="00B70E82">
        <w:t>годы.</w:t>
      </w:r>
    </w:p>
    <w:p w:rsidR="000A22D6" w:rsidRPr="00B70E82" w:rsidRDefault="000A22D6" w:rsidP="000A22D6">
      <w:pPr>
        <w:pStyle w:val="SingleTxtGR"/>
      </w:pPr>
      <w:r w:rsidRPr="00B70E82">
        <w:t>117.</w:t>
      </w:r>
      <w:r w:rsidRPr="00B70E82">
        <w:tab/>
        <w:t>Поскольку Мьянма является членом АСЕАН, Департамент социального обеспечения будет расширять региональное сотрудничество с государствами АСЕАН в целях эффективного выполнения положений Балийской декларации о</w:t>
      </w:r>
      <w:r w:rsidR="00CA5325">
        <w:t> </w:t>
      </w:r>
      <w:r w:rsidRPr="00B70E82">
        <w:t>повышении роли инвалидов и расширении их участия в сообществе АСЕАН и</w:t>
      </w:r>
      <w:r w:rsidR="00CA5325">
        <w:t> </w:t>
      </w:r>
      <w:r w:rsidRPr="00B70E82">
        <w:t>реализации основных принципов и деятельности в 15</w:t>
      </w:r>
      <w:r w:rsidR="00CA5325">
        <w:t> </w:t>
      </w:r>
      <w:r w:rsidRPr="00B70E82">
        <w:t>крупных приоритетных областях Десятилетия инвалидов АСЕАН (2011</w:t>
      </w:r>
      <w:r w:rsidR="003541B8">
        <w:t>–</w:t>
      </w:r>
      <w:r w:rsidRPr="00B70E82">
        <w:t>2020</w:t>
      </w:r>
      <w:r w:rsidR="00CA5325">
        <w:t> </w:t>
      </w:r>
      <w:r w:rsidRPr="00B70E82">
        <w:t>годов).</w:t>
      </w:r>
    </w:p>
    <w:p w:rsidR="000A22D6" w:rsidRPr="00B70E82" w:rsidRDefault="000A22D6" w:rsidP="000A22D6">
      <w:pPr>
        <w:pStyle w:val="H1GR"/>
      </w:pPr>
      <w:r w:rsidRPr="00B70E82">
        <w:lastRenderedPageBreak/>
        <w:tab/>
      </w:r>
      <w:r w:rsidRPr="00B70E82">
        <w:tab/>
        <w:t>Национальное осуществление и мониторинг</w:t>
      </w:r>
      <w:bookmarkStart w:id="39" w:name="_Toc494819957"/>
      <w:bookmarkEnd w:id="39"/>
    </w:p>
    <w:p w:rsidR="000A22D6" w:rsidRPr="00B70E82" w:rsidRDefault="000A22D6" w:rsidP="000A22D6">
      <w:pPr>
        <w:pStyle w:val="SingleTxtGR"/>
      </w:pPr>
      <w:r w:rsidRPr="00B70E82">
        <w:t>118.</w:t>
      </w:r>
      <w:r w:rsidRPr="00B70E82">
        <w:tab/>
        <w:t>В интересах обеспечения прав инвалидов и повышения качества их жизни разработан проект закона о правах инвалидов. В законопроекте предусмотрен порядок образования национальных комитетов по правам инвалидов на</w:t>
      </w:r>
      <w:r w:rsidR="00CA5325">
        <w:t> </w:t>
      </w:r>
      <w:r w:rsidRPr="00B70E82">
        <w:t>уровне штатов и регионов и Национального центра по вопросам инвалидности и определен круг их обязанностей и полномочий.</w:t>
      </w:r>
    </w:p>
    <w:p w:rsidR="000A22D6" w:rsidRPr="00B70E82" w:rsidRDefault="000A22D6" w:rsidP="000A22D6">
      <w:pPr>
        <w:pStyle w:val="HChGR"/>
      </w:pPr>
      <w:r w:rsidRPr="00B70E82">
        <w:tab/>
      </w:r>
      <w:r w:rsidRPr="00B70E82">
        <w:tab/>
        <w:t>Заключение</w:t>
      </w:r>
      <w:bookmarkStart w:id="40" w:name="_Toc494819958"/>
      <w:bookmarkEnd w:id="40"/>
    </w:p>
    <w:p w:rsidR="000A22D6" w:rsidRPr="00B70E82" w:rsidRDefault="000A22D6" w:rsidP="000A22D6">
      <w:pPr>
        <w:pStyle w:val="SingleTxtGR"/>
      </w:pPr>
      <w:r w:rsidRPr="00B70E82">
        <w:t>119.</w:t>
      </w:r>
      <w:r w:rsidRPr="00B70E82">
        <w:tab/>
        <w:t>Несмотря на осуществление в Мьянме деятельности в интересах инвалидов, впереди, как показал циклон Наргис, предстоит большая работа. Ввиду этого Мьянма прилагает максимум усилий, чтобы жизнь инвалидов</w:t>
      </w:r>
      <w:r w:rsidR="00CA5325">
        <w:t xml:space="preserve"> </w:t>
      </w:r>
      <w:r w:rsidRPr="00B70E82">
        <w:t>была достойной и более долгой. После ратификации новым правительством страны Конвенции Организации Объединенных Наций о правах инвалидов Мьянма будет и впредь целенаправленно прилагать согласованные усилия для реального осуществления прав инвалидов, что имеет основополагающее значение для их</w:t>
      </w:r>
      <w:r w:rsidR="00CA5325">
        <w:t> </w:t>
      </w:r>
      <w:r w:rsidRPr="00B70E82">
        <w:t>всестороннего развития.</w:t>
      </w:r>
    </w:p>
    <w:p w:rsidR="000A22D6" w:rsidRPr="00B248B6" w:rsidRDefault="000A22D6" w:rsidP="000A22D6">
      <w:pPr>
        <w:keepNext/>
        <w:spacing w:before="240" w:after="720"/>
        <w:jc w:val="center"/>
        <w:rPr>
          <w:color w:val="000000"/>
          <w:u w:val="single"/>
        </w:rPr>
      </w:pPr>
      <w:r w:rsidRPr="0045583B">
        <w:rPr>
          <w:color w:val="000000"/>
          <w:u w:val="single"/>
        </w:rPr>
        <w:tab/>
      </w:r>
      <w:r w:rsidRPr="0045583B">
        <w:rPr>
          <w:color w:val="000000"/>
          <w:u w:val="single"/>
        </w:rPr>
        <w:tab/>
      </w:r>
      <w:r w:rsidRPr="0045583B">
        <w:rPr>
          <w:color w:val="000000"/>
          <w:u w:val="single"/>
        </w:rPr>
        <w:tab/>
      </w:r>
    </w:p>
    <w:sectPr w:rsidR="000A22D6" w:rsidRPr="00B248B6" w:rsidSect="002150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62" w:rsidRPr="00A312BC" w:rsidRDefault="00B01062" w:rsidP="00A312BC"/>
  </w:endnote>
  <w:endnote w:type="continuationSeparator" w:id="0">
    <w:p w:rsidR="00B01062" w:rsidRPr="00A312BC" w:rsidRDefault="00B010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92" w:rsidRPr="00C913D6" w:rsidRDefault="00AA0E92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3D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7</w:t>
    </w:r>
    <w:r>
      <w:rPr>
        <w:lang w:val="en-US"/>
      </w:rPr>
      <w:t>-1</w:t>
    </w:r>
    <w:r>
      <w:rPr>
        <w:lang w:val="ru-RU"/>
      </w:rPr>
      <w:t xml:space="preserve">7622 </w:t>
    </w:r>
    <w:r>
      <w:rPr>
        <w:lang w:val="en-US"/>
      </w:rPr>
      <w:t xml:space="preserve"> (EXT)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92" w:rsidRPr="00C913D6" w:rsidRDefault="00AA0E92">
    <w:pPr>
      <w:pStyle w:val="Footer"/>
      <w:rPr>
        <w:lang w:val="ru-RU"/>
      </w:rPr>
    </w:pPr>
    <w:r>
      <w:rPr>
        <w:lang w:val="en-US"/>
      </w:rPr>
      <w:t>GE.1</w:t>
    </w:r>
    <w:r>
      <w:rPr>
        <w:lang w:val="ru-RU"/>
      </w:rPr>
      <w:t>7</w:t>
    </w:r>
    <w:r>
      <w:rPr>
        <w:lang w:val="en-US"/>
      </w:rPr>
      <w:t>-1</w:t>
    </w:r>
    <w:r>
      <w:rPr>
        <w:lang w:val="ru-RU"/>
      </w:rPr>
      <w:t>7622</w:t>
    </w:r>
    <w:r>
      <w:rPr>
        <w:lang w:val="en-US"/>
      </w:rPr>
      <w:t xml:space="preserve"> </w:t>
    </w:r>
    <w:r>
      <w:rPr>
        <w:lang w:val="ru-RU"/>
      </w:rPr>
      <w:t xml:space="preserve"> </w:t>
    </w:r>
    <w:r>
      <w:rPr>
        <w:lang w:val="en-US"/>
      </w:rPr>
      <w:t>(EXT)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3DF7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92" w:rsidRDefault="00EA5B9C" w:rsidP="00C106D6"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-118110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" name="Picture 3" descr="http://undocs.org/m2/QRCode.ashx?DS=CRPD/C/MMR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ndocs.org/m2/QRCode.ashx?DS=CRPD/C/MMR/1&amp;Size=2&amp;Lang=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2677795</wp:posOffset>
          </wp:positionH>
          <wp:positionV relativeFrom="margin">
            <wp:posOffset>9109075</wp:posOffset>
          </wp:positionV>
          <wp:extent cx="2656840" cy="277495"/>
          <wp:effectExtent l="0" t="0" r="0" b="0"/>
          <wp:wrapNone/>
          <wp:docPr id="1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recycle_Russi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E92">
      <w:rPr>
        <w:lang w:val="en-US"/>
      </w:rPr>
      <w:t>GE.1</w:t>
    </w:r>
    <w:r w:rsidR="00AA0E92">
      <w:t>7-17622</w:t>
    </w:r>
    <w:r w:rsidR="00AA0E92">
      <w:rPr>
        <w:lang w:val="en-US"/>
      </w:rPr>
      <w:t xml:space="preserve"> </w:t>
    </w:r>
    <w:r w:rsidR="00AA0E92">
      <w:t xml:space="preserve"> </w:t>
    </w:r>
    <w:r w:rsidR="00AA0E92" w:rsidRPr="00C85D0C">
      <w:rPr>
        <w:lang w:val="en-US"/>
      </w:rPr>
      <w:t>(EXT)</w:t>
    </w:r>
    <w:r>
      <w:rPr>
        <w:lang w:val="en-US"/>
      </w:rPr>
      <w:br/>
    </w:r>
    <w:r w:rsidRPr="00EA5B9C">
      <w:rPr>
        <w:rFonts w:ascii="C39T30Lfz" w:hAnsi="C39T30Lfz"/>
        <w:sz w:val="56"/>
        <w:lang w:val="en-US"/>
      </w:rPr>
      <w:t></w:t>
    </w:r>
    <w:r w:rsidRPr="00EA5B9C">
      <w:rPr>
        <w:rFonts w:ascii="C39T30Lfz" w:hAnsi="C39T30Lfz"/>
        <w:sz w:val="56"/>
        <w:lang w:val="en-US"/>
      </w:rPr>
      <w:t></w:t>
    </w:r>
    <w:r w:rsidRPr="00EA5B9C">
      <w:rPr>
        <w:rFonts w:ascii="C39T30Lfz" w:hAnsi="C39T30Lfz"/>
        <w:sz w:val="56"/>
        <w:lang w:val="en-US"/>
      </w:rPr>
      <w:t></w:t>
    </w:r>
    <w:r w:rsidRPr="00EA5B9C">
      <w:rPr>
        <w:rFonts w:ascii="C39T30Lfz" w:hAnsi="C39T30Lfz"/>
        <w:sz w:val="56"/>
        <w:lang w:val="en-US"/>
      </w:rPr>
      <w:t></w:t>
    </w:r>
    <w:r w:rsidRPr="00EA5B9C">
      <w:rPr>
        <w:rFonts w:ascii="C39T30Lfz" w:hAnsi="C39T30Lfz"/>
        <w:sz w:val="56"/>
        <w:lang w:val="en-US"/>
      </w:rPr>
      <w:t></w:t>
    </w:r>
    <w:r w:rsidRPr="00EA5B9C">
      <w:rPr>
        <w:rFonts w:ascii="C39T30Lfz" w:hAnsi="C39T30Lfz"/>
        <w:sz w:val="56"/>
        <w:lang w:val="en-US"/>
      </w:rPr>
      <w:t></w:t>
    </w:r>
    <w:r w:rsidRPr="00EA5B9C">
      <w:rPr>
        <w:rFonts w:ascii="C39T30Lfz" w:hAnsi="C39T30Lfz"/>
        <w:sz w:val="56"/>
        <w:lang w:val="en-US"/>
      </w:rPr>
      <w:t></w:t>
    </w:r>
    <w:r w:rsidRPr="00EA5B9C">
      <w:rPr>
        <w:rFonts w:ascii="C39T30Lfz" w:hAnsi="C39T30Lfz"/>
        <w:sz w:val="56"/>
        <w:lang w:val="en-US"/>
      </w:rPr>
      <w:t></w:t>
    </w:r>
    <w:r w:rsidRPr="00EA5B9C">
      <w:rPr>
        <w:rFonts w:ascii="C39T30Lfz" w:hAnsi="C39T30Lfz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62" w:rsidRPr="001075E9" w:rsidRDefault="00B010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1062" w:rsidRDefault="00B010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A0E92" w:rsidRPr="008D1BD1" w:rsidRDefault="00AA0E92" w:rsidP="00C913D6">
      <w:pPr>
        <w:pStyle w:val="FootnoteText"/>
        <w:rPr>
          <w:lang w:val="ru-RU"/>
        </w:rPr>
      </w:pPr>
      <w:r w:rsidRPr="00B70E82">
        <w:tab/>
      </w:r>
      <w:r w:rsidRPr="008D1BD1">
        <w:rPr>
          <w:sz w:val="20"/>
          <w:lang w:val="ru-RU"/>
        </w:rPr>
        <w:t>*</w:t>
      </w:r>
      <w:r w:rsidRPr="008D1BD1">
        <w:rPr>
          <w:lang w:val="ru-RU"/>
        </w:rPr>
        <w:tab/>
        <w:t>Настоящий документ выпускается без официального редактирования.</w:t>
      </w:r>
    </w:p>
  </w:footnote>
  <w:footnote w:id="2">
    <w:p w:rsidR="00AA0E92" w:rsidRPr="008D1BD1" w:rsidRDefault="00AA0E92" w:rsidP="00C913D6">
      <w:pPr>
        <w:pStyle w:val="FootnoteText"/>
        <w:rPr>
          <w:lang w:val="ru-RU"/>
        </w:rPr>
      </w:pPr>
      <w:r w:rsidRPr="008D1BD1">
        <w:rPr>
          <w:lang w:val="ru-RU"/>
        </w:rPr>
        <w:tab/>
      </w:r>
      <w:r w:rsidRPr="008D1BD1">
        <w:rPr>
          <w:sz w:val="20"/>
          <w:lang w:val="ru-RU"/>
        </w:rPr>
        <w:t>**</w:t>
      </w:r>
      <w:r w:rsidRPr="008D1BD1">
        <w:rPr>
          <w:lang w:val="ru-RU"/>
        </w:rPr>
        <w:tab/>
        <w:t>С приложениями можно ознакомиться в архиве секретариата.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92" w:rsidRPr="00C913D6" w:rsidRDefault="00AA0E92" w:rsidP="00C913D6">
    <w:pPr>
      <w:pStyle w:val="Header"/>
      <w:rPr>
        <w:lang w:val="ru-RU"/>
      </w:rPr>
    </w:pPr>
    <w:r>
      <w:t>CRPD/C/MMR/1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E92" w:rsidRPr="00C913D6" w:rsidRDefault="00AA0E92" w:rsidP="00C913D6">
    <w:pPr>
      <w:pStyle w:val="Header"/>
      <w:jc w:val="right"/>
      <w:rPr>
        <w:lang w:val="ru-RU"/>
      </w:rPr>
    </w:pPr>
    <w:r>
      <w:t>CRPD/C/MMR/1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22"/>
    <w:rsid w:val="00026643"/>
    <w:rsid w:val="00033EE1"/>
    <w:rsid w:val="00042B72"/>
    <w:rsid w:val="000558BD"/>
    <w:rsid w:val="0008696D"/>
    <w:rsid w:val="000A22D6"/>
    <w:rsid w:val="000B1822"/>
    <w:rsid w:val="000B57E7"/>
    <w:rsid w:val="000B59CE"/>
    <w:rsid w:val="000B6373"/>
    <w:rsid w:val="000B732B"/>
    <w:rsid w:val="000D06BD"/>
    <w:rsid w:val="000D1E68"/>
    <w:rsid w:val="000F09DF"/>
    <w:rsid w:val="000F2E26"/>
    <w:rsid w:val="000F61B2"/>
    <w:rsid w:val="001075E9"/>
    <w:rsid w:val="00144089"/>
    <w:rsid w:val="00146C84"/>
    <w:rsid w:val="00180183"/>
    <w:rsid w:val="0018024D"/>
    <w:rsid w:val="0018649F"/>
    <w:rsid w:val="00196389"/>
    <w:rsid w:val="001B3EF6"/>
    <w:rsid w:val="001C499F"/>
    <w:rsid w:val="001C7A89"/>
    <w:rsid w:val="00215062"/>
    <w:rsid w:val="0027441B"/>
    <w:rsid w:val="00280C12"/>
    <w:rsid w:val="0028395F"/>
    <w:rsid w:val="002846B3"/>
    <w:rsid w:val="002A2EFC"/>
    <w:rsid w:val="002A4A09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0E7A"/>
    <w:rsid w:val="00322004"/>
    <w:rsid w:val="003349E4"/>
    <w:rsid w:val="003402C2"/>
    <w:rsid w:val="00345090"/>
    <w:rsid w:val="003541B8"/>
    <w:rsid w:val="00381C24"/>
    <w:rsid w:val="003958D0"/>
    <w:rsid w:val="003B00E5"/>
    <w:rsid w:val="00407B78"/>
    <w:rsid w:val="00424203"/>
    <w:rsid w:val="00452493"/>
    <w:rsid w:val="00453318"/>
    <w:rsid w:val="00454E07"/>
    <w:rsid w:val="004707BC"/>
    <w:rsid w:val="00472C5C"/>
    <w:rsid w:val="0048165D"/>
    <w:rsid w:val="004C06EE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05EC2"/>
    <w:rsid w:val="00652A3C"/>
    <w:rsid w:val="00662374"/>
    <w:rsid w:val="00681A10"/>
    <w:rsid w:val="00692C50"/>
    <w:rsid w:val="006A1ED8"/>
    <w:rsid w:val="006B5625"/>
    <w:rsid w:val="006C2031"/>
    <w:rsid w:val="006D461A"/>
    <w:rsid w:val="006D60BF"/>
    <w:rsid w:val="006F35EE"/>
    <w:rsid w:val="007021FF"/>
    <w:rsid w:val="00712895"/>
    <w:rsid w:val="007410DF"/>
    <w:rsid w:val="00757357"/>
    <w:rsid w:val="007C3F50"/>
    <w:rsid w:val="00806737"/>
    <w:rsid w:val="00825F8D"/>
    <w:rsid w:val="00833758"/>
    <w:rsid w:val="00833FE2"/>
    <w:rsid w:val="00834B71"/>
    <w:rsid w:val="0086445C"/>
    <w:rsid w:val="008934D2"/>
    <w:rsid w:val="00894693"/>
    <w:rsid w:val="008A08D7"/>
    <w:rsid w:val="008B6909"/>
    <w:rsid w:val="008D1BD1"/>
    <w:rsid w:val="008D5096"/>
    <w:rsid w:val="00903712"/>
    <w:rsid w:val="00906890"/>
    <w:rsid w:val="00911BE4"/>
    <w:rsid w:val="00951972"/>
    <w:rsid w:val="009608F3"/>
    <w:rsid w:val="009A24AC"/>
    <w:rsid w:val="009A398D"/>
    <w:rsid w:val="009C543B"/>
    <w:rsid w:val="009D24AA"/>
    <w:rsid w:val="00A14DA8"/>
    <w:rsid w:val="00A27F14"/>
    <w:rsid w:val="00A312BC"/>
    <w:rsid w:val="00A35E40"/>
    <w:rsid w:val="00A84021"/>
    <w:rsid w:val="00A84D35"/>
    <w:rsid w:val="00A917B3"/>
    <w:rsid w:val="00AA0E92"/>
    <w:rsid w:val="00AB4B51"/>
    <w:rsid w:val="00AC12E8"/>
    <w:rsid w:val="00B01062"/>
    <w:rsid w:val="00B068EE"/>
    <w:rsid w:val="00B10CC7"/>
    <w:rsid w:val="00B23DF7"/>
    <w:rsid w:val="00B355D5"/>
    <w:rsid w:val="00B36DF7"/>
    <w:rsid w:val="00B4484B"/>
    <w:rsid w:val="00B539E7"/>
    <w:rsid w:val="00B62458"/>
    <w:rsid w:val="00B71C0D"/>
    <w:rsid w:val="00B87624"/>
    <w:rsid w:val="00BC18B2"/>
    <w:rsid w:val="00BD33EE"/>
    <w:rsid w:val="00C106D6"/>
    <w:rsid w:val="00C536E8"/>
    <w:rsid w:val="00C60F0C"/>
    <w:rsid w:val="00C805C9"/>
    <w:rsid w:val="00C913D6"/>
    <w:rsid w:val="00C92939"/>
    <w:rsid w:val="00CA1679"/>
    <w:rsid w:val="00CA5325"/>
    <w:rsid w:val="00CB151C"/>
    <w:rsid w:val="00CE5A1A"/>
    <w:rsid w:val="00CF55F6"/>
    <w:rsid w:val="00D33D63"/>
    <w:rsid w:val="00D545B0"/>
    <w:rsid w:val="00D90028"/>
    <w:rsid w:val="00D90138"/>
    <w:rsid w:val="00DD78D1"/>
    <w:rsid w:val="00DE32CD"/>
    <w:rsid w:val="00DF71B9"/>
    <w:rsid w:val="00E0018F"/>
    <w:rsid w:val="00E30B7B"/>
    <w:rsid w:val="00E73F76"/>
    <w:rsid w:val="00E77684"/>
    <w:rsid w:val="00EA2C9F"/>
    <w:rsid w:val="00EA420E"/>
    <w:rsid w:val="00EA5B9C"/>
    <w:rsid w:val="00ED0BDA"/>
    <w:rsid w:val="00EE27D7"/>
    <w:rsid w:val="00EE2C0E"/>
    <w:rsid w:val="00EF1360"/>
    <w:rsid w:val="00EF3220"/>
    <w:rsid w:val="00F15502"/>
    <w:rsid w:val="00F17D9C"/>
    <w:rsid w:val="00F42B78"/>
    <w:rsid w:val="00F43903"/>
    <w:rsid w:val="00F90239"/>
    <w:rsid w:val="00F94155"/>
    <w:rsid w:val="00F9783F"/>
    <w:rsid w:val="00FB23B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08E36"/>
  <w15:docId w15:val="{DC5CC0C2-3CC1-4CC1-B570-9794EDFF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50"/>
    <w:pPr>
      <w:spacing w:line="240" w:lineRule="atLeast"/>
    </w:pPr>
    <w:rPr>
      <w:rFonts w:eastAsia="Calibri" w:cs="Arial"/>
      <w:spacing w:val="4"/>
      <w:w w:val="103"/>
      <w:kern w:val="14"/>
      <w:szCs w:val="22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7C3F50"/>
    <w:pPr>
      <w:keepNext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semiHidden/>
    <w:rsid w:val="007C3F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7C3F50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3F50"/>
    <w:rPr>
      <w:rFonts w:ascii="Tahoma" w:eastAsia="Calibr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7C3F50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7C3F50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link w:val="Header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qFormat/>
    <w:rsid w:val="007C3F50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link w:val="Footer"/>
    <w:rsid w:val="007C3F50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C499F"/>
    <w:rPr>
      <w:rFonts w:eastAsia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link w:val="FootnoteText"/>
    <w:rsid w:val="007C3F50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7C3F50"/>
  </w:style>
  <w:style w:type="character" w:customStyle="1" w:styleId="EndnoteTextChar">
    <w:name w:val="Endnote Text Char"/>
    <w:aliases w:val="2_GR Char"/>
    <w:link w:val="EndnoteText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link w:val="Heading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semiHidden/>
    <w:unhideWhenUsed/>
    <w:rsid w:val="007C3F50"/>
    <w:rPr>
      <w:color w:val="0000FF"/>
      <w:u w:val="none"/>
    </w:rPr>
  </w:style>
  <w:style w:type="character" w:styleId="FollowedHyperlink">
    <w:name w:val="FollowedHyperlink"/>
    <w:semiHidden/>
    <w:unhideWhenUsed/>
    <w:rsid w:val="007C3F50"/>
    <w:rPr>
      <w:color w:val="8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5AAA-8EAA-42FE-8DEB-96D1BB26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24</Pages>
  <Words>10467</Words>
  <Characters>59666</Characters>
  <Application>Microsoft Office Word</Application>
  <DocSecurity>0</DocSecurity>
  <Lines>497</Lines>
  <Paragraphs>139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</dc:title>
  <dc:creator>CentrMash2</dc:creator>
  <cp:lastModifiedBy>Weixiu YANG</cp:lastModifiedBy>
  <cp:revision>4</cp:revision>
  <cp:lastPrinted>2017-11-27T10:59:00Z</cp:lastPrinted>
  <dcterms:created xsi:type="dcterms:W3CDTF">2017-11-27T10:59:00Z</dcterms:created>
  <dcterms:modified xsi:type="dcterms:W3CDTF">2017-11-27T11:02:00Z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