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F0041" w:rsidP="00DF0041">
            <w:pPr>
              <w:bidi w:val="0"/>
              <w:spacing w:after="20"/>
              <w:jc w:val="left"/>
              <w:rPr>
                <w:szCs w:val="20"/>
              </w:rPr>
            </w:pPr>
            <w:r w:rsidRPr="00DF0041">
              <w:rPr>
                <w:sz w:val="40"/>
                <w:szCs w:val="20"/>
              </w:rPr>
              <w:t>CAT</w:t>
            </w:r>
            <w:r>
              <w:rPr>
                <w:szCs w:val="20"/>
              </w:rPr>
              <w:t>/C/TJK/CO/2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F0041" w:rsidRDefault="00DF0041" w:rsidP="00DF0041">
            <w:pPr>
              <w:bidi w:val="0"/>
              <w:spacing w:before="240"/>
              <w:jc w:val="left"/>
            </w:pPr>
            <w:r>
              <w:t>Distr.: General</w:t>
            </w:r>
          </w:p>
          <w:p w:rsidR="00DF0041" w:rsidRDefault="00DF0041" w:rsidP="00DF0041">
            <w:pPr>
              <w:bidi w:val="0"/>
              <w:jc w:val="left"/>
            </w:pPr>
            <w:r>
              <w:t>21 January 2013</w:t>
            </w:r>
          </w:p>
          <w:p w:rsidR="00DF0041" w:rsidRDefault="00DF0041" w:rsidP="00DF0041">
            <w:pPr>
              <w:bidi w:val="0"/>
              <w:jc w:val="left"/>
            </w:pPr>
            <w:r>
              <w:t>Arabic</w:t>
            </w:r>
          </w:p>
          <w:p w:rsidR="00257225" w:rsidRPr="008B4BC6" w:rsidRDefault="00DF0041" w:rsidP="00DF0041">
            <w:pPr>
              <w:bidi w:val="0"/>
              <w:jc w:val="left"/>
            </w:pPr>
            <w:r>
              <w:t>Original: English</w:t>
            </w:r>
          </w:p>
        </w:tc>
      </w:tr>
    </w:tbl>
    <w:p w:rsidR="00D6238F" w:rsidRDefault="00D6238F" w:rsidP="00D6238F">
      <w:pPr>
        <w:spacing w:before="120" w:line="380" w:lineRule="exact"/>
        <w:rPr>
          <w:rFonts w:hint="cs"/>
          <w:b/>
          <w:bCs/>
          <w:sz w:val="36"/>
          <w:szCs w:val="36"/>
          <w:rtl/>
        </w:rPr>
      </w:pPr>
      <w:r w:rsidRPr="00CD6028">
        <w:rPr>
          <w:rFonts w:hint="cs"/>
          <w:b/>
          <w:bCs/>
          <w:sz w:val="36"/>
          <w:szCs w:val="36"/>
          <w:rtl/>
        </w:rPr>
        <w:t>لجنة مناهضة التعذيب</w:t>
      </w:r>
    </w:p>
    <w:p w:rsidR="00D6238F" w:rsidRDefault="00D6238F" w:rsidP="00575A6A">
      <w:pPr>
        <w:pStyle w:val="HChGA"/>
        <w:rPr>
          <w:lang w:val="fr-CH"/>
        </w:rPr>
      </w:pPr>
      <w:r>
        <w:rPr>
          <w:rFonts w:hint="cs"/>
          <w:rtl/>
          <w:lang w:val="fr-CH"/>
        </w:rPr>
        <w:tab/>
      </w:r>
      <w:r>
        <w:rPr>
          <w:rFonts w:hint="cs"/>
          <w:rtl/>
          <w:lang w:val="fr-CH"/>
        </w:rPr>
        <w:tab/>
        <w:t>الملاحظات الختامية بشأن التقرير الدوري الثاني لطاجيكستان، التي اعتمدتها لجنة مناهضة التعذيب في دورتها التاسعة والأربعين (29 تشرين الأول/أكتوبر - 23 تشرين الثاني/نوفمبر 2012)</w:t>
      </w:r>
    </w:p>
    <w:p w:rsidR="00D6238F" w:rsidRDefault="00D6238F" w:rsidP="00575A6A">
      <w:pPr>
        <w:pStyle w:val="SingleTxtGA"/>
        <w:rPr>
          <w:rFonts w:hint="cs"/>
          <w:rtl/>
        </w:rPr>
      </w:pPr>
      <w:r>
        <w:rPr>
          <w:rFonts w:hint="cs"/>
          <w:rtl/>
          <w:lang w:val="fr-CH"/>
        </w:rPr>
        <w:t>1-</w:t>
      </w:r>
      <w:r>
        <w:rPr>
          <w:rFonts w:hint="cs"/>
          <w:rtl/>
          <w:lang w:val="fr-CH"/>
        </w:rPr>
        <w:tab/>
        <w:t>نظرت لجنة مناهضة التعذيب في التقرير الدوري الثاني لطاجيكستان (</w:t>
      </w:r>
      <w:r>
        <w:t>CAT/C/TJK/2</w:t>
      </w:r>
      <w:r>
        <w:rPr>
          <w:rFonts w:hint="cs"/>
          <w:rtl/>
        </w:rPr>
        <w:t>) في جلستيها 1108 و1111 (</w:t>
      </w:r>
      <w:r>
        <w:t>CAT/C/SR.1108</w:t>
      </w:r>
      <w:r>
        <w:rPr>
          <w:rFonts w:hint="cs"/>
          <w:rtl/>
        </w:rPr>
        <w:t xml:space="preserve"> و</w:t>
      </w:r>
      <w:r>
        <w:t>CAT/C/SR.1111</w:t>
      </w:r>
      <w:r>
        <w:rPr>
          <w:rFonts w:hint="cs"/>
          <w:rtl/>
        </w:rPr>
        <w:t>)، المعقودتين في 7 و8 تشرين الثاني/نوفمبر 2012. واعتمدت في جلستيها</w:t>
      </w:r>
      <w:r w:rsidR="00575A6A">
        <w:rPr>
          <w:rFonts w:hint="cs"/>
          <w:rtl/>
        </w:rPr>
        <w:t xml:space="preserve"> </w:t>
      </w:r>
      <w:r>
        <w:rPr>
          <w:rFonts w:hint="cs"/>
          <w:rtl/>
        </w:rPr>
        <w:t>1126 و1127 (</w:t>
      </w:r>
      <w:r>
        <w:t>CAT/C/SR.1126</w:t>
      </w:r>
      <w:r>
        <w:rPr>
          <w:rFonts w:hint="cs"/>
          <w:rtl/>
        </w:rPr>
        <w:t xml:space="preserve"> و</w:t>
      </w:r>
      <w:r>
        <w:t>CAT/C/SR.1127</w:t>
      </w:r>
      <w:r>
        <w:rPr>
          <w:rFonts w:hint="cs"/>
          <w:rtl/>
        </w:rPr>
        <w:t>) المعقودتين في 20 تشرين الثاني/نوفمبر 2012، الملاحظات الختامية التالية.</w:t>
      </w:r>
    </w:p>
    <w:p w:rsidR="00D6238F" w:rsidRDefault="00D6238F" w:rsidP="00575A6A">
      <w:pPr>
        <w:pStyle w:val="H1GA"/>
        <w:rPr>
          <w:rFonts w:hint="cs"/>
          <w:rtl/>
        </w:rPr>
      </w:pPr>
      <w:r>
        <w:rPr>
          <w:rFonts w:hint="cs"/>
          <w:rtl/>
        </w:rPr>
        <w:tab/>
        <w:t>ألف-</w:t>
      </w:r>
      <w:r>
        <w:rPr>
          <w:rFonts w:hint="cs"/>
          <w:rtl/>
        </w:rPr>
        <w:tab/>
        <w:t>مقدمة</w:t>
      </w:r>
    </w:p>
    <w:p w:rsidR="00D6238F" w:rsidRDefault="00D6238F" w:rsidP="00575A6A">
      <w:pPr>
        <w:pStyle w:val="SingleTxtGA"/>
        <w:rPr>
          <w:rFonts w:hint="cs"/>
          <w:rtl/>
        </w:rPr>
      </w:pPr>
      <w:r>
        <w:rPr>
          <w:rFonts w:hint="cs"/>
          <w:rtl/>
        </w:rPr>
        <w:t>2-</w:t>
      </w:r>
      <w:r>
        <w:rPr>
          <w:rFonts w:hint="cs"/>
          <w:rtl/>
        </w:rPr>
        <w:tab/>
        <w:t xml:space="preserve">ترحب اللجنة بتقديم الدولة الطرف تقريرها الدوري الثاني وفقاً للمبادئ التوجيهية العامة المتعلقة بشكل التقارير الدورية ومحتوياتها. بيد أنها تأسف لعدم الرد على الأسئلة المحددة في إطار إجراء المتابعة. </w:t>
      </w:r>
    </w:p>
    <w:p w:rsidR="00D6238F" w:rsidRDefault="00D6238F" w:rsidP="00484ED2">
      <w:pPr>
        <w:pStyle w:val="SingleTxtGA"/>
        <w:rPr>
          <w:rFonts w:hint="cs"/>
          <w:rtl/>
        </w:rPr>
      </w:pPr>
      <w:r>
        <w:rPr>
          <w:rFonts w:hint="cs"/>
          <w:rtl/>
        </w:rPr>
        <w:t>3-</w:t>
      </w:r>
      <w:r>
        <w:rPr>
          <w:rFonts w:hint="cs"/>
          <w:rtl/>
        </w:rPr>
        <w:tab/>
      </w:r>
      <w:r w:rsidR="00575A6A">
        <w:rPr>
          <w:rFonts w:hint="cs"/>
          <w:rtl/>
        </w:rPr>
        <w:t xml:space="preserve">وتعرب </w:t>
      </w:r>
      <w:r>
        <w:rPr>
          <w:rFonts w:hint="cs"/>
          <w:rtl/>
        </w:rPr>
        <w:t xml:space="preserve">اللجنة أيضاً </w:t>
      </w:r>
      <w:r w:rsidR="00575A6A">
        <w:rPr>
          <w:rFonts w:hint="cs"/>
          <w:rtl/>
        </w:rPr>
        <w:t>عن تقديرها ل</w:t>
      </w:r>
      <w:r>
        <w:rPr>
          <w:rFonts w:hint="cs"/>
          <w:rtl/>
        </w:rPr>
        <w:t xml:space="preserve">لحوار الصريح والمفتوح الذي أجرته مع وفد رفيع المستوى من الدولة الطرف، </w:t>
      </w:r>
      <w:r w:rsidR="00484ED2">
        <w:rPr>
          <w:rFonts w:hint="cs"/>
          <w:rtl/>
        </w:rPr>
        <w:t>ول</w:t>
      </w:r>
      <w:r>
        <w:rPr>
          <w:rFonts w:hint="cs"/>
          <w:rtl/>
        </w:rPr>
        <w:t xml:space="preserve">تقديم ردود خطية على قائمة المسائل </w:t>
      </w:r>
      <w:r>
        <w:rPr>
          <w:rFonts w:hint="cs"/>
          <w:rtl/>
          <w:lang w:val="fr-CH"/>
        </w:rPr>
        <w:t>(</w:t>
      </w:r>
      <w:r>
        <w:t>CAT/C/TJK/Q/2/Add.1</w:t>
      </w:r>
      <w:r>
        <w:rPr>
          <w:rFonts w:hint="cs"/>
          <w:rtl/>
        </w:rPr>
        <w:t>)، و</w:t>
      </w:r>
      <w:r w:rsidR="00484ED2">
        <w:rPr>
          <w:rFonts w:hint="cs"/>
          <w:rtl/>
        </w:rPr>
        <w:t>ل</w:t>
      </w:r>
      <w:r>
        <w:rPr>
          <w:rFonts w:hint="cs"/>
          <w:rtl/>
        </w:rPr>
        <w:t>لمعلومات الإضافية التي قدمها الوفد شفوياً.</w:t>
      </w:r>
    </w:p>
    <w:p w:rsidR="00D6238F" w:rsidRDefault="00D6238F" w:rsidP="00AC45EF">
      <w:pPr>
        <w:pStyle w:val="H1GA"/>
        <w:rPr>
          <w:rFonts w:hint="cs"/>
          <w:rtl/>
        </w:rPr>
      </w:pPr>
      <w:r>
        <w:rPr>
          <w:rFonts w:hint="cs"/>
          <w:rtl/>
        </w:rPr>
        <w:tab/>
        <w:t>باء-</w:t>
      </w:r>
      <w:r>
        <w:rPr>
          <w:rFonts w:hint="cs"/>
          <w:rtl/>
        </w:rPr>
        <w:tab/>
        <w:t>الجوانب الإيجابية</w:t>
      </w:r>
    </w:p>
    <w:p w:rsidR="00D6238F" w:rsidRDefault="00D6238F" w:rsidP="00575A6A">
      <w:pPr>
        <w:pStyle w:val="SingleTxtGA"/>
        <w:rPr>
          <w:rFonts w:hint="cs"/>
          <w:rtl/>
        </w:rPr>
      </w:pPr>
      <w:r>
        <w:rPr>
          <w:rFonts w:hint="cs"/>
          <w:rtl/>
        </w:rPr>
        <w:t>4-</w:t>
      </w:r>
      <w:r>
        <w:rPr>
          <w:rFonts w:hint="cs"/>
          <w:rtl/>
        </w:rPr>
        <w:tab/>
        <w:t>ترحب اللجنة بالتدابير التشريعية المتخذة أثناء الفترة قيد الاستعراض، بما في ذلك:</w:t>
      </w:r>
    </w:p>
    <w:p w:rsidR="00D6238F" w:rsidRDefault="00D6238F" w:rsidP="00575A6A">
      <w:pPr>
        <w:pStyle w:val="SingleTxtGA"/>
        <w:rPr>
          <w:rFonts w:hint="cs"/>
          <w:rtl/>
        </w:rPr>
      </w:pPr>
      <w:r>
        <w:rPr>
          <w:rFonts w:hint="cs"/>
          <w:rtl/>
        </w:rPr>
        <w:tab/>
        <w:t>(أ)</w:t>
      </w:r>
      <w:r>
        <w:rPr>
          <w:rFonts w:hint="cs"/>
          <w:rtl/>
        </w:rPr>
        <w:tab/>
        <w:t>اعتماد قانون الإجراءات الإدارية في آذار/مارس 2007؛</w:t>
      </w:r>
    </w:p>
    <w:p w:rsidR="00D6238F" w:rsidRPr="00A824E2" w:rsidRDefault="00D6238F" w:rsidP="00DC1CA5">
      <w:pPr>
        <w:pStyle w:val="SingleTxtGA"/>
        <w:rPr>
          <w:lang w:val="fr-CH" w:bidi="ar-MA"/>
        </w:rPr>
      </w:pPr>
      <w:r>
        <w:rPr>
          <w:rFonts w:hint="cs"/>
          <w:rtl/>
        </w:rPr>
        <w:tab/>
        <w:t>(ب)</w:t>
      </w:r>
      <w:r>
        <w:rPr>
          <w:rFonts w:hint="cs"/>
          <w:rtl/>
        </w:rPr>
        <w:tab/>
        <w:t>اعتماد قانون الإجراء</w:t>
      </w:r>
      <w:r w:rsidR="00DC1CA5">
        <w:rPr>
          <w:rFonts w:hint="cs"/>
          <w:rtl/>
        </w:rPr>
        <w:t>ات الجنائية في آذار/مارس 2008 لاستحداث جلسات للبت في الحبس الاحتياطي</w:t>
      </w:r>
      <w:r w:rsidR="00882316">
        <w:rPr>
          <w:rFonts w:hint="cs"/>
          <w:rtl/>
        </w:rPr>
        <w:t>،</w:t>
      </w:r>
      <w:r w:rsidR="00DC1CA5">
        <w:rPr>
          <w:rFonts w:hint="cs"/>
          <w:rtl/>
        </w:rPr>
        <w:t xml:space="preserve"> </w:t>
      </w:r>
      <w:r>
        <w:rPr>
          <w:rFonts w:hint="cs"/>
          <w:rtl/>
        </w:rPr>
        <w:t xml:space="preserve">ونقل صلاحية </w:t>
      </w:r>
      <w:r>
        <w:rPr>
          <w:rFonts w:hint="cs"/>
          <w:rtl/>
          <w:lang w:val="fr-CH" w:bidi="ar-MA"/>
        </w:rPr>
        <w:t>إجازة الاحتجاز قبل المحاكمة من المدعين العامين إلى القضاة؛</w:t>
      </w:r>
    </w:p>
    <w:p w:rsidR="00D6238F" w:rsidRPr="00E85B7D" w:rsidRDefault="00D6238F" w:rsidP="00575A6A">
      <w:pPr>
        <w:pStyle w:val="SingleTxtGA"/>
        <w:rPr>
          <w:lang w:val="fr-CH" w:bidi="ar-MA"/>
        </w:rPr>
      </w:pPr>
      <w:r>
        <w:rPr>
          <w:rFonts w:hint="cs"/>
          <w:rtl/>
        </w:rPr>
        <w:tab/>
        <w:t>(ج)</w:t>
      </w:r>
      <w:r>
        <w:rPr>
          <w:rFonts w:hint="cs"/>
          <w:rtl/>
        </w:rPr>
        <w:tab/>
        <w:t>ا</w:t>
      </w:r>
      <w:r>
        <w:rPr>
          <w:rFonts w:hint="cs"/>
          <w:rtl/>
          <w:lang w:bidi="ar-MA"/>
        </w:rPr>
        <w:t>عتماد القانون المتعلق بمفوض ح</w:t>
      </w:r>
      <w:r>
        <w:rPr>
          <w:rFonts w:hint="cs"/>
          <w:rtl/>
          <w:lang w:val="fr-CH" w:bidi="ar-MA"/>
        </w:rPr>
        <w:t>قوق الإنسان في آذار/مارس 2008 وتعيين أول مفوض لحقوق الإنسان (أمين المظالم) في أيار/مايو 2009؛</w:t>
      </w:r>
    </w:p>
    <w:p w:rsidR="00D6238F" w:rsidRDefault="00D6238F" w:rsidP="00575A6A">
      <w:pPr>
        <w:pStyle w:val="SingleTxtGA"/>
        <w:rPr>
          <w:rFonts w:hint="cs"/>
          <w:rtl/>
          <w:lang w:bidi="ar-MA"/>
        </w:rPr>
      </w:pPr>
      <w:r>
        <w:rPr>
          <w:rFonts w:hint="cs"/>
          <w:rtl/>
        </w:rPr>
        <w:tab/>
        <w:t>(د)</w:t>
      </w:r>
      <w:r>
        <w:rPr>
          <w:rFonts w:hint="cs"/>
          <w:rtl/>
        </w:rPr>
        <w:tab/>
      </w:r>
      <w:r>
        <w:rPr>
          <w:rFonts w:hint="cs"/>
          <w:rtl/>
          <w:lang w:bidi="ar-MA"/>
        </w:rPr>
        <w:t>اعتماد قانون الجرائم الإدارية في كانون الأول/ديسمبر 2008؛</w:t>
      </w:r>
    </w:p>
    <w:p w:rsidR="00D6238F" w:rsidRPr="00622F75" w:rsidRDefault="00D6238F" w:rsidP="007455F3">
      <w:pPr>
        <w:pStyle w:val="SingleTxtGA"/>
        <w:rPr>
          <w:rFonts w:hint="cs"/>
          <w:rtl/>
          <w:lang w:val="fr-CH" w:bidi="ar-MA"/>
        </w:rPr>
      </w:pPr>
      <w:r>
        <w:rPr>
          <w:rFonts w:hint="cs"/>
          <w:rtl/>
          <w:lang w:bidi="ar-MA"/>
        </w:rPr>
        <w:tab/>
        <w:t>(</w:t>
      </w:r>
      <w:r w:rsidR="00DC1CA5" w:rsidRPr="00DC1CA5">
        <w:rPr>
          <w:rFonts w:hint="cs"/>
          <w:sz w:val="30"/>
          <w:rtl/>
          <w:lang w:bidi="ar-MA"/>
        </w:rPr>
        <w:t>ﻫ</w:t>
      </w:r>
      <w:r>
        <w:rPr>
          <w:rFonts w:hint="cs"/>
          <w:rtl/>
          <w:lang w:bidi="ar-MA"/>
        </w:rPr>
        <w:t>)</w:t>
      </w:r>
      <w:r>
        <w:rPr>
          <w:rFonts w:hint="cs"/>
          <w:rtl/>
          <w:lang w:bidi="ar-MA"/>
        </w:rPr>
        <w:tab/>
      </w:r>
      <w:r w:rsidR="006972CA">
        <w:rPr>
          <w:rFonts w:hint="cs"/>
          <w:rtl/>
          <w:lang w:bidi="ar-MA"/>
        </w:rPr>
        <w:t>اعتماد تعديلات على</w:t>
      </w:r>
      <w:r>
        <w:rPr>
          <w:rFonts w:hint="cs"/>
          <w:rtl/>
          <w:lang w:bidi="ar-MA"/>
        </w:rPr>
        <w:t xml:space="preserve"> القانون الدستوري </w:t>
      </w:r>
      <w:r>
        <w:rPr>
          <w:rFonts w:hint="cs"/>
          <w:rtl/>
          <w:lang w:val="fr-CH" w:bidi="ar-MA"/>
        </w:rPr>
        <w:t xml:space="preserve">المتعلق بالمحكمة الدستورية في تموز/يوليه 2009 </w:t>
      </w:r>
      <w:r w:rsidR="007455F3">
        <w:rPr>
          <w:rFonts w:hint="cs"/>
          <w:rtl/>
          <w:lang w:val="fr-CH" w:bidi="ar-MA"/>
        </w:rPr>
        <w:t xml:space="preserve">لتوسيع نطاق </w:t>
      </w:r>
      <w:r>
        <w:rPr>
          <w:rFonts w:hint="cs"/>
          <w:rtl/>
          <w:lang w:val="fr-CH" w:bidi="ar-MA"/>
        </w:rPr>
        <w:t>صلاحي</w:t>
      </w:r>
      <w:r w:rsidR="007455F3">
        <w:rPr>
          <w:rFonts w:hint="cs"/>
          <w:rtl/>
          <w:lang w:val="fr-CH" w:bidi="ar-MA"/>
        </w:rPr>
        <w:t>ات</w:t>
      </w:r>
      <w:r>
        <w:rPr>
          <w:rFonts w:hint="cs"/>
          <w:rtl/>
          <w:lang w:val="fr-CH" w:bidi="ar-MA"/>
        </w:rPr>
        <w:t xml:space="preserve"> المحكمة الدستورية واختصاصها القضائي.</w:t>
      </w:r>
    </w:p>
    <w:p w:rsidR="00D6238F" w:rsidRDefault="00D6238F" w:rsidP="00575A6A">
      <w:pPr>
        <w:pStyle w:val="SingleTxtGA"/>
        <w:rPr>
          <w:rFonts w:hint="cs"/>
          <w:rtl/>
        </w:rPr>
      </w:pPr>
      <w:r>
        <w:rPr>
          <w:rFonts w:hint="cs"/>
          <w:rtl/>
        </w:rPr>
        <w:t>5-</w:t>
      </w:r>
      <w:r>
        <w:rPr>
          <w:rFonts w:hint="cs"/>
          <w:rtl/>
        </w:rPr>
        <w:tab/>
        <w:t>وترحب اللجنة أيضاً بما يلي:</w:t>
      </w:r>
    </w:p>
    <w:p w:rsidR="00D6238F" w:rsidRDefault="00D6238F" w:rsidP="00575A6A">
      <w:pPr>
        <w:pStyle w:val="SingleTxtGA"/>
        <w:rPr>
          <w:rFonts w:hint="cs"/>
          <w:rtl/>
        </w:rPr>
      </w:pPr>
      <w:r>
        <w:rPr>
          <w:rFonts w:hint="cs"/>
          <w:rtl/>
        </w:rPr>
        <w:tab/>
        <w:t>(أ)</w:t>
      </w:r>
      <w:r>
        <w:rPr>
          <w:rFonts w:hint="cs"/>
          <w:rtl/>
        </w:rPr>
        <w:tab/>
        <w:t xml:space="preserve">إعلان وقف عقوبة الإعدام في عام 2004 وإنشاء </w:t>
      </w:r>
      <w:r>
        <w:rPr>
          <w:rFonts w:hint="cs"/>
          <w:rtl/>
          <w:lang w:val="fr-CH" w:bidi="ar-MA"/>
        </w:rPr>
        <w:t>فريق عامل في نيسان/أبريل 2010 يعنى بالنظر في حذف عقوبة الإعدام من القانون الجنائي وإمكانية التصديق على البروتوكول الاختياري الثاني الملحق بالعهد الدولي الخاص بالحقوق المدنية والسياسية</w:t>
      </w:r>
      <w:r>
        <w:rPr>
          <w:rFonts w:hint="cs"/>
          <w:rtl/>
        </w:rPr>
        <w:t>؛</w:t>
      </w:r>
    </w:p>
    <w:p w:rsidR="00D6238F" w:rsidRPr="00281287" w:rsidRDefault="00D6238F" w:rsidP="00575A6A">
      <w:pPr>
        <w:pStyle w:val="SingleTxtGA"/>
        <w:rPr>
          <w:rFonts w:hint="cs"/>
          <w:rtl/>
          <w:lang w:val="fr-CH" w:bidi="ar-MA"/>
        </w:rPr>
      </w:pPr>
      <w:r>
        <w:rPr>
          <w:rFonts w:hint="cs"/>
          <w:rtl/>
        </w:rPr>
        <w:tab/>
        <w:t>(ب)</w:t>
      </w:r>
      <w:r>
        <w:rPr>
          <w:rFonts w:hint="cs"/>
          <w:rtl/>
        </w:rPr>
        <w:tab/>
        <w:t xml:space="preserve">الزيارة التي قام بها </w:t>
      </w:r>
      <w:r>
        <w:rPr>
          <w:rFonts w:hint="cs"/>
          <w:rtl/>
          <w:lang w:val="fr-CH" w:bidi="ar-MA"/>
        </w:rPr>
        <w:t>المقرر الخاص المعني بمسألة التعذيب وغيره من ضروب المعاملة أو العقوبة القاسية أو اللاإنسانية أو المهينة في أيار/مايو 2012.</w:t>
      </w:r>
    </w:p>
    <w:p w:rsidR="00D6238F" w:rsidRDefault="00D6238F" w:rsidP="00DC1CA5">
      <w:pPr>
        <w:pStyle w:val="H1GA"/>
        <w:rPr>
          <w:rFonts w:hint="cs"/>
          <w:rtl/>
        </w:rPr>
      </w:pPr>
      <w:r>
        <w:rPr>
          <w:rFonts w:hint="cs"/>
          <w:rtl/>
        </w:rPr>
        <w:tab/>
        <w:t>جيم-</w:t>
      </w:r>
      <w:r>
        <w:rPr>
          <w:rFonts w:hint="cs"/>
          <w:rtl/>
        </w:rPr>
        <w:tab/>
        <w:t>دواعي القلق الرئيسية والتوصيات</w:t>
      </w:r>
    </w:p>
    <w:p w:rsidR="00D6238F" w:rsidRDefault="00D6238F" w:rsidP="00DC1CA5">
      <w:pPr>
        <w:pStyle w:val="H23GA"/>
        <w:rPr>
          <w:rFonts w:hint="cs"/>
          <w:rtl/>
          <w:lang w:bidi="ar-MA"/>
        </w:rPr>
      </w:pPr>
      <w:r>
        <w:rPr>
          <w:rFonts w:hint="cs"/>
          <w:rtl/>
        </w:rPr>
        <w:tab/>
      </w:r>
      <w:r>
        <w:rPr>
          <w:rFonts w:hint="cs"/>
          <w:rtl/>
        </w:rPr>
        <w:tab/>
        <w:t>تعريف التعذيب والمعاقبة عليه</w:t>
      </w:r>
    </w:p>
    <w:p w:rsidR="00D6238F" w:rsidRDefault="00D6238F" w:rsidP="00575A6A">
      <w:pPr>
        <w:pStyle w:val="SingleTxtGA"/>
        <w:rPr>
          <w:rFonts w:hint="cs"/>
          <w:rtl/>
        </w:rPr>
      </w:pPr>
      <w:r>
        <w:rPr>
          <w:rFonts w:hint="cs"/>
          <w:rtl/>
        </w:rPr>
        <w:t>6-</w:t>
      </w:r>
      <w:r>
        <w:rPr>
          <w:rFonts w:hint="cs"/>
          <w:rtl/>
        </w:rPr>
        <w:tab/>
        <w:t>بينما ترحب اللجنة بإدراج المادة 143-1 في القانون الجنائي لجعل تعريف التعذيب يتماشى بالكامل مع المادة 1 من الاتفاقية، فإنها تعرب عن قلقها لكون العقوبات المنصوص عليها، والتي تقتضي الحكم على مرتكبي جريمة التعذيب لأول مرة بالسجن لمدة خمسة أعوام أو أقل، لا تتناسب مع خطورة الجريمة (المادتان 1 و4).</w:t>
      </w:r>
    </w:p>
    <w:p w:rsidR="00D6238F" w:rsidRDefault="00F474F1" w:rsidP="00575A6A">
      <w:pPr>
        <w:pStyle w:val="SingleTxtGA"/>
        <w:rPr>
          <w:rFonts w:hint="cs"/>
          <w:b/>
          <w:bCs/>
          <w:rtl/>
        </w:rPr>
      </w:pPr>
      <w:r>
        <w:rPr>
          <w:rFonts w:hint="cs"/>
          <w:b/>
          <w:bCs/>
          <w:rtl/>
        </w:rPr>
        <w:tab/>
      </w:r>
      <w:r w:rsidR="00D6238F">
        <w:rPr>
          <w:rFonts w:hint="cs"/>
          <w:b/>
          <w:bCs/>
          <w:rtl/>
        </w:rPr>
        <w:t>توصي اللجنة الدولة الطرف بتعديل المادة 143-1 من القانون الجنائي لضمان تجسيد العقوبات على ارتكاب جريمة التعذيب لطبيعة خطورتها، طبقاً لأحكام المادة 4 من الاتفاقية.</w:t>
      </w:r>
    </w:p>
    <w:p w:rsidR="00D6238F" w:rsidRDefault="007C5036" w:rsidP="007C5036">
      <w:pPr>
        <w:pStyle w:val="H23GA"/>
        <w:rPr>
          <w:rFonts w:hint="cs"/>
          <w:rtl/>
          <w:lang w:val="fr-CH" w:bidi="ar-MA"/>
        </w:rPr>
      </w:pPr>
      <w:r>
        <w:rPr>
          <w:rFonts w:hint="cs"/>
          <w:rtl/>
          <w:lang w:val="fr-CH" w:bidi="ar-MA"/>
        </w:rPr>
        <w:tab/>
      </w:r>
      <w:r>
        <w:rPr>
          <w:rFonts w:hint="cs"/>
          <w:rtl/>
          <w:lang w:val="fr-CH" w:bidi="ar-MA"/>
        </w:rPr>
        <w:tab/>
      </w:r>
      <w:r w:rsidR="00D6238F">
        <w:rPr>
          <w:rFonts w:hint="cs"/>
          <w:rtl/>
          <w:lang w:val="fr-CH" w:bidi="ar-MA"/>
        </w:rPr>
        <w:t>قانون العفو</w:t>
      </w:r>
    </w:p>
    <w:p w:rsidR="00D6238F" w:rsidRDefault="00D6238F" w:rsidP="00864FA4">
      <w:pPr>
        <w:pStyle w:val="SingleTxtGA"/>
        <w:rPr>
          <w:rFonts w:hint="cs"/>
          <w:rtl/>
          <w:lang w:val="fr-CH" w:bidi="ar-MA"/>
        </w:rPr>
      </w:pPr>
      <w:r w:rsidRPr="00334294">
        <w:rPr>
          <w:rFonts w:hint="cs"/>
          <w:rtl/>
          <w:lang w:val="fr-CH" w:bidi="ar-MA"/>
        </w:rPr>
        <w:t>7-</w:t>
      </w:r>
      <w:r w:rsidRPr="00334294">
        <w:rPr>
          <w:rFonts w:hint="cs"/>
          <w:rtl/>
          <w:lang w:val="fr-CH" w:bidi="ar-MA"/>
        </w:rPr>
        <w:tab/>
      </w:r>
      <w:r>
        <w:rPr>
          <w:rFonts w:hint="cs"/>
          <w:rtl/>
          <w:lang w:val="fr-CH" w:bidi="ar-MA"/>
        </w:rPr>
        <w:t>يساور اللجنة قلق بالغ إزاء منح</w:t>
      </w:r>
      <w:r w:rsidRPr="00334294">
        <w:rPr>
          <w:rFonts w:hint="cs"/>
          <w:rtl/>
          <w:lang w:val="fr-CH" w:bidi="ar-MA"/>
        </w:rPr>
        <w:t xml:space="preserve"> قانون العفو لعام 2011</w:t>
      </w:r>
      <w:r>
        <w:rPr>
          <w:rFonts w:hint="cs"/>
          <w:rtl/>
          <w:lang w:val="fr-CH" w:bidi="ar-MA"/>
        </w:rPr>
        <w:t xml:space="preserve"> سلطة تقديرية واسعة</w:t>
      </w:r>
      <w:r w:rsidR="00273781">
        <w:rPr>
          <w:rFonts w:hint="cs"/>
          <w:rtl/>
          <w:lang w:val="fr-CH" w:bidi="ar-MA"/>
        </w:rPr>
        <w:t xml:space="preserve"> </w:t>
      </w:r>
      <w:r>
        <w:rPr>
          <w:rFonts w:hint="cs"/>
          <w:rtl/>
          <w:lang w:val="fr-CH" w:bidi="ar-MA"/>
        </w:rPr>
        <w:t xml:space="preserve"> </w:t>
      </w:r>
      <w:r w:rsidR="00726CE6">
        <w:rPr>
          <w:rFonts w:hint="cs"/>
          <w:rtl/>
          <w:lang w:val="fr-CH" w:bidi="ar-MA"/>
        </w:rPr>
        <w:t xml:space="preserve">نوعاً ما </w:t>
      </w:r>
      <w:r>
        <w:rPr>
          <w:rFonts w:hint="cs"/>
          <w:rtl/>
          <w:lang w:val="fr-CH" w:bidi="ar-MA"/>
        </w:rPr>
        <w:t>إلى أجهزة الملاحقة القضائية تخول لها تخفيف أو خفض أو وقف العقوبات المنزلة بالأشخاص المدانين بارتكاب جرائم التعذيب، بما في ذلك قضية إدانة ثلاثة من ضباط الشرطة بسبب ضلوعه</w:t>
      </w:r>
      <w:r w:rsidR="00864FA4">
        <w:rPr>
          <w:rFonts w:hint="cs"/>
          <w:rtl/>
          <w:lang w:val="fr-CH" w:bidi="ar-MA"/>
        </w:rPr>
        <w:t>م في وفاة إسماعيل باشاي</w:t>
      </w:r>
      <w:r>
        <w:rPr>
          <w:rFonts w:hint="cs"/>
          <w:rtl/>
          <w:lang w:val="fr-CH" w:bidi="ar-MA"/>
        </w:rPr>
        <w:t>ونوف أثناء الاحتجاز (المادة 2).</w:t>
      </w:r>
    </w:p>
    <w:p w:rsidR="00D6238F" w:rsidRPr="00565EFB" w:rsidRDefault="00D83552" w:rsidP="00864FA4">
      <w:pPr>
        <w:pStyle w:val="SingleTxtGA"/>
        <w:rPr>
          <w:rFonts w:hint="cs"/>
          <w:b/>
          <w:bCs/>
          <w:rtl/>
          <w:lang w:val="fr-CH" w:bidi="ar-MA"/>
        </w:rPr>
      </w:pPr>
      <w:r>
        <w:rPr>
          <w:rFonts w:hint="cs"/>
          <w:b/>
          <w:bCs/>
          <w:rtl/>
          <w:lang w:val="fr-CH" w:bidi="ar-MA"/>
        </w:rPr>
        <w:tab/>
      </w:r>
      <w:r w:rsidR="00D6238F" w:rsidRPr="00565EFB">
        <w:rPr>
          <w:rFonts w:hint="cs"/>
          <w:b/>
          <w:bCs/>
          <w:rtl/>
          <w:lang w:val="fr-CH" w:bidi="ar-MA"/>
        </w:rPr>
        <w:t xml:space="preserve">ينبغي أن تكفل الدولة الطرف أن </w:t>
      </w:r>
      <w:r w:rsidR="00864FA4" w:rsidRPr="00565EFB">
        <w:rPr>
          <w:rFonts w:hint="cs"/>
          <w:b/>
          <w:bCs/>
          <w:rtl/>
          <w:lang w:val="fr-CH" w:bidi="ar-MA"/>
        </w:rPr>
        <w:t xml:space="preserve">يتضمن </w:t>
      </w:r>
      <w:r w:rsidR="00D6238F" w:rsidRPr="00565EFB">
        <w:rPr>
          <w:rFonts w:hint="cs"/>
          <w:b/>
          <w:bCs/>
          <w:rtl/>
          <w:lang w:val="fr-CH" w:bidi="ar-MA"/>
        </w:rPr>
        <w:t>قانون العفو أحكاماً واضحة تنص على أنه لن يحق لأي شخص مدان بارتكاب جريمة التعذيب أن يستفيد من العفو، وأن تضمن الامتثال الصارم لذلك الحظر عملياً.</w:t>
      </w:r>
    </w:p>
    <w:p w:rsidR="00D6238F" w:rsidRDefault="00D83552" w:rsidP="00D83552">
      <w:pPr>
        <w:pStyle w:val="H23GA"/>
        <w:rPr>
          <w:rFonts w:hint="cs"/>
          <w:rtl/>
          <w:lang w:val="fr-CH" w:bidi="ar-MA"/>
        </w:rPr>
      </w:pPr>
      <w:r>
        <w:rPr>
          <w:rFonts w:hint="cs"/>
          <w:rtl/>
          <w:lang w:val="fr-CH" w:bidi="ar-MA"/>
        </w:rPr>
        <w:tab/>
      </w:r>
      <w:r>
        <w:rPr>
          <w:rFonts w:hint="cs"/>
          <w:rtl/>
          <w:lang w:val="fr-CH" w:bidi="ar-MA"/>
        </w:rPr>
        <w:tab/>
      </w:r>
      <w:r w:rsidR="00D6238F">
        <w:rPr>
          <w:rFonts w:hint="cs"/>
          <w:rtl/>
          <w:lang w:val="fr-CH" w:bidi="ar-MA"/>
        </w:rPr>
        <w:t>الضمانات القانونية الأساسية</w:t>
      </w:r>
    </w:p>
    <w:p w:rsidR="00D6238F" w:rsidRDefault="00D6238F" w:rsidP="00C80957">
      <w:pPr>
        <w:pStyle w:val="SingleTxtGA"/>
        <w:rPr>
          <w:rFonts w:hint="cs"/>
          <w:rtl/>
          <w:lang w:val="fr-CH" w:bidi="ar-MA"/>
        </w:rPr>
      </w:pPr>
      <w:r w:rsidRPr="00C336C8">
        <w:rPr>
          <w:rFonts w:hint="cs"/>
          <w:rtl/>
          <w:lang w:val="fr-CH" w:bidi="ar-MA"/>
        </w:rPr>
        <w:t>8-</w:t>
      </w:r>
      <w:r w:rsidRPr="00C336C8">
        <w:rPr>
          <w:rFonts w:hint="cs"/>
          <w:rtl/>
          <w:lang w:val="fr-CH" w:bidi="ar-MA"/>
        </w:rPr>
        <w:tab/>
        <w:t>تحيط اللجنة علماً</w:t>
      </w:r>
      <w:r>
        <w:rPr>
          <w:rFonts w:hint="cs"/>
          <w:rtl/>
          <w:lang w:val="fr-CH" w:bidi="ar-MA"/>
        </w:rPr>
        <w:t xml:space="preserve"> بالضمانات الإجرائية المدرجة في قانون الإجراءات الجنائية</w:t>
      </w:r>
      <w:r w:rsidR="00C80957">
        <w:rPr>
          <w:rFonts w:hint="cs"/>
          <w:rtl/>
          <w:lang w:val="fr-CH" w:bidi="ar-MA"/>
        </w:rPr>
        <w:t xml:space="preserve">         </w:t>
      </w:r>
      <w:r>
        <w:rPr>
          <w:rFonts w:hint="cs"/>
          <w:rtl/>
          <w:lang w:val="fr-CH" w:bidi="ar-MA"/>
        </w:rPr>
        <w:t xml:space="preserve"> لعام 2010، بما فيها تسجيل المحتجزين في ظرف ثلاث ساعات بعد وصولهم إلى مركز الشرطة (المادة 94-1) والحق في الاستعانة بمحام (المادتان 22-1 و49-2)، والحق في عدم الاحتجاز لأكثر من 72 ساعة اعتباراً من لحظة الاعتقال (المادة 92-3). ولكن اللجنة تعرب عن قلقها لكون عدم الوضوح إزاء الزمن الذي يُعتبر فيه الشخص محتجزاً بموجب هذا القانون (المادة 91-1)، يحول دون تمتع المحتجزين بضمانات قانونية أساسية خلال الفترة الفاصلة بين الاعتقال والاعتراف رسمياً بالاحتجاز. وقد أفادت التقارير أنه من الناحية العملية وفي معظم الحالات، لا يتمتع المحتجزون بالحق في الاتصال فوراً بمحام واستشارة طبيب مستقل، ولا بالحق في إخطار أفراد أسرهم، وغير ذلك من الضمانات القانونية لكفالة حمايتهم من التعذيب. وتشعر اللجنة بالقلق خاصة إزاء ادعاءات عديدة تفيد بتقصير المسؤولين في دوائر الشرطة في الاحتفاظ بسجلات دقيقة لجميع فترات الحرمان من الحرية؛ وتسجيل المشتبه فيهم في ظرف ثلاث ساعات بعد وصولهم إلى مركز الشرطة؛ والتقيد بالحد الزمني الأقصى الذي يبلغ 72 ساعة لإطلاق سراح المشتبه فيهم أو نقلهم من مركز للشرطة إلى مرافق الاحتجاز قبل المحاكمة؛ وإخطار أفراد الأسرة بنقل المحتجزين من مكان </w:t>
      </w:r>
      <w:r w:rsidR="00C80957">
        <w:rPr>
          <w:rFonts w:hint="cs"/>
          <w:rtl/>
          <w:lang w:val="fr-CH" w:bidi="ar-MA"/>
        </w:rPr>
        <w:t xml:space="preserve">احتجاز إلى </w:t>
      </w:r>
      <w:r>
        <w:rPr>
          <w:rFonts w:hint="cs"/>
          <w:rtl/>
          <w:lang w:val="fr-CH" w:bidi="ar-MA"/>
        </w:rPr>
        <w:t>آخر. إضافة إلى ذلك، يساور اللجنة القلق إزاء سماح المادة 111-1 من قانون الإجراءات الجنائية للقضاة بإجازة الاحتجاز قبل المحاكمة استناداً إلى مجرد خطورة الجريمة المزعومة، وإمكانية تمديده إلى غاية 18 شهراً (المادة 2).</w:t>
      </w:r>
    </w:p>
    <w:p w:rsidR="00D6238F" w:rsidRDefault="00FD279D" w:rsidP="00575A6A">
      <w:pPr>
        <w:pStyle w:val="SingleTxtGA"/>
        <w:rPr>
          <w:rFonts w:hint="cs"/>
          <w:b/>
          <w:bCs/>
          <w:rtl/>
          <w:lang w:val="fr-CH" w:bidi="ar-MA"/>
        </w:rPr>
      </w:pPr>
      <w:r>
        <w:rPr>
          <w:rFonts w:hint="cs"/>
          <w:b/>
          <w:bCs/>
          <w:rtl/>
          <w:lang w:val="fr-CH" w:bidi="ar-MA"/>
        </w:rPr>
        <w:tab/>
      </w:r>
      <w:r w:rsidR="00D6238F" w:rsidRPr="00CC0988">
        <w:rPr>
          <w:rFonts w:hint="cs"/>
          <w:b/>
          <w:bCs/>
          <w:rtl/>
          <w:lang w:val="fr-CH" w:bidi="ar-MA"/>
        </w:rPr>
        <w:t xml:space="preserve">تحث </w:t>
      </w:r>
      <w:r w:rsidR="00D6238F">
        <w:rPr>
          <w:rFonts w:hint="cs"/>
          <w:b/>
          <w:bCs/>
          <w:rtl/>
          <w:lang w:val="fr-CH" w:bidi="ar-MA"/>
        </w:rPr>
        <w:t>اللجنة الدولة الطرف على اتخاذ تدابير فورية وفعالة تضمن، قانونياً وعملياً، تمكين جميع المحتجزين من الضمانات القانونية كافة منذ بداية اعتقالهم. وبالأخص، ينبغي للدولة الطرف أن تقوم بما يلي:</w:t>
      </w:r>
    </w:p>
    <w:p w:rsidR="00D6238F" w:rsidRDefault="00FD279D" w:rsidP="009C4C81">
      <w:pPr>
        <w:pStyle w:val="SingleTxtGA"/>
        <w:rPr>
          <w:rFonts w:hint="cs"/>
          <w:b/>
          <w:bCs/>
          <w:lang w:val="fr-CH" w:bidi="ar-MA"/>
        </w:rPr>
      </w:pPr>
      <w:r>
        <w:rPr>
          <w:rFonts w:hint="cs"/>
          <w:b/>
          <w:bCs/>
          <w:rtl/>
          <w:lang w:val="fr-CH" w:bidi="ar-MA"/>
        </w:rPr>
        <w:tab/>
        <w:t>(أ)</w:t>
      </w:r>
      <w:r>
        <w:rPr>
          <w:rFonts w:hint="cs"/>
          <w:b/>
          <w:bCs/>
          <w:rtl/>
          <w:lang w:val="fr-CH" w:bidi="ar-MA"/>
        </w:rPr>
        <w:tab/>
      </w:r>
      <w:r w:rsidR="00D6238F">
        <w:rPr>
          <w:rFonts w:hint="cs"/>
          <w:b/>
          <w:bCs/>
          <w:rtl/>
          <w:lang w:val="fr-CH" w:bidi="ar-MA"/>
        </w:rPr>
        <w:t xml:space="preserve">تعديل قانون الإجراءات الجنائية لضمان أن </w:t>
      </w:r>
      <w:r w:rsidR="00D34066">
        <w:rPr>
          <w:rFonts w:hint="cs"/>
          <w:b/>
          <w:bCs/>
          <w:rtl/>
          <w:lang w:val="fr-CH" w:bidi="ar-MA"/>
        </w:rPr>
        <w:t xml:space="preserve">يبدأ </w:t>
      </w:r>
      <w:r w:rsidR="00D6238F">
        <w:rPr>
          <w:rFonts w:hint="cs"/>
          <w:b/>
          <w:bCs/>
          <w:rtl/>
          <w:lang w:val="fr-CH" w:bidi="ar-MA"/>
        </w:rPr>
        <w:t xml:space="preserve">الإيقاف من لحظة الاعتقال </w:t>
      </w:r>
      <w:r w:rsidR="009C4C81">
        <w:rPr>
          <w:rFonts w:hint="cs"/>
          <w:b/>
          <w:bCs/>
          <w:rtl/>
          <w:lang w:val="fr-CH" w:bidi="ar-MA"/>
        </w:rPr>
        <w:t>الفعلية</w:t>
      </w:r>
      <w:r w:rsidR="00D6238F">
        <w:rPr>
          <w:rFonts w:hint="cs"/>
          <w:b/>
          <w:bCs/>
          <w:rtl/>
          <w:lang w:val="fr-CH" w:bidi="ar-MA"/>
        </w:rPr>
        <w:t>؛</w:t>
      </w:r>
    </w:p>
    <w:p w:rsidR="00D6238F" w:rsidRDefault="00FD279D" w:rsidP="00D071BF">
      <w:pPr>
        <w:pStyle w:val="SingleTxtGA"/>
        <w:rPr>
          <w:rFonts w:hint="cs"/>
          <w:b/>
          <w:bCs/>
          <w:lang w:val="fr-CH" w:bidi="ar-MA"/>
        </w:rPr>
      </w:pPr>
      <w:r>
        <w:rPr>
          <w:rFonts w:hint="cs"/>
          <w:b/>
          <w:bCs/>
          <w:rtl/>
          <w:lang w:val="fr-CH" w:bidi="ar-MA"/>
        </w:rPr>
        <w:tab/>
        <w:t>(ب)</w:t>
      </w:r>
      <w:r>
        <w:rPr>
          <w:rFonts w:hint="cs"/>
          <w:b/>
          <w:bCs/>
          <w:rtl/>
          <w:lang w:val="fr-CH" w:bidi="ar-MA"/>
        </w:rPr>
        <w:tab/>
      </w:r>
      <w:r w:rsidR="00D63F7A">
        <w:rPr>
          <w:rFonts w:hint="cs"/>
          <w:b/>
          <w:bCs/>
          <w:rtl/>
          <w:lang w:val="fr-CH" w:bidi="ar-MA"/>
        </w:rPr>
        <w:t>إنشاء</w:t>
      </w:r>
      <w:r w:rsidR="00D6238F">
        <w:rPr>
          <w:rFonts w:hint="cs"/>
          <w:b/>
          <w:bCs/>
          <w:rtl/>
          <w:lang w:val="fr-CH" w:bidi="ar-MA"/>
        </w:rPr>
        <w:t xml:space="preserve"> سجل رسمي مركزي </w:t>
      </w:r>
      <w:r w:rsidR="00D63F7A">
        <w:rPr>
          <w:rFonts w:hint="cs"/>
          <w:b/>
          <w:bCs/>
          <w:rtl/>
          <w:lang w:val="fr-CH" w:bidi="ar-MA"/>
        </w:rPr>
        <w:t xml:space="preserve">يُدَوَّن </w:t>
      </w:r>
      <w:r w:rsidR="00D6238F">
        <w:rPr>
          <w:rFonts w:hint="cs"/>
          <w:b/>
          <w:bCs/>
          <w:rtl/>
          <w:lang w:val="fr-CH" w:bidi="ar-MA"/>
        </w:rPr>
        <w:t xml:space="preserve">فيه </w:t>
      </w:r>
      <w:r w:rsidR="00D63F7A">
        <w:rPr>
          <w:rFonts w:hint="cs"/>
          <w:b/>
          <w:bCs/>
          <w:rtl/>
          <w:lang w:val="fr-CH" w:bidi="ar-MA"/>
        </w:rPr>
        <w:t>الاعتقال بدقة وفوراً</w:t>
      </w:r>
      <w:r w:rsidR="00D6238F">
        <w:rPr>
          <w:rFonts w:hint="cs"/>
          <w:b/>
          <w:bCs/>
          <w:rtl/>
          <w:lang w:val="fr-CH" w:bidi="ar-MA"/>
        </w:rPr>
        <w:t xml:space="preserve">، بما في ذلك العناصر التالية كحد أدنى: </w:t>
      </w:r>
      <w:r w:rsidR="001B05A1">
        <w:rPr>
          <w:rFonts w:hint="cs"/>
          <w:b/>
          <w:bCs/>
          <w:rtl/>
          <w:lang w:val="fr-CH" w:bidi="ar-MA"/>
        </w:rPr>
        <w:t>‘1‘</w:t>
      </w:r>
      <w:r w:rsidR="00D6238F">
        <w:rPr>
          <w:rFonts w:hint="cs"/>
          <w:b/>
          <w:bCs/>
          <w:rtl/>
          <w:lang w:val="fr-CH" w:bidi="ar-MA"/>
        </w:rPr>
        <w:t xml:space="preserve"> </w:t>
      </w:r>
      <w:r w:rsidR="001C5B5B">
        <w:rPr>
          <w:rFonts w:hint="cs"/>
          <w:b/>
          <w:bCs/>
          <w:rtl/>
          <w:lang w:val="fr-CH" w:bidi="ar-MA"/>
        </w:rPr>
        <w:t>توقيت</w:t>
      </w:r>
      <w:r w:rsidR="00D6238F">
        <w:rPr>
          <w:rFonts w:hint="cs"/>
          <w:b/>
          <w:bCs/>
          <w:rtl/>
          <w:lang w:val="fr-CH" w:bidi="ar-MA"/>
        </w:rPr>
        <w:t xml:space="preserve"> الاعتقال؛ </w:t>
      </w:r>
      <w:r w:rsidR="001B05A1">
        <w:rPr>
          <w:rFonts w:hint="cs"/>
          <w:b/>
          <w:bCs/>
          <w:rtl/>
          <w:lang w:val="fr-CH" w:bidi="ar-MA"/>
        </w:rPr>
        <w:t>‘2‘</w:t>
      </w:r>
      <w:r w:rsidR="00D6238F">
        <w:rPr>
          <w:rFonts w:hint="cs"/>
          <w:b/>
          <w:bCs/>
          <w:rtl/>
          <w:lang w:val="fr-CH" w:bidi="ar-MA"/>
        </w:rPr>
        <w:t xml:space="preserve"> سبب الاعتقال؛ </w:t>
      </w:r>
      <w:r w:rsidR="0023527A">
        <w:rPr>
          <w:rFonts w:hint="cs"/>
          <w:b/>
          <w:bCs/>
          <w:rtl/>
          <w:lang w:val="fr-CH" w:bidi="ar-MA"/>
        </w:rPr>
        <w:t>‘3‘</w:t>
      </w:r>
      <w:r w:rsidR="00D6238F">
        <w:rPr>
          <w:rFonts w:hint="cs"/>
          <w:b/>
          <w:bCs/>
          <w:rtl/>
          <w:lang w:val="fr-CH" w:bidi="ar-MA"/>
        </w:rPr>
        <w:t xml:space="preserve"> أسماء الضباط الذين قاموا بعملية الاعتقال؛ </w:t>
      </w:r>
      <w:r w:rsidR="0023527A">
        <w:rPr>
          <w:rFonts w:hint="cs"/>
          <w:b/>
          <w:bCs/>
          <w:rtl/>
          <w:lang w:val="fr-CH" w:bidi="ar-MA"/>
        </w:rPr>
        <w:t>‘4‘</w:t>
      </w:r>
      <w:r w:rsidR="00D6238F">
        <w:rPr>
          <w:rFonts w:hint="cs"/>
          <w:b/>
          <w:bCs/>
          <w:rtl/>
          <w:lang w:val="fr-CH" w:bidi="ar-MA"/>
        </w:rPr>
        <w:t xml:space="preserve"> مكان الاحتجاز وأي حالات نقل لاحقاً؛ و</w:t>
      </w:r>
      <w:r w:rsidR="0023527A">
        <w:rPr>
          <w:rFonts w:hint="cs"/>
          <w:b/>
          <w:bCs/>
          <w:rtl/>
          <w:lang w:val="fr-CH" w:bidi="ar-MA"/>
        </w:rPr>
        <w:t>‘5‘</w:t>
      </w:r>
      <w:r w:rsidR="00D6238F">
        <w:rPr>
          <w:rFonts w:hint="cs"/>
          <w:b/>
          <w:bCs/>
          <w:rtl/>
          <w:lang w:val="fr-CH" w:bidi="ar-MA"/>
        </w:rPr>
        <w:t xml:space="preserve"> أسماء الضباط المسؤولين عن المحتجزين في السجن. وينبغي مساءلة الضباط المسؤولين الذين يقصرون في تسجيل تلك المعلومات؛</w:t>
      </w:r>
    </w:p>
    <w:p w:rsidR="00D6238F" w:rsidRDefault="00B46EED" w:rsidP="00575A6A">
      <w:pPr>
        <w:pStyle w:val="SingleTxtGA"/>
        <w:rPr>
          <w:rFonts w:hint="cs"/>
          <w:b/>
          <w:bCs/>
          <w:lang w:val="fr-CH" w:bidi="ar-MA"/>
        </w:rPr>
      </w:pPr>
      <w:r>
        <w:rPr>
          <w:rFonts w:hint="cs"/>
          <w:b/>
          <w:bCs/>
          <w:rtl/>
          <w:lang w:val="fr-CH" w:bidi="ar-MA"/>
        </w:rPr>
        <w:tab/>
        <w:t>(ج)</w:t>
      </w:r>
      <w:r w:rsidR="00D071BF">
        <w:rPr>
          <w:rFonts w:hint="cs"/>
          <w:b/>
          <w:bCs/>
          <w:rtl/>
          <w:lang w:val="fr-CH" w:bidi="ar-MA"/>
        </w:rPr>
        <w:tab/>
      </w:r>
      <w:r w:rsidR="00D6238F">
        <w:rPr>
          <w:rFonts w:hint="cs"/>
          <w:b/>
          <w:bCs/>
          <w:rtl/>
          <w:lang w:val="fr-CH" w:bidi="ar-MA"/>
        </w:rPr>
        <w:t>ضمان إطلاع المشتبه فيهم منذ لحظة اعتقالهم على حقوقهم وعلى أسباب احتجازهم؛</w:t>
      </w:r>
    </w:p>
    <w:p w:rsidR="00D6238F" w:rsidRDefault="00B46EED" w:rsidP="00B46EED">
      <w:pPr>
        <w:pStyle w:val="SingleTxtGA"/>
        <w:rPr>
          <w:rFonts w:hint="cs"/>
          <w:b/>
          <w:bCs/>
          <w:lang w:val="fr-CH" w:bidi="ar-MA"/>
        </w:rPr>
      </w:pPr>
      <w:r>
        <w:rPr>
          <w:rFonts w:hint="cs"/>
          <w:b/>
          <w:bCs/>
          <w:rtl/>
          <w:lang w:val="fr-CH" w:bidi="ar-MA"/>
        </w:rPr>
        <w:tab/>
        <w:t>(د)</w:t>
      </w:r>
      <w:r>
        <w:rPr>
          <w:rFonts w:hint="cs"/>
          <w:b/>
          <w:bCs/>
          <w:rtl/>
          <w:lang w:val="fr-CH" w:bidi="ar-MA"/>
        </w:rPr>
        <w:tab/>
      </w:r>
      <w:r w:rsidR="00D6238F">
        <w:rPr>
          <w:rFonts w:hint="cs"/>
          <w:b/>
          <w:bCs/>
          <w:rtl/>
          <w:lang w:val="fr-CH" w:bidi="ar-MA"/>
        </w:rPr>
        <w:t xml:space="preserve">ضمان حق المحتجز في الاتصال بمحام من اختياره منذ لحظة اعتقاله </w:t>
      </w:r>
      <w:r>
        <w:rPr>
          <w:rFonts w:hint="cs"/>
          <w:b/>
          <w:bCs/>
          <w:rtl/>
          <w:lang w:val="fr-CH" w:bidi="ar-MA"/>
        </w:rPr>
        <w:t>والتشاور في جو من الخصوصية</w:t>
      </w:r>
      <w:r w:rsidR="00D6238F">
        <w:rPr>
          <w:rFonts w:hint="cs"/>
          <w:b/>
          <w:bCs/>
          <w:rtl/>
          <w:lang w:val="fr-CH" w:bidi="ar-MA"/>
        </w:rPr>
        <w:t>، بما في ذلك من خلال اعتماد أحكام قانونية في هذا الصدد؛</w:t>
      </w:r>
    </w:p>
    <w:p w:rsidR="00D6238F" w:rsidRDefault="00142BC2" w:rsidP="00F70C4A">
      <w:pPr>
        <w:pStyle w:val="SingleTxtGA"/>
        <w:rPr>
          <w:rFonts w:hint="cs"/>
          <w:b/>
          <w:bCs/>
          <w:lang w:val="fr-CH" w:bidi="ar-MA"/>
        </w:rPr>
      </w:pPr>
      <w:r>
        <w:rPr>
          <w:rFonts w:hint="cs"/>
          <w:b/>
          <w:bCs/>
          <w:rtl/>
          <w:lang w:val="fr-CH" w:bidi="ar-MA"/>
        </w:rPr>
        <w:tab/>
        <w:t>(</w:t>
      </w:r>
      <w:r w:rsidRPr="00142BC2">
        <w:rPr>
          <w:rFonts w:hint="cs"/>
          <w:b/>
          <w:bCs/>
          <w:sz w:val="30"/>
          <w:rtl/>
          <w:lang w:val="fr-CH" w:bidi="ar-MA"/>
        </w:rPr>
        <w:t>ﻫ</w:t>
      </w:r>
      <w:r>
        <w:rPr>
          <w:rFonts w:hint="cs"/>
          <w:b/>
          <w:bCs/>
          <w:rtl/>
          <w:lang w:val="fr-CH" w:bidi="ar-MA"/>
        </w:rPr>
        <w:t>)</w:t>
      </w:r>
      <w:r w:rsidR="00D071BF">
        <w:rPr>
          <w:rFonts w:hint="cs"/>
          <w:b/>
          <w:bCs/>
          <w:rtl/>
          <w:lang w:val="fr-CH" w:bidi="ar-MA"/>
        </w:rPr>
        <w:tab/>
      </w:r>
      <w:r w:rsidR="00D6238F">
        <w:rPr>
          <w:rFonts w:hint="cs"/>
          <w:b/>
          <w:bCs/>
          <w:rtl/>
          <w:lang w:val="fr-CH" w:bidi="ar-MA"/>
        </w:rPr>
        <w:t xml:space="preserve">ضمان خضوع أي شخص يصل إلى مرفق من مرافق الاحتجاز إلى فحص طبي اعتيادي، وإتاحة استشارة المحتجز لأطباء مستقلين عندما يطلب ذلك دون تقييد تلك الاستشارة </w:t>
      </w:r>
      <w:r w:rsidR="00F70C4A">
        <w:rPr>
          <w:rFonts w:hint="cs"/>
          <w:b/>
          <w:bCs/>
          <w:rtl/>
          <w:lang w:val="fr-CH" w:bidi="ar-MA"/>
        </w:rPr>
        <w:t>بإذن</w:t>
      </w:r>
      <w:r w:rsidR="00D6238F">
        <w:rPr>
          <w:rFonts w:hint="cs"/>
          <w:b/>
          <w:bCs/>
          <w:rtl/>
          <w:lang w:val="fr-CH" w:bidi="ar-MA"/>
        </w:rPr>
        <w:t xml:space="preserve"> أو طلب من المسؤولين؛</w:t>
      </w:r>
    </w:p>
    <w:p w:rsidR="00D6238F" w:rsidRDefault="00382798" w:rsidP="006F1367">
      <w:pPr>
        <w:pStyle w:val="SingleTxtGA"/>
        <w:rPr>
          <w:rFonts w:hint="cs"/>
          <w:b/>
          <w:bCs/>
          <w:lang w:val="fr-CH" w:bidi="ar-MA"/>
        </w:rPr>
      </w:pPr>
      <w:r>
        <w:rPr>
          <w:rFonts w:hint="cs"/>
          <w:b/>
          <w:bCs/>
          <w:rtl/>
          <w:lang w:val="fr-CH" w:bidi="ar-MA"/>
        </w:rPr>
        <w:tab/>
        <w:t>(و)</w:t>
      </w:r>
      <w:r w:rsidR="00D071BF">
        <w:rPr>
          <w:rFonts w:hint="cs"/>
          <w:b/>
          <w:bCs/>
          <w:rtl/>
          <w:lang w:val="fr-CH" w:bidi="ar-MA"/>
        </w:rPr>
        <w:tab/>
      </w:r>
      <w:r w:rsidR="00D6238F">
        <w:rPr>
          <w:rFonts w:hint="cs"/>
          <w:b/>
          <w:bCs/>
          <w:rtl/>
          <w:lang w:val="fr-CH" w:bidi="ar-MA"/>
        </w:rPr>
        <w:t xml:space="preserve">التكليف بمثول </w:t>
      </w:r>
      <w:r>
        <w:rPr>
          <w:rFonts w:hint="cs"/>
          <w:b/>
          <w:bCs/>
          <w:rtl/>
          <w:lang w:val="fr-CH" w:bidi="ar-MA"/>
        </w:rPr>
        <w:t>ال</w:t>
      </w:r>
      <w:r w:rsidR="00D6238F">
        <w:rPr>
          <w:rFonts w:hint="cs"/>
          <w:b/>
          <w:bCs/>
          <w:rtl/>
          <w:lang w:val="fr-CH" w:bidi="ar-MA"/>
        </w:rPr>
        <w:t>محتجز فوراً أمام القاضي، تماشياً مع المعايير الدولية، وخفض مدة</w:t>
      </w:r>
      <w:r>
        <w:rPr>
          <w:rFonts w:hint="cs"/>
          <w:b/>
          <w:bCs/>
          <w:rtl/>
          <w:lang w:val="fr-CH" w:bidi="ar-MA"/>
        </w:rPr>
        <w:t xml:space="preserve"> ا</w:t>
      </w:r>
      <w:r w:rsidRPr="00382798">
        <w:rPr>
          <w:rFonts w:hint="cs"/>
          <w:b/>
          <w:bCs/>
          <w:sz w:val="30"/>
          <w:rtl/>
          <w:lang w:val="fr-CH" w:bidi="ar-MA"/>
        </w:rPr>
        <w:t>ل‍</w:t>
      </w:r>
      <w:r w:rsidR="00D6238F">
        <w:rPr>
          <w:rFonts w:hint="cs"/>
          <w:b/>
          <w:bCs/>
          <w:rtl/>
          <w:lang w:val="fr-CH" w:bidi="ar-MA"/>
        </w:rPr>
        <w:t xml:space="preserve"> 72 ساعة </w:t>
      </w:r>
      <w:r w:rsidR="006F1367">
        <w:rPr>
          <w:rFonts w:hint="cs"/>
          <w:b/>
          <w:bCs/>
          <w:rtl/>
          <w:lang w:val="fr-CH" w:bidi="ar-MA"/>
        </w:rPr>
        <w:t>احتجاز لدى</w:t>
      </w:r>
      <w:r w:rsidR="00D6238F">
        <w:rPr>
          <w:rFonts w:hint="cs"/>
          <w:b/>
          <w:bCs/>
          <w:rtl/>
          <w:lang w:val="fr-CH" w:bidi="ar-MA"/>
        </w:rPr>
        <w:t xml:space="preserve"> الشرطة؛</w:t>
      </w:r>
    </w:p>
    <w:p w:rsidR="00D6238F" w:rsidRDefault="000717B9" w:rsidP="00A3699D">
      <w:pPr>
        <w:pStyle w:val="SingleTxtGA"/>
        <w:rPr>
          <w:rFonts w:hint="cs"/>
          <w:b/>
          <w:bCs/>
          <w:lang w:val="fr-CH" w:bidi="ar-MA"/>
        </w:rPr>
      </w:pPr>
      <w:r>
        <w:rPr>
          <w:rFonts w:hint="cs"/>
          <w:b/>
          <w:bCs/>
          <w:rtl/>
          <w:lang w:val="fr-CH" w:bidi="ar-MA"/>
        </w:rPr>
        <w:tab/>
        <w:t>(ز)</w:t>
      </w:r>
      <w:r w:rsidR="00D071BF">
        <w:rPr>
          <w:rFonts w:hint="cs"/>
          <w:b/>
          <w:bCs/>
          <w:rtl/>
          <w:lang w:val="fr-CH" w:bidi="ar-MA"/>
        </w:rPr>
        <w:tab/>
      </w:r>
      <w:r w:rsidR="00D6238F">
        <w:rPr>
          <w:rFonts w:hint="cs"/>
          <w:b/>
          <w:bCs/>
          <w:rtl/>
          <w:lang w:val="fr-CH" w:bidi="ar-MA"/>
        </w:rPr>
        <w:t>تعديل قانون الإجراءات الجنائية لإلغاء مدة</w:t>
      </w:r>
      <w:r w:rsidR="00B52FD4">
        <w:rPr>
          <w:rFonts w:hint="cs"/>
          <w:b/>
          <w:bCs/>
          <w:rtl/>
          <w:lang w:val="fr-CH" w:bidi="ar-MA"/>
        </w:rPr>
        <w:t xml:space="preserve"> ا</w:t>
      </w:r>
      <w:r w:rsidR="00A3699D" w:rsidRPr="00A3699D">
        <w:rPr>
          <w:rFonts w:hint="cs"/>
          <w:b/>
          <w:bCs/>
          <w:sz w:val="30"/>
          <w:rtl/>
          <w:lang w:val="fr-CH" w:bidi="ar-MA"/>
        </w:rPr>
        <w:t>ل‍</w:t>
      </w:r>
      <w:r w:rsidR="00D6238F">
        <w:rPr>
          <w:rFonts w:hint="cs"/>
          <w:b/>
          <w:bCs/>
          <w:rtl/>
          <w:lang w:val="fr-CH" w:bidi="ar-MA"/>
        </w:rPr>
        <w:t xml:space="preserve"> 12 ساعة التي يقوم في ظرفها الموظفون المعنيون بإنفاذ القانون بإخطار أفراد أسرة المحتجز باعتقاله؛</w:t>
      </w:r>
    </w:p>
    <w:p w:rsidR="00D6238F" w:rsidRPr="00CC0988" w:rsidRDefault="003E3F17" w:rsidP="00B55875">
      <w:pPr>
        <w:pStyle w:val="SingleTxtGA"/>
        <w:rPr>
          <w:rFonts w:hint="cs"/>
          <w:b/>
          <w:bCs/>
          <w:rtl/>
          <w:lang w:val="fr-CH" w:bidi="ar-MA"/>
        </w:rPr>
      </w:pPr>
      <w:r>
        <w:rPr>
          <w:rFonts w:hint="cs"/>
          <w:b/>
          <w:bCs/>
          <w:rtl/>
          <w:lang w:val="fr-CH" w:bidi="ar-MA"/>
        </w:rPr>
        <w:tab/>
        <w:t>(ح)</w:t>
      </w:r>
      <w:r w:rsidR="00D071BF">
        <w:rPr>
          <w:rFonts w:hint="cs"/>
          <w:b/>
          <w:bCs/>
          <w:rtl/>
          <w:lang w:val="fr-CH" w:bidi="ar-MA"/>
        </w:rPr>
        <w:tab/>
      </w:r>
      <w:r w:rsidR="00D6238F">
        <w:rPr>
          <w:rFonts w:hint="cs"/>
          <w:b/>
          <w:bCs/>
          <w:rtl/>
          <w:lang w:val="fr-CH" w:bidi="ar-MA"/>
        </w:rPr>
        <w:t xml:space="preserve">تعديل قانون الإجراءات الجنائية لضمان عدم إجازة المحاكم للاحتجاز قبل المحاكمة استناداً إلى خطورة الجريمة المزعومة فقط، وعدم قابلية فترات الاحتجاز قبل المحاكمة للتمديد متى عجزت جهة الادعاء عن تقديم </w:t>
      </w:r>
      <w:r w:rsidR="00B55875">
        <w:rPr>
          <w:rFonts w:hint="cs"/>
          <w:b/>
          <w:bCs/>
          <w:rtl/>
          <w:lang w:val="fr-CH" w:bidi="ar-MA"/>
        </w:rPr>
        <w:t xml:space="preserve">مبررات قوية </w:t>
      </w:r>
      <w:r w:rsidR="00D6238F">
        <w:rPr>
          <w:rFonts w:hint="cs"/>
          <w:b/>
          <w:bCs/>
          <w:rtl/>
          <w:lang w:val="fr-CH" w:bidi="ar-MA"/>
        </w:rPr>
        <w:t>لبقاء الشخص رهن الاحتجاز.</w:t>
      </w:r>
    </w:p>
    <w:p w:rsidR="00D6238F" w:rsidRDefault="00D071BF" w:rsidP="00D071BF">
      <w:pPr>
        <w:pStyle w:val="H23GA"/>
        <w:rPr>
          <w:rFonts w:hint="cs"/>
          <w:rtl/>
          <w:lang w:val="fr-CH" w:bidi="ar-MA"/>
        </w:rPr>
      </w:pPr>
      <w:r>
        <w:rPr>
          <w:rFonts w:hint="cs"/>
          <w:rtl/>
          <w:lang w:val="fr-CH" w:bidi="ar-MA"/>
        </w:rPr>
        <w:tab/>
      </w:r>
      <w:r>
        <w:rPr>
          <w:rFonts w:hint="cs"/>
          <w:rtl/>
          <w:lang w:val="fr-CH" w:bidi="ar-MA"/>
        </w:rPr>
        <w:tab/>
      </w:r>
      <w:r w:rsidR="00D6238F">
        <w:rPr>
          <w:rFonts w:hint="cs"/>
          <w:rtl/>
          <w:lang w:val="fr-CH" w:bidi="ar-MA"/>
        </w:rPr>
        <w:t>الادعاءات بالتعذيب وإساءة المعاملة</w:t>
      </w:r>
    </w:p>
    <w:p w:rsidR="00D6238F" w:rsidRPr="008C4C15" w:rsidRDefault="00D6238F" w:rsidP="00575A6A">
      <w:pPr>
        <w:pStyle w:val="SingleTxtGA"/>
        <w:rPr>
          <w:rFonts w:hint="cs"/>
          <w:rtl/>
          <w:lang w:val="fr-CH" w:bidi="ar-MA"/>
        </w:rPr>
      </w:pPr>
      <w:r w:rsidRPr="008C4C15">
        <w:rPr>
          <w:rFonts w:hint="cs"/>
          <w:rtl/>
          <w:lang w:val="fr-CH" w:bidi="ar-MA"/>
        </w:rPr>
        <w:t>9-</w:t>
      </w:r>
      <w:r w:rsidRPr="008C4C15">
        <w:rPr>
          <w:rFonts w:hint="cs"/>
          <w:rtl/>
          <w:lang w:val="fr-CH" w:bidi="ar-MA"/>
        </w:rPr>
        <w:tab/>
        <w:t>يساور اللجنة بالغ القلق إزاء الادعاءات العديدة والمتسقة التي تؤيدها مصادر مختلفة بشأن اللجوء إلى تعذيب المشتبه بهم وإساءة معاملتهم بصورة روتينية، لا سيما بهدف انتزاع اعترافات منهم لاستخدامها في الإجراءات الجنائية، وذلك أساساً خلال الساعات الأولى من الاستجواب أثناء الاحتجاز في مراكز الشرطة ومرافق الاحتجاز المؤقت والسابق للمحاكمة التي تديرها اللجنة الحكومية المعنية بالأمن الوطني وإدارة مكافحة الجريمة المنظمة (المواد 2 و10 و11 و12 و13 و15 و16).</w:t>
      </w:r>
    </w:p>
    <w:p w:rsidR="00D6238F" w:rsidRDefault="00E82EC7" w:rsidP="00575A6A">
      <w:pPr>
        <w:pStyle w:val="SingleTxtGA"/>
        <w:rPr>
          <w:rFonts w:hint="cs"/>
          <w:b/>
          <w:bCs/>
          <w:rtl/>
          <w:lang w:val="fr-CH" w:bidi="ar-MA"/>
        </w:rPr>
      </w:pPr>
      <w:r>
        <w:rPr>
          <w:rFonts w:hint="cs"/>
          <w:b/>
          <w:bCs/>
          <w:rtl/>
          <w:lang w:val="fr-CH" w:bidi="ar-MA"/>
        </w:rPr>
        <w:tab/>
      </w:r>
      <w:r w:rsidR="00D6238F">
        <w:rPr>
          <w:rFonts w:hint="cs"/>
          <w:b/>
          <w:bCs/>
          <w:rtl/>
          <w:lang w:val="fr-CH" w:bidi="ar-MA"/>
        </w:rPr>
        <w:t>ينبغي أن تتخذ الدولة الطرف، على سبيل الاستعجال، خطوات فورية وفعالة للقضاء على أعمال التعذيب وسوء المعاملة ومنع وقوعها في جميع أنحاء البلد، لا سيما عند الاحتجاز في مراكز الشرطة ومرافق الاحتجاز المؤقت والسابق للمحاكمة التي تديرها اللجنة الحكومية المعنية بالأمن الوطني وإدارة مكافحة الجريمة المنظمة. كما تحث اللجنة الدولة الطرف على القيام بما يلي:</w:t>
      </w:r>
    </w:p>
    <w:p w:rsidR="00D6238F" w:rsidRDefault="00D20CB9" w:rsidP="00C12458">
      <w:pPr>
        <w:pStyle w:val="SingleTxtGA"/>
        <w:rPr>
          <w:rFonts w:hint="cs"/>
          <w:b/>
          <w:bCs/>
          <w:lang w:val="fr-CH" w:bidi="ar-MA"/>
        </w:rPr>
      </w:pPr>
      <w:r>
        <w:rPr>
          <w:rFonts w:hint="cs"/>
          <w:b/>
          <w:bCs/>
          <w:rtl/>
          <w:lang w:val="fr-CH" w:bidi="ar-MA"/>
        </w:rPr>
        <w:tab/>
        <w:t>(أ)</w:t>
      </w:r>
      <w:r>
        <w:rPr>
          <w:rFonts w:hint="cs"/>
          <w:b/>
          <w:bCs/>
          <w:rtl/>
          <w:lang w:val="fr-CH" w:bidi="ar-MA"/>
        </w:rPr>
        <w:tab/>
      </w:r>
      <w:r w:rsidR="00D6238F">
        <w:rPr>
          <w:rFonts w:hint="cs"/>
          <w:b/>
          <w:bCs/>
          <w:rtl/>
          <w:lang w:val="fr-CH" w:bidi="ar-MA"/>
        </w:rPr>
        <w:t xml:space="preserve">التحقيق في جميع </w:t>
      </w:r>
      <w:r w:rsidR="00C12458">
        <w:rPr>
          <w:rFonts w:hint="cs"/>
          <w:b/>
          <w:bCs/>
          <w:rtl/>
          <w:lang w:val="fr-CH" w:bidi="ar-MA"/>
        </w:rPr>
        <w:t xml:space="preserve">حوادث </w:t>
      </w:r>
      <w:r w:rsidR="00D6238F">
        <w:rPr>
          <w:rFonts w:hint="cs"/>
          <w:b/>
          <w:bCs/>
          <w:rtl/>
          <w:lang w:val="fr-CH" w:bidi="ar-MA"/>
        </w:rPr>
        <w:t>وادعاءات التعذيب وسوء المعاملة على نحو سريع وفعال ونزيه؛</w:t>
      </w:r>
    </w:p>
    <w:p w:rsidR="00D6238F" w:rsidRDefault="002268CA" w:rsidP="00575A6A">
      <w:pPr>
        <w:pStyle w:val="SingleTxtGA"/>
        <w:rPr>
          <w:rFonts w:hint="cs"/>
          <w:b/>
          <w:bCs/>
          <w:lang w:val="fr-CH" w:bidi="ar-MA"/>
        </w:rPr>
      </w:pPr>
      <w:r>
        <w:rPr>
          <w:rFonts w:hint="cs"/>
          <w:b/>
          <w:bCs/>
          <w:rtl/>
          <w:lang w:val="fr-CH" w:bidi="ar-MA"/>
        </w:rPr>
        <w:tab/>
        <w:t>(ب)</w:t>
      </w:r>
      <w:r>
        <w:rPr>
          <w:rFonts w:hint="cs"/>
          <w:b/>
          <w:bCs/>
          <w:rtl/>
          <w:lang w:val="fr-CH" w:bidi="ar-MA"/>
        </w:rPr>
        <w:tab/>
      </w:r>
      <w:r w:rsidR="00D6238F">
        <w:rPr>
          <w:rFonts w:hint="cs"/>
          <w:b/>
          <w:bCs/>
          <w:rtl/>
          <w:lang w:val="fr-CH" w:bidi="ar-MA"/>
        </w:rPr>
        <w:t>مقاضاة المسؤولين عن ارتكاب تلك الأعمال، والإبلاغ علناً عن نتائج هذه المقاضاة؛</w:t>
      </w:r>
    </w:p>
    <w:p w:rsidR="00D6238F" w:rsidRPr="0082504C" w:rsidRDefault="00CF60D5" w:rsidP="00886E17">
      <w:pPr>
        <w:pStyle w:val="SingleTxtGA"/>
        <w:rPr>
          <w:rFonts w:hint="cs"/>
          <w:b/>
          <w:bCs/>
          <w:lang w:val="fr-CH" w:bidi="ar-MA"/>
        </w:rPr>
      </w:pPr>
      <w:r>
        <w:rPr>
          <w:rFonts w:hint="cs"/>
          <w:b/>
          <w:bCs/>
          <w:rtl/>
          <w:lang w:val="fr-CH"/>
        </w:rPr>
        <w:tab/>
        <w:t>(ج)</w:t>
      </w:r>
      <w:r>
        <w:rPr>
          <w:rFonts w:hint="cs"/>
          <w:b/>
          <w:bCs/>
          <w:rtl/>
          <w:lang w:val="fr-CH"/>
        </w:rPr>
        <w:tab/>
      </w:r>
      <w:r w:rsidR="00D6238F">
        <w:rPr>
          <w:rFonts w:hint="cs"/>
          <w:b/>
          <w:bCs/>
          <w:rtl/>
          <w:lang w:val="fr-CH"/>
        </w:rPr>
        <w:t>الاحتفاظ</w:t>
      </w:r>
      <w:r w:rsidR="00D6238F" w:rsidRPr="007403DB">
        <w:rPr>
          <w:b/>
          <w:bCs/>
          <w:rtl/>
        </w:rPr>
        <w:t xml:space="preserve"> بتسجيلات مصورة لجميع إجراءات </w:t>
      </w:r>
      <w:r w:rsidR="00D6238F">
        <w:rPr>
          <w:rFonts w:hint="cs"/>
          <w:b/>
          <w:bCs/>
          <w:rtl/>
        </w:rPr>
        <w:t xml:space="preserve">الاستجواب </w:t>
      </w:r>
      <w:r w:rsidR="00886E17">
        <w:rPr>
          <w:rFonts w:hint="cs"/>
          <w:b/>
          <w:bCs/>
          <w:rtl/>
        </w:rPr>
        <w:t>وتركيب</w:t>
      </w:r>
      <w:r w:rsidR="00D6238F" w:rsidRPr="007403DB">
        <w:rPr>
          <w:b/>
          <w:bCs/>
          <w:rtl/>
        </w:rPr>
        <w:t xml:space="preserve"> وسائل المراقبة بالفيديو في كل أرجاء مرافق الاحتجاز التي قد يوجد فيها محتجزون، باستثناء الحالات التي قد يُنتهَك فيها حق المحتجزين في حرمة خصوصياتهم أو سرية تواصلهم مع محاميهم أو مع طبيب. وينبغي حفظ هذه التسجيلات في مرافق آمنة وإتاحة إمكانية الاطلاع عليها للمحققين وللمحتجزين و</w:t>
      </w:r>
      <w:r w:rsidR="00D6238F">
        <w:rPr>
          <w:rFonts w:hint="cs"/>
          <w:b/>
          <w:bCs/>
          <w:rtl/>
        </w:rPr>
        <w:t>محاميهم</w:t>
      </w:r>
      <w:r w:rsidR="00D6238F" w:rsidRPr="007403DB">
        <w:rPr>
          <w:b/>
          <w:bCs/>
          <w:rtl/>
        </w:rPr>
        <w:t>؛</w:t>
      </w:r>
    </w:p>
    <w:p w:rsidR="00D6238F" w:rsidRDefault="007B2AB2" w:rsidP="00F05A65">
      <w:pPr>
        <w:pStyle w:val="SingleTxtGA"/>
        <w:rPr>
          <w:rFonts w:hint="cs"/>
          <w:b/>
          <w:bCs/>
          <w:rtl/>
          <w:lang w:val="fr-CH" w:bidi="ar-MA"/>
        </w:rPr>
      </w:pPr>
      <w:r>
        <w:rPr>
          <w:rFonts w:hint="cs"/>
          <w:b/>
          <w:bCs/>
          <w:rtl/>
          <w:lang w:val="fr-CH" w:bidi="ar-MA"/>
        </w:rPr>
        <w:tab/>
        <w:t>(د)</w:t>
      </w:r>
      <w:r>
        <w:rPr>
          <w:rFonts w:hint="cs"/>
          <w:b/>
          <w:bCs/>
          <w:rtl/>
          <w:lang w:val="fr-CH" w:bidi="ar-MA"/>
        </w:rPr>
        <w:tab/>
      </w:r>
      <w:r w:rsidR="00D6238F">
        <w:rPr>
          <w:rFonts w:hint="cs"/>
          <w:b/>
          <w:bCs/>
          <w:rtl/>
          <w:lang w:val="fr-CH" w:bidi="ar-MA"/>
        </w:rPr>
        <w:t xml:space="preserve">إعادة تأكيد حظر التعذيب حظراً مطلقاً </w:t>
      </w:r>
      <w:r w:rsidR="00EB15C3">
        <w:rPr>
          <w:rFonts w:hint="cs"/>
          <w:b/>
          <w:bCs/>
          <w:rtl/>
          <w:lang w:val="fr-CH" w:bidi="ar-MA"/>
        </w:rPr>
        <w:t xml:space="preserve">بشكل </w:t>
      </w:r>
      <w:r w:rsidR="00D6238F">
        <w:rPr>
          <w:rFonts w:hint="cs"/>
          <w:b/>
          <w:bCs/>
          <w:rtl/>
          <w:lang w:val="fr-CH" w:bidi="ar-MA"/>
        </w:rPr>
        <w:t>لا لبس فيه</w:t>
      </w:r>
      <w:r w:rsidR="00EB15C3">
        <w:rPr>
          <w:rFonts w:hint="cs"/>
          <w:b/>
          <w:bCs/>
          <w:rtl/>
          <w:lang w:val="fr-CH" w:bidi="ar-MA"/>
        </w:rPr>
        <w:t>،</w:t>
      </w:r>
      <w:r w:rsidR="00D6238F">
        <w:rPr>
          <w:rFonts w:hint="cs"/>
          <w:b/>
          <w:bCs/>
          <w:rtl/>
          <w:lang w:val="fr-CH" w:bidi="ar-MA"/>
        </w:rPr>
        <w:t xml:space="preserve"> والتحذير علناً من أن أي شخص يرتكب هذه الأعمال أو يتواطأ بشكل من الأشكال في ارتكابها </w:t>
      </w:r>
      <w:r w:rsidR="00EB15C3">
        <w:rPr>
          <w:rFonts w:hint="cs"/>
          <w:b/>
          <w:bCs/>
          <w:rtl/>
          <w:lang w:val="fr-CH" w:bidi="ar-MA"/>
        </w:rPr>
        <w:t xml:space="preserve"> </w:t>
      </w:r>
      <w:r w:rsidR="00D6238F">
        <w:rPr>
          <w:rFonts w:hint="cs"/>
          <w:b/>
          <w:bCs/>
          <w:rtl/>
          <w:lang w:val="fr-CH" w:bidi="ar-MA"/>
        </w:rPr>
        <w:t xml:space="preserve">أو </w:t>
      </w:r>
      <w:r w:rsidR="00EB15C3">
        <w:rPr>
          <w:rFonts w:hint="cs"/>
          <w:b/>
          <w:bCs/>
          <w:rtl/>
          <w:lang w:val="fr-CH" w:bidi="ar-MA"/>
        </w:rPr>
        <w:t xml:space="preserve">السكوت عنها </w:t>
      </w:r>
      <w:r w:rsidR="00D6238F">
        <w:rPr>
          <w:rFonts w:hint="cs"/>
          <w:b/>
          <w:bCs/>
          <w:rtl/>
          <w:lang w:val="fr-CH" w:bidi="ar-MA"/>
        </w:rPr>
        <w:t>يعتبر مسؤولاً شخصياً أمام القانون عن هذه الأعمال ويخضع للمقاضاة الجنائية ولعقوبات ملائمة.</w:t>
      </w:r>
    </w:p>
    <w:p w:rsidR="00D6238F" w:rsidRDefault="00F05A65" w:rsidP="00F05A65">
      <w:pPr>
        <w:pStyle w:val="H23GA"/>
        <w:rPr>
          <w:rFonts w:hint="cs"/>
          <w:rtl/>
          <w:lang w:val="fr-CH" w:bidi="ar-MA"/>
        </w:rPr>
      </w:pPr>
      <w:r>
        <w:rPr>
          <w:rFonts w:hint="cs"/>
          <w:rtl/>
          <w:lang w:val="fr-CH" w:bidi="ar-MA"/>
        </w:rPr>
        <w:tab/>
      </w:r>
      <w:r>
        <w:rPr>
          <w:rFonts w:hint="cs"/>
          <w:rtl/>
          <w:lang w:val="fr-CH" w:bidi="ar-MA"/>
        </w:rPr>
        <w:tab/>
      </w:r>
      <w:r w:rsidR="00D6238F">
        <w:rPr>
          <w:rFonts w:hint="cs"/>
          <w:rtl/>
          <w:lang w:val="fr-CH" w:bidi="ar-MA"/>
        </w:rPr>
        <w:t>الوفيات أثناء الاحتجاز</w:t>
      </w:r>
    </w:p>
    <w:p w:rsidR="00D6238F" w:rsidRDefault="00D6238F" w:rsidP="00C6205D">
      <w:pPr>
        <w:pStyle w:val="SingleTxtGA"/>
        <w:rPr>
          <w:rFonts w:hint="cs"/>
          <w:rtl/>
          <w:lang w:val="fr-CH" w:bidi="ar-MA"/>
        </w:rPr>
      </w:pPr>
      <w:r w:rsidRPr="00383131">
        <w:rPr>
          <w:rFonts w:hint="cs"/>
          <w:rtl/>
          <w:lang w:val="fr-CH" w:bidi="ar-MA"/>
        </w:rPr>
        <w:t>10-</w:t>
      </w:r>
      <w:r w:rsidRPr="00383131">
        <w:rPr>
          <w:rFonts w:hint="cs"/>
          <w:rtl/>
          <w:lang w:val="fr-CH" w:bidi="ar-MA"/>
        </w:rPr>
        <w:tab/>
      </w:r>
      <w:r w:rsidR="005D080C">
        <w:rPr>
          <w:rFonts w:hint="cs"/>
          <w:rtl/>
          <w:lang w:val="fr-CH" w:bidi="ar-MA"/>
        </w:rPr>
        <w:t>تعرب</w:t>
      </w:r>
      <w:r w:rsidRPr="00383131">
        <w:rPr>
          <w:rFonts w:hint="cs"/>
          <w:rtl/>
          <w:lang w:val="fr-CH" w:bidi="ar-MA"/>
        </w:rPr>
        <w:t xml:space="preserve"> اللجنة </w:t>
      </w:r>
      <w:r w:rsidR="005D080C">
        <w:rPr>
          <w:rFonts w:hint="cs"/>
          <w:rtl/>
          <w:lang w:val="fr-CH" w:bidi="ar-MA"/>
        </w:rPr>
        <w:t xml:space="preserve">عن </w:t>
      </w:r>
      <w:r w:rsidRPr="00383131">
        <w:rPr>
          <w:rFonts w:hint="cs"/>
          <w:rtl/>
          <w:lang w:val="fr-CH" w:bidi="ar-MA"/>
        </w:rPr>
        <w:t>القلق</w:t>
      </w:r>
      <w:r>
        <w:rPr>
          <w:rFonts w:hint="cs"/>
          <w:rtl/>
          <w:lang w:val="fr-CH" w:bidi="ar-MA"/>
        </w:rPr>
        <w:t xml:space="preserve"> إزاء تقارير واردة من الدولة الطرف ومنظمات غير حكومية بشأن عدة حالات وفيات أثناء الاحتجاز، بما في ذلك</w:t>
      </w:r>
      <w:r w:rsidR="00CD40E0">
        <w:rPr>
          <w:rFonts w:hint="cs"/>
          <w:rtl/>
          <w:lang w:val="fr-CH" w:bidi="ar-MA"/>
        </w:rPr>
        <w:t xml:space="preserve"> </w:t>
      </w:r>
      <w:r w:rsidR="009D154E">
        <w:rPr>
          <w:rFonts w:hint="cs"/>
          <w:rtl/>
          <w:lang w:val="fr-CH" w:bidi="ar-MA"/>
        </w:rPr>
        <w:t xml:space="preserve">وفاة </w:t>
      </w:r>
      <w:r w:rsidR="00CD40E0">
        <w:rPr>
          <w:rFonts w:hint="cs"/>
          <w:rtl/>
          <w:lang w:val="fr-CH" w:bidi="ar-MA"/>
        </w:rPr>
        <w:t xml:space="preserve">إسمونبوي بوبويف، وعثمان بوبويف، </w:t>
      </w:r>
      <w:r w:rsidR="00056E78">
        <w:rPr>
          <w:rFonts w:hint="cs"/>
          <w:rtl/>
          <w:lang w:val="fr-CH" w:bidi="ar-MA"/>
        </w:rPr>
        <w:t xml:space="preserve">وخورشيد بوبوكالونوف، </w:t>
      </w:r>
      <w:r w:rsidR="008B67FB">
        <w:rPr>
          <w:rFonts w:hint="cs"/>
          <w:rtl/>
          <w:lang w:val="fr-CH" w:bidi="ar-MA"/>
        </w:rPr>
        <w:t xml:space="preserve">وألوفودين دافلاتوف، ومورودوف ديلشودبيك، </w:t>
      </w:r>
      <w:r w:rsidR="00882316">
        <w:rPr>
          <w:rFonts w:hint="cs"/>
          <w:rtl/>
          <w:lang w:val="fr-CH" w:bidi="ar-MA"/>
        </w:rPr>
        <w:t>و</w:t>
      </w:r>
      <w:r w:rsidR="009D154E">
        <w:rPr>
          <w:rFonts w:hint="cs"/>
          <w:rtl/>
          <w:lang w:val="fr-CH" w:bidi="ar-MA"/>
        </w:rPr>
        <w:t xml:space="preserve">حمزة إكرومزودا، وخمزالي إكرومزودا، وسفرالي سانغوف، وباهروميدين شودييف. </w:t>
      </w:r>
      <w:r>
        <w:rPr>
          <w:rFonts w:hint="cs"/>
          <w:rtl/>
          <w:lang w:val="fr-CH" w:bidi="ar-MA"/>
        </w:rPr>
        <w:t xml:space="preserve">كما </w:t>
      </w:r>
      <w:r w:rsidR="00C6205D">
        <w:rPr>
          <w:rFonts w:hint="cs"/>
          <w:rtl/>
          <w:lang w:val="fr-CH" w:bidi="ar-MA"/>
        </w:rPr>
        <w:t xml:space="preserve">تعرب عن قلقها </w:t>
      </w:r>
      <w:r>
        <w:rPr>
          <w:rFonts w:hint="cs"/>
          <w:rtl/>
          <w:lang w:val="fr-CH" w:bidi="ar-MA"/>
        </w:rPr>
        <w:t>إزاء غياب تحقيقات فعالة ونزيهة في هذه القضايا (المواد 2 و12 و16).</w:t>
      </w:r>
    </w:p>
    <w:p w:rsidR="00D6238F" w:rsidRPr="00A55327" w:rsidRDefault="006B255F" w:rsidP="00866A6D">
      <w:pPr>
        <w:pStyle w:val="SingleTxtGA"/>
        <w:rPr>
          <w:b/>
          <w:bCs/>
          <w:lang w:val="fr-CH" w:bidi="ar-MA"/>
        </w:rPr>
      </w:pPr>
      <w:r>
        <w:rPr>
          <w:rFonts w:hint="cs"/>
          <w:b/>
          <w:bCs/>
          <w:rtl/>
          <w:lang w:val="fr-CH" w:bidi="ar-MA"/>
        </w:rPr>
        <w:tab/>
      </w:r>
      <w:r w:rsidR="00D6238F" w:rsidRPr="00A55327">
        <w:rPr>
          <w:rFonts w:hint="cs"/>
          <w:b/>
          <w:bCs/>
          <w:rtl/>
          <w:lang w:val="fr-CH" w:bidi="ar-MA"/>
        </w:rPr>
        <w:t xml:space="preserve">تحث اللجنة الدولة الطرف على التحقيق الفوري والنزيه والفعال في حالات وفاة المحتجزين، وتقييم </w:t>
      </w:r>
      <w:r w:rsidR="00D6238F">
        <w:rPr>
          <w:rFonts w:hint="cs"/>
          <w:b/>
          <w:bCs/>
          <w:rtl/>
          <w:lang w:val="fr-CH" w:bidi="ar-MA"/>
        </w:rPr>
        <w:t>أ</w:t>
      </w:r>
      <w:r w:rsidR="00D6238F" w:rsidRPr="00A55327">
        <w:rPr>
          <w:rFonts w:hint="cs"/>
          <w:b/>
          <w:bCs/>
          <w:rtl/>
          <w:lang w:val="fr-CH" w:bidi="ar-MA"/>
        </w:rPr>
        <w:t xml:space="preserve">ي مسؤولية للموظفين الحكوميين، وضمان معاقبة الجناة، ومنح تعويضات لأسر الضحايا. وتطلب اللجنة من الدولة الطرف تقديم معلومات محدثة شاملة عن جميع الوفيات أثناء الاحتجاز المبلغ عنها، بما في ذلك عن مكان وسبب الوفاة ونتائج </w:t>
      </w:r>
      <w:r w:rsidR="00D6238F">
        <w:rPr>
          <w:rFonts w:hint="cs"/>
          <w:b/>
          <w:bCs/>
          <w:rtl/>
          <w:lang w:val="fr-CH" w:bidi="ar-MA"/>
        </w:rPr>
        <w:t>أ</w:t>
      </w:r>
      <w:r w:rsidR="00D6238F" w:rsidRPr="00A55327">
        <w:rPr>
          <w:rFonts w:hint="cs"/>
          <w:b/>
          <w:bCs/>
          <w:rtl/>
          <w:lang w:val="fr-CH" w:bidi="ar-MA"/>
        </w:rPr>
        <w:t>ي تحقيقات أ</w:t>
      </w:r>
      <w:r w:rsidR="00D6238F">
        <w:rPr>
          <w:rFonts w:hint="cs"/>
          <w:b/>
          <w:bCs/>
          <w:rtl/>
          <w:lang w:val="fr-CH" w:bidi="ar-MA"/>
        </w:rPr>
        <w:t xml:space="preserve">ُجريت في هذه الوفيات، </w:t>
      </w:r>
      <w:r w:rsidR="00866A6D">
        <w:rPr>
          <w:rFonts w:hint="cs"/>
          <w:b/>
          <w:bCs/>
          <w:rtl/>
          <w:lang w:val="fr-CH" w:bidi="ar-MA"/>
        </w:rPr>
        <w:t>بما يشمل عقوبة الجناة والتعويضات المقدمة</w:t>
      </w:r>
      <w:r w:rsidR="00D6238F" w:rsidRPr="00A55327">
        <w:rPr>
          <w:rFonts w:hint="cs"/>
          <w:b/>
          <w:bCs/>
          <w:rtl/>
          <w:lang w:val="fr-CH" w:bidi="ar-MA"/>
        </w:rPr>
        <w:t xml:space="preserve"> لأقرباء الضحايا.</w:t>
      </w:r>
    </w:p>
    <w:p w:rsidR="00D6238F" w:rsidRDefault="00866A6D" w:rsidP="00866A6D">
      <w:pPr>
        <w:pStyle w:val="H23GA"/>
        <w:rPr>
          <w:rFonts w:hint="cs"/>
          <w:rtl/>
          <w:lang w:val="fr-CH" w:bidi="ar-MA"/>
        </w:rPr>
      </w:pPr>
      <w:r>
        <w:rPr>
          <w:rFonts w:hint="cs"/>
          <w:rtl/>
          <w:lang w:val="fr-CH" w:bidi="ar-MA"/>
        </w:rPr>
        <w:tab/>
      </w:r>
      <w:r>
        <w:rPr>
          <w:rFonts w:hint="cs"/>
          <w:rtl/>
          <w:lang w:val="fr-CH" w:bidi="ar-MA"/>
        </w:rPr>
        <w:tab/>
      </w:r>
      <w:r w:rsidR="00D6238F">
        <w:rPr>
          <w:rFonts w:hint="cs"/>
          <w:rtl/>
          <w:lang w:val="fr-CH" w:bidi="ar-MA"/>
        </w:rPr>
        <w:t>التحقيقات والإفلات من العقاب</w:t>
      </w:r>
    </w:p>
    <w:p w:rsidR="00D6238F" w:rsidRDefault="00D6238F" w:rsidP="005B473B">
      <w:pPr>
        <w:pStyle w:val="SingleTxtGA"/>
        <w:rPr>
          <w:rFonts w:hint="cs"/>
          <w:rtl/>
          <w:lang w:val="fr-CH" w:bidi="ar-MA"/>
        </w:rPr>
      </w:pPr>
      <w:r w:rsidRPr="006F1D78">
        <w:rPr>
          <w:rFonts w:hint="cs"/>
          <w:rtl/>
          <w:lang w:val="fr-CH" w:bidi="ar-MA"/>
        </w:rPr>
        <w:t>11-</w:t>
      </w:r>
      <w:r w:rsidRPr="006F1D78">
        <w:rPr>
          <w:rFonts w:hint="cs"/>
          <w:rtl/>
          <w:lang w:val="fr-CH" w:bidi="ar-MA"/>
        </w:rPr>
        <w:tab/>
        <w:t>يساور اللجنة بالغ القلق من أن ادعاءات التعذيب وسوء المع</w:t>
      </w:r>
      <w:r>
        <w:rPr>
          <w:rFonts w:hint="cs"/>
          <w:rtl/>
          <w:lang w:val="fr-CH" w:bidi="ar-MA"/>
        </w:rPr>
        <w:t>املة</w:t>
      </w:r>
      <w:r w:rsidRPr="006F1D78">
        <w:rPr>
          <w:rFonts w:hint="cs"/>
          <w:rtl/>
          <w:lang w:val="fr-CH" w:bidi="ar-MA"/>
        </w:rPr>
        <w:t xml:space="preserve"> لا تخ</w:t>
      </w:r>
      <w:r>
        <w:rPr>
          <w:rFonts w:hint="cs"/>
          <w:rtl/>
          <w:lang w:val="fr-CH" w:bidi="ar-MA"/>
        </w:rPr>
        <w:t>ضع للتحقيق وا</w:t>
      </w:r>
      <w:r w:rsidRPr="006F1D78">
        <w:rPr>
          <w:rFonts w:hint="cs"/>
          <w:rtl/>
          <w:lang w:val="fr-CH" w:bidi="ar-MA"/>
        </w:rPr>
        <w:t>لمقاضاة على نحو فوري ونزيه وفعال</w:t>
      </w:r>
      <w:r>
        <w:rPr>
          <w:rFonts w:hint="cs"/>
          <w:rtl/>
          <w:lang w:val="fr-CH" w:bidi="ar-MA"/>
        </w:rPr>
        <w:t>، مما يؤدي إلى مناخ يسوده الإفلات من العقاب. و</w:t>
      </w:r>
      <w:r w:rsidR="00C44EF4">
        <w:rPr>
          <w:rFonts w:hint="cs"/>
          <w:rtl/>
          <w:lang w:val="fr-CH" w:bidi="ar-MA"/>
        </w:rPr>
        <w:t>تعرب</w:t>
      </w:r>
      <w:r>
        <w:rPr>
          <w:rFonts w:hint="cs"/>
          <w:rtl/>
          <w:lang w:val="fr-CH" w:bidi="ar-MA"/>
        </w:rPr>
        <w:t xml:space="preserve"> اللجنة كذلك </w:t>
      </w:r>
      <w:r w:rsidR="005B473B">
        <w:rPr>
          <w:rFonts w:hint="cs"/>
          <w:rtl/>
          <w:lang w:val="fr-CH" w:bidi="ar-MA"/>
        </w:rPr>
        <w:t>عن</w:t>
      </w:r>
      <w:r w:rsidR="00F16E47">
        <w:rPr>
          <w:rFonts w:hint="cs"/>
          <w:rtl/>
          <w:lang w:val="fr-CH" w:bidi="ar-MA"/>
        </w:rPr>
        <w:t xml:space="preserve"> </w:t>
      </w:r>
      <w:r>
        <w:rPr>
          <w:rFonts w:hint="cs"/>
          <w:rtl/>
          <w:lang w:val="fr-CH" w:bidi="ar-MA"/>
        </w:rPr>
        <w:t>القلق من أنه يجوز لمحكمة أو قاض أو مدع عام أو محقق، بموجب المادة 28(1) من قانون الإجراءات الجنائية، إنهاء الإجراءات الجنائية وإعفاء الشخص المعني من المسؤولية الجنائية. وقد يُتخذ هذان الإجراءان على أساس التوبة، أو مصالحة الضحية،</w:t>
      </w:r>
      <w:r w:rsidR="00904AE3">
        <w:rPr>
          <w:rFonts w:hint="cs"/>
          <w:rtl/>
          <w:lang w:val="fr-CH" w:bidi="ar-MA"/>
        </w:rPr>
        <w:t xml:space="preserve">        </w:t>
      </w:r>
      <w:r>
        <w:rPr>
          <w:rFonts w:hint="cs"/>
          <w:rtl/>
          <w:lang w:val="fr-CH" w:bidi="ar-MA"/>
        </w:rPr>
        <w:t xml:space="preserve"> أو تغير الظروف، أو انتهاء فترة التقادم بالنسبة للمقاضاة الجنائية (المواد 2 و12 و13 و16).</w:t>
      </w:r>
    </w:p>
    <w:p w:rsidR="00D6238F" w:rsidRPr="00781687" w:rsidRDefault="00D6185E" w:rsidP="00575A6A">
      <w:pPr>
        <w:pStyle w:val="SingleTxtGA"/>
        <w:rPr>
          <w:rFonts w:hint="cs"/>
          <w:b/>
          <w:bCs/>
          <w:rtl/>
          <w:lang w:val="fr-CH" w:bidi="ar-MA"/>
        </w:rPr>
      </w:pPr>
      <w:r>
        <w:rPr>
          <w:rFonts w:hint="cs"/>
          <w:b/>
          <w:bCs/>
          <w:rtl/>
          <w:lang w:val="fr-CH" w:bidi="ar-MA"/>
        </w:rPr>
        <w:tab/>
      </w:r>
      <w:r w:rsidR="00D6238F" w:rsidRPr="00781687">
        <w:rPr>
          <w:rFonts w:hint="cs"/>
          <w:b/>
          <w:bCs/>
          <w:rtl/>
          <w:lang w:val="fr-CH" w:bidi="ar-MA"/>
        </w:rPr>
        <w:t>ينبغي أن تقوم الدولة الطرف بما يلي:</w:t>
      </w:r>
    </w:p>
    <w:p w:rsidR="00D6238F" w:rsidRDefault="00D6185E" w:rsidP="00D6185E">
      <w:pPr>
        <w:pStyle w:val="SingleTxtGA"/>
        <w:rPr>
          <w:rFonts w:hint="cs"/>
          <w:b/>
          <w:bCs/>
          <w:lang w:val="fr-CH" w:bidi="ar-MA"/>
        </w:rPr>
      </w:pPr>
      <w:r>
        <w:rPr>
          <w:rFonts w:hint="cs"/>
          <w:b/>
          <w:bCs/>
          <w:rtl/>
          <w:lang w:val="fr-CH" w:bidi="ar-MA"/>
        </w:rPr>
        <w:tab/>
        <w:t>(أ)</w:t>
      </w:r>
      <w:r>
        <w:rPr>
          <w:rFonts w:hint="cs"/>
          <w:b/>
          <w:bCs/>
          <w:rtl/>
          <w:lang w:val="fr-CH" w:bidi="ar-MA"/>
        </w:rPr>
        <w:tab/>
      </w:r>
      <w:r w:rsidR="00D6238F" w:rsidRPr="00781687">
        <w:rPr>
          <w:rFonts w:hint="cs"/>
          <w:b/>
          <w:bCs/>
          <w:rtl/>
          <w:lang w:val="fr-CH" w:bidi="ar-MA"/>
        </w:rPr>
        <w:t xml:space="preserve">اتخاذ </w:t>
      </w:r>
      <w:r w:rsidR="00D6238F">
        <w:rPr>
          <w:rFonts w:hint="cs"/>
          <w:b/>
          <w:bCs/>
          <w:rtl/>
          <w:lang w:val="fr-CH" w:bidi="ar-MA"/>
        </w:rPr>
        <w:t xml:space="preserve">خطوات ملموسة لوضع آلية فعالة ومستقلة للتحقيق الجنائي دون ارتباط بالهيئة التي </w:t>
      </w:r>
      <w:r>
        <w:rPr>
          <w:rFonts w:hint="cs"/>
          <w:b/>
          <w:bCs/>
          <w:rtl/>
          <w:lang w:val="fr-CH" w:bidi="ar-MA"/>
        </w:rPr>
        <w:t xml:space="preserve">تباشر الدعوى ضد </w:t>
      </w:r>
      <w:r w:rsidR="00D6238F">
        <w:rPr>
          <w:rFonts w:hint="cs"/>
          <w:b/>
          <w:bCs/>
          <w:rtl/>
          <w:lang w:val="fr-CH" w:bidi="ar-MA"/>
        </w:rPr>
        <w:t>الضحية المزعومة؛</w:t>
      </w:r>
    </w:p>
    <w:p w:rsidR="00D6238F" w:rsidRDefault="007655C4" w:rsidP="00575A6A">
      <w:pPr>
        <w:pStyle w:val="SingleTxtGA"/>
        <w:rPr>
          <w:rFonts w:hint="cs"/>
          <w:b/>
          <w:bCs/>
          <w:lang w:val="fr-CH" w:bidi="ar-MA"/>
        </w:rPr>
      </w:pPr>
      <w:r>
        <w:rPr>
          <w:rFonts w:hint="cs"/>
          <w:b/>
          <w:bCs/>
          <w:rtl/>
          <w:lang w:val="fr-CH" w:bidi="ar-MA"/>
        </w:rPr>
        <w:tab/>
        <w:t>(ب)</w:t>
      </w:r>
      <w:r>
        <w:rPr>
          <w:rFonts w:hint="cs"/>
          <w:b/>
          <w:bCs/>
          <w:rtl/>
          <w:lang w:val="fr-CH" w:bidi="ar-MA"/>
        </w:rPr>
        <w:tab/>
      </w:r>
      <w:r w:rsidR="00D6238F">
        <w:rPr>
          <w:rFonts w:hint="cs"/>
          <w:b/>
          <w:bCs/>
          <w:rtl/>
          <w:lang w:val="fr-CH" w:bidi="ar-MA"/>
        </w:rPr>
        <w:t>التعجيل بإجراء تحقيق فوري ونزيه وواف في جميع ادعاءات التعذيب وسوء المعاملة وتقديم الجاني المزعوم إلى العدالة؛</w:t>
      </w:r>
    </w:p>
    <w:p w:rsidR="00D6238F" w:rsidRPr="007F6D77" w:rsidRDefault="0096787D" w:rsidP="00575A6A">
      <w:pPr>
        <w:pStyle w:val="SingleTxtGA"/>
        <w:rPr>
          <w:rFonts w:hint="cs"/>
          <w:b/>
          <w:bCs/>
          <w:rtl/>
          <w:lang w:val="fr-CH" w:bidi="ar-MA"/>
        </w:rPr>
      </w:pPr>
      <w:r>
        <w:rPr>
          <w:rFonts w:hint="cs"/>
          <w:b/>
          <w:bCs/>
          <w:rtl/>
          <w:lang w:val="fr-CH" w:bidi="ar-MA"/>
        </w:rPr>
        <w:tab/>
        <w:t>(ج)</w:t>
      </w:r>
      <w:r>
        <w:rPr>
          <w:rFonts w:hint="cs"/>
          <w:b/>
          <w:bCs/>
          <w:rtl/>
          <w:lang w:val="fr-CH" w:bidi="ar-MA"/>
        </w:rPr>
        <w:tab/>
      </w:r>
      <w:r w:rsidR="00D6238F">
        <w:rPr>
          <w:rFonts w:hint="cs"/>
          <w:b/>
          <w:bCs/>
          <w:rtl/>
          <w:lang w:val="fr-CH" w:bidi="ar-MA"/>
        </w:rPr>
        <w:t>إلغاء ما ينص عليه قانون الإجراءات الجنائية من أحكام تجيز إنهاء الإجراءات الجنائية وإعفاء المدعى عليه من المسؤولية الجنائية متى تعلقت القضية بادعاءات التعذيب وسوء المعاملة.</w:t>
      </w:r>
    </w:p>
    <w:p w:rsidR="00D6238F" w:rsidRDefault="00D6238F" w:rsidP="00575A6A">
      <w:pPr>
        <w:pStyle w:val="SingleTxtGA"/>
        <w:rPr>
          <w:rFonts w:hint="cs"/>
          <w:b/>
          <w:bCs/>
          <w:rtl/>
          <w:lang w:val="fr-CH" w:bidi="ar-MA"/>
        </w:rPr>
      </w:pPr>
      <w:r>
        <w:rPr>
          <w:rFonts w:hint="cs"/>
          <w:b/>
          <w:bCs/>
          <w:rtl/>
          <w:lang w:val="fr-CH" w:bidi="ar-MA"/>
        </w:rPr>
        <w:t>التعذيب وسوء المعاملة في القوات المسلحة</w:t>
      </w:r>
    </w:p>
    <w:p w:rsidR="00D6238F" w:rsidRDefault="00D6238F" w:rsidP="0089768B">
      <w:pPr>
        <w:pStyle w:val="SingleTxtGA"/>
        <w:rPr>
          <w:rFonts w:hint="cs"/>
          <w:rtl/>
          <w:lang w:val="fr-CH" w:bidi="ar-MA"/>
        </w:rPr>
      </w:pPr>
      <w:r w:rsidRPr="001C6A10">
        <w:rPr>
          <w:rFonts w:hint="cs"/>
          <w:rtl/>
          <w:lang w:val="fr-CH" w:bidi="ar-MA"/>
        </w:rPr>
        <w:t>12-</w:t>
      </w:r>
      <w:r w:rsidRPr="001C6A10">
        <w:rPr>
          <w:rFonts w:hint="cs"/>
          <w:rtl/>
          <w:lang w:val="fr-CH" w:bidi="ar-MA"/>
        </w:rPr>
        <w:tab/>
        <w:t>بينما تحيط اللجنة علماً بإنشاء</w:t>
      </w:r>
      <w:r>
        <w:rPr>
          <w:rFonts w:hint="cs"/>
          <w:rtl/>
          <w:lang w:val="fr-CH" w:bidi="ar-MA"/>
        </w:rPr>
        <w:t xml:space="preserve"> خطوط هاتفية مباشرة ووحدات متنقلة للرصد قصد معالجة مشكلة تعرض المجنَّدين إلزامياً للتنكيل وسوء المعاملة من جانب الضباط والأقران من الجنود في الجيش، فإنها </w:t>
      </w:r>
      <w:r w:rsidR="0089768B">
        <w:rPr>
          <w:rFonts w:hint="cs"/>
          <w:rtl/>
          <w:lang w:val="fr-CH" w:bidi="ar-MA"/>
        </w:rPr>
        <w:t xml:space="preserve">تعرب عن </w:t>
      </w:r>
      <w:r>
        <w:rPr>
          <w:rFonts w:hint="cs"/>
          <w:rtl/>
          <w:lang w:val="fr-CH" w:bidi="ar-MA"/>
        </w:rPr>
        <w:t>القلق إزاء استمرار استفحال تلك الممارسات في الدولة الطرف (المادتان 2 و16).</w:t>
      </w:r>
    </w:p>
    <w:p w:rsidR="00D6238F" w:rsidRPr="00471E34" w:rsidRDefault="00993F80" w:rsidP="00BC540E">
      <w:pPr>
        <w:pStyle w:val="SingleTxtGA"/>
        <w:rPr>
          <w:b/>
          <w:bCs/>
        </w:rPr>
      </w:pPr>
      <w:r>
        <w:rPr>
          <w:rFonts w:hint="cs"/>
          <w:b/>
          <w:bCs/>
          <w:rtl/>
          <w:lang w:val="fr-CH" w:bidi="ar-MA"/>
        </w:rPr>
        <w:tab/>
      </w:r>
      <w:r w:rsidR="00D6238F">
        <w:rPr>
          <w:rFonts w:hint="cs"/>
          <w:b/>
          <w:bCs/>
          <w:rtl/>
          <w:lang w:val="fr-CH" w:bidi="ar-MA"/>
        </w:rPr>
        <w:t>ينبغي للدولة الطرف أن تعزز التدابير الرامية إلى حظر التنكيل وسوء المعاملة في القوات المسلحة والقضاء عليهما وضمان إجراء تحقيق فوري ونزيه ووافٍ في جميع الادعاءات</w:t>
      </w:r>
      <w:r w:rsidR="00BC540E">
        <w:rPr>
          <w:rFonts w:hint="cs"/>
          <w:b/>
          <w:bCs/>
          <w:rtl/>
          <w:lang w:val="fr-CH" w:bidi="ar-MA"/>
        </w:rPr>
        <w:t xml:space="preserve"> بارتكاب تلك الأفعال</w:t>
      </w:r>
      <w:r w:rsidR="00D6238F">
        <w:rPr>
          <w:rFonts w:hint="cs"/>
          <w:b/>
          <w:bCs/>
          <w:rtl/>
          <w:lang w:val="fr-CH" w:bidi="ar-MA"/>
        </w:rPr>
        <w:t>. وينبغي للدولة الطرف، حيثما أُقيمَ الدليل على وقوع تنكيل، أن تُثبت مسؤولية المرتكبين المباشرين والجناة في التسلسل القيادي، وتلاحِق المسؤولين وتنزل بهم عقوبات تتناسب مع خطورة العمل المرتكب، وتنشر نتائج هذه التحقيقات، وتقدم تعويضات للضحايا وتعيد تأهيلهم بالكامل، بما في ذلك من خلال المساعدة الطبية والنفسية المناسبة.</w:t>
      </w:r>
    </w:p>
    <w:p w:rsidR="00D6238F" w:rsidRDefault="00B10905" w:rsidP="00B10905">
      <w:pPr>
        <w:pStyle w:val="H23GA"/>
        <w:rPr>
          <w:rFonts w:hint="cs"/>
          <w:rtl/>
          <w:lang w:val="fr-CH" w:bidi="ar-MA"/>
        </w:rPr>
      </w:pPr>
      <w:r>
        <w:rPr>
          <w:rFonts w:hint="cs"/>
          <w:rtl/>
        </w:rPr>
        <w:tab/>
      </w:r>
      <w:r>
        <w:rPr>
          <w:rFonts w:hint="cs"/>
          <w:rtl/>
        </w:rPr>
        <w:tab/>
      </w:r>
      <w:r w:rsidR="00D6238F" w:rsidRPr="009978F0">
        <w:rPr>
          <w:rFonts w:hint="cs"/>
          <w:rtl/>
        </w:rPr>
        <w:t>انتزاع الأدلة تحت وطأة التعذيب و</w:t>
      </w:r>
      <w:r w:rsidR="00D6238F" w:rsidRPr="009978F0">
        <w:rPr>
          <w:rFonts w:hint="cs"/>
          <w:rtl/>
          <w:lang w:val="fr-CH" w:bidi="ar-MA"/>
        </w:rPr>
        <w:t>غياب التحقيقات التلقائية</w:t>
      </w:r>
    </w:p>
    <w:p w:rsidR="00D6238F" w:rsidRDefault="00D6238F" w:rsidP="00807E84">
      <w:pPr>
        <w:pStyle w:val="SingleTxtGA"/>
        <w:rPr>
          <w:rFonts w:hint="cs"/>
          <w:rtl/>
          <w:lang w:val="fr-CH" w:bidi="ar-MA"/>
        </w:rPr>
      </w:pPr>
      <w:r w:rsidRPr="00222A03">
        <w:rPr>
          <w:rFonts w:hint="cs"/>
          <w:rtl/>
          <w:lang w:val="fr-CH" w:bidi="ar-MA"/>
        </w:rPr>
        <w:t>13-</w:t>
      </w:r>
      <w:r w:rsidRPr="00222A03">
        <w:rPr>
          <w:rFonts w:hint="cs"/>
          <w:rtl/>
          <w:lang w:val="fr-CH" w:bidi="ar-MA"/>
        </w:rPr>
        <w:tab/>
        <w:t>بينما</w:t>
      </w:r>
      <w:r>
        <w:rPr>
          <w:rFonts w:hint="cs"/>
          <w:rtl/>
          <w:lang w:val="fr-CH" w:bidi="ar-MA"/>
        </w:rPr>
        <w:t xml:space="preserve"> ترحب اللجنة بإدراج المادة 88(3) في قانون الإجراءات الجنائية في آذار/</w:t>
      </w:r>
      <w:r w:rsidR="00556C19">
        <w:rPr>
          <w:rFonts w:hint="cs"/>
          <w:rtl/>
          <w:lang w:val="fr-CH" w:bidi="ar-MA"/>
        </w:rPr>
        <w:t xml:space="preserve">     </w:t>
      </w:r>
      <w:r>
        <w:rPr>
          <w:rFonts w:hint="cs"/>
          <w:rtl/>
          <w:lang w:val="fr-CH" w:bidi="ar-MA"/>
        </w:rPr>
        <w:t>مارس 2008، التي تنص على عدم جواز استخدام الأدلة المنتزعة عن طريق "اللجوء إلى القوة وممارسة الضغط والقسوة والمعاملة اللاإنسانية وغيرها من الأساليب غير القانونية" كأدلة إثبات في القضايا الجنائية، وترحب أيضاً بالحكم الصادر عن المحكمة العليا في حزيران/</w:t>
      </w:r>
      <w:r w:rsidR="00556C19">
        <w:rPr>
          <w:rFonts w:hint="cs"/>
          <w:rtl/>
          <w:lang w:val="fr-CH" w:bidi="ar-MA"/>
        </w:rPr>
        <w:t xml:space="preserve">        </w:t>
      </w:r>
      <w:r>
        <w:rPr>
          <w:rFonts w:hint="cs"/>
          <w:rtl/>
          <w:lang w:val="fr-CH" w:bidi="ar-MA"/>
        </w:rPr>
        <w:t>يونيه 2012 الذي يوضح مفهوم عدم مقبولية الأدلة المنتزعة باستخدام أساليب غير قانونية، فإنها تعرب عن قلقها إزاء غياب آليات</w:t>
      </w:r>
      <w:r w:rsidR="00556C19">
        <w:rPr>
          <w:rFonts w:hint="cs"/>
          <w:rtl/>
          <w:lang w:val="fr-CH" w:bidi="ar-MA"/>
        </w:rPr>
        <w:t xml:space="preserve"> إنفاذ</w:t>
      </w:r>
      <w:r>
        <w:rPr>
          <w:rFonts w:hint="cs"/>
          <w:rtl/>
          <w:lang w:val="fr-CH" w:bidi="ar-MA"/>
        </w:rPr>
        <w:t xml:space="preserve"> فعالة و</w:t>
      </w:r>
      <w:r w:rsidR="00556C19">
        <w:rPr>
          <w:rFonts w:hint="cs"/>
          <w:rtl/>
          <w:lang w:val="fr-CH" w:bidi="ar-MA"/>
        </w:rPr>
        <w:t xml:space="preserve">غياب </w:t>
      </w:r>
      <w:r>
        <w:rPr>
          <w:rFonts w:hint="cs"/>
          <w:rtl/>
          <w:lang w:val="fr-CH" w:bidi="ar-MA"/>
        </w:rPr>
        <w:t xml:space="preserve">التنفيذ من الناحية العملية. </w:t>
      </w:r>
      <w:r w:rsidR="00556C19">
        <w:rPr>
          <w:rFonts w:hint="cs"/>
          <w:rtl/>
          <w:lang w:val="fr-CH" w:bidi="ar-MA"/>
        </w:rPr>
        <w:t xml:space="preserve">        </w:t>
      </w:r>
      <w:r>
        <w:rPr>
          <w:rFonts w:hint="cs"/>
          <w:rtl/>
          <w:lang w:val="fr-CH" w:bidi="ar-MA"/>
        </w:rPr>
        <w:t xml:space="preserve">كما </w:t>
      </w:r>
      <w:r w:rsidR="00556C19">
        <w:rPr>
          <w:rFonts w:hint="cs"/>
          <w:rtl/>
          <w:lang w:val="fr-CH" w:bidi="ar-MA"/>
        </w:rPr>
        <w:t xml:space="preserve">تعرب عن </w:t>
      </w:r>
      <w:r>
        <w:rPr>
          <w:rFonts w:hint="cs"/>
          <w:rtl/>
          <w:lang w:val="fr-CH" w:bidi="ar-MA"/>
        </w:rPr>
        <w:t xml:space="preserve">القلق إزاء التقارير الواردة عن رفض القضاة مراراً النظر في ادعاءات التعذيب عندما يثيرها المدعى عليهم، وإزاء عدم </w:t>
      </w:r>
      <w:r w:rsidR="00807E84">
        <w:rPr>
          <w:rFonts w:hint="cs"/>
          <w:rtl/>
          <w:lang w:val="fr-CH" w:bidi="ar-MA"/>
        </w:rPr>
        <w:t xml:space="preserve">شروع </w:t>
      </w:r>
      <w:r>
        <w:rPr>
          <w:rFonts w:hint="cs"/>
          <w:rtl/>
          <w:lang w:val="fr-CH" w:bidi="ar-MA"/>
        </w:rPr>
        <w:t xml:space="preserve">المدعي العام </w:t>
      </w:r>
      <w:r w:rsidR="00807E84">
        <w:rPr>
          <w:rFonts w:hint="cs"/>
          <w:rtl/>
          <w:lang w:val="fr-CH" w:bidi="ar-MA"/>
        </w:rPr>
        <w:t xml:space="preserve">في التحقيقات </w:t>
      </w:r>
      <w:r>
        <w:rPr>
          <w:rFonts w:hint="cs"/>
          <w:rtl/>
          <w:lang w:val="fr-CH" w:bidi="ar-MA"/>
        </w:rPr>
        <w:t>لم تُقدَّم شكوى رسمية (المادة 15).</w:t>
      </w:r>
    </w:p>
    <w:p w:rsidR="00D6238F" w:rsidRPr="003A1C36" w:rsidRDefault="007341C5" w:rsidP="0055595D">
      <w:pPr>
        <w:pStyle w:val="SingleTxtGA"/>
        <w:rPr>
          <w:rFonts w:hint="cs"/>
          <w:b/>
          <w:bCs/>
          <w:lang w:val="fr-CH" w:bidi="ar-MA"/>
        </w:rPr>
      </w:pPr>
      <w:r>
        <w:rPr>
          <w:rFonts w:hint="cs"/>
          <w:b/>
          <w:bCs/>
          <w:rtl/>
          <w:lang w:val="fr-CH" w:bidi="ar-MA"/>
        </w:rPr>
        <w:tab/>
      </w:r>
      <w:r w:rsidR="00D6238F" w:rsidRPr="003A1C36">
        <w:rPr>
          <w:rFonts w:hint="cs"/>
          <w:b/>
          <w:bCs/>
          <w:rtl/>
          <w:lang w:val="fr-CH" w:bidi="ar-MA"/>
        </w:rPr>
        <w:t xml:space="preserve">تحث اللجنة الدولة الطرف على أن تكفل عملياً عدم الاحتجاج </w:t>
      </w:r>
      <w:r w:rsidR="00E220B1">
        <w:rPr>
          <w:rFonts w:hint="cs"/>
          <w:b/>
          <w:bCs/>
          <w:rtl/>
          <w:lang w:val="fr-CH" w:bidi="ar-MA"/>
        </w:rPr>
        <w:t>بالإفادات</w:t>
      </w:r>
      <w:r w:rsidR="00D6238F" w:rsidRPr="003A1C36">
        <w:rPr>
          <w:rFonts w:hint="cs"/>
          <w:b/>
          <w:bCs/>
          <w:rtl/>
          <w:lang w:val="fr-CH" w:bidi="ar-MA"/>
        </w:rPr>
        <w:t xml:space="preserve"> المنتزعة عن طريق التعذيب كأدلة في أي دعاوى. وينبغي </w:t>
      </w:r>
      <w:r w:rsidR="00D6238F">
        <w:rPr>
          <w:rFonts w:hint="cs"/>
          <w:b/>
          <w:bCs/>
          <w:rtl/>
          <w:lang w:val="fr-CH" w:bidi="ar-MA"/>
        </w:rPr>
        <w:t>للدولة الطرف أن تضمن وقف الإجراءات، في أي قضية يزعم</w:t>
      </w:r>
      <w:r w:rsidR="00D6238F" w:rsidRPr="003A1C36">
        <w:rPr>
          <w:rFonts w:hint="cs"/>
          <w:b/>
          <w:bCs/>
          <w:rtl/>
          <w:lang w:val="fr-CH" w:bidi="ar-MA"/>
        </w:rPr>
        <w:t xml:space="preserve"> فيها شخص انتزاع اعترافاته عن طريق التعذيب، في انتظار التحقيق بصورة وافية في الادعاء. وتحث اللجنة الدولة الطرف على إعادة النظر في قضايا الإدانة التي تستند إلى الاعترافات</w:t>
      </w:r>
      <w:r w:rsidR="0055595D">
        <w:rPr>
          <w:rFonts w:hint="cs"/>
          <w:b/>
          <w:bCs/>
          <w:rtl/>
          <w:lang w:val="fr-CH" w:bidi="ar-MA"/>
        </w:rPr>
        <w:t xml:space="preserve"> فقط</w:t>
      </w:r>
      <w:r w:rsidR="00D6238F" w:rsidRPr="003A1C36">
        <w:rPr>
          <w:rFonts w:hint="cs"/>
          <w:b/>
          <w:bCs/>
          <w:rtl/>
          <w:lang w:val="fr-CH" w:bidi="ar-MA"/>
        </w:rPr>
        <w:t>.</w:t>
      </w:r>
    </w:p>
    <w:p w:rsidR="00D6238F" w:rsidRDefault="00694AF5" w:rsidP="00694AF5">
      <w:pPr>
        <w:pStyle w:val="H23GA"/>
        <w:rPr>
          <w:rFonts w:hint="cs"/>
          <w:rtl/>
          <w:lang w:val="fr-CH" w:bidi="ar-MA"/>
        </w:rPr>
      </w:pPr>
      <w:r>
        <w:rPr>
          <w:rFonts w:hint="cs"/>
          <w:rtl/>
          <w:lang w:val="fr-CH" w:bidi="ar-MA"/>
        </w:rPr>
        <w:tab/>
      </w:r>
      <w:r>
        <w:rPr>
          <w:rFonts w:hint="cs"/>
          <w:rtl/>
          <w:lang w:val="fr-CH" w:bidi="ar-MA"/>
        </w:rPr>
        <w:tab/>
      </w:r>
      <w:r w:rsidR="00D6238F" w:rsidRPr="009978F0">
        <w:rPr>
          <w:rFonts w:hint="cs"/>
          <w:rtl/>
          <w:lang w:val="fr-CH" w:bidi="ar-MA"/>
        </w:rPr>
        <w:t>ظروف الاحتجاز</w:t>
      </w:r>
    </w:p>
    <w:p w:rsidR="00D6238F" w:rsidRPr="00911FB6" w:rsidRDefault="00D6238F" w:rsidP="00575A6A">
      <w:pPr>
        <w:pStyle w:val="SingleTxtGA"/>
        <w:rPr>
          <w:rFonts w:hint="cs"/>
          <w:rtl/>
          <w:lang w:val="fr-CH" w:bidi="ar-MA"/>
        </w:rPr>
      </w:pPr>
      <w:r w:rsidRPr="00911FB6">
        <w:rPr>
          <w:rFonts w:hint="cs"/>
          <w:rtl/>
          <w:lang w:val="fr-CH" w:bidi="ar-MA"/>
        </w:rPr>
        <w:t>14-</w:t>
      </w:r>
      <w:r w:rsidRPr="00911FB6">
        <w:rPr>
          <w:rFonts w:hint="cs"/>
          <w:rtl/>
          <w:lang w:val="fr-CH" w:bidi="ar-MA"/>
        </w:rPr>
        <w:tab/>
        <w:t>بينما ترحب اللجنة بالجهود التي تبذلها الدولة الطرف حالياً لتحسين ظروف الاحتجاز في السجون ومرافق الاحتجاز قبل المحاكمة، فإن القلق يساورها إزاء ما يلي:</w:t>
      </w:r>
    </w:p>
    <w:p w:rsidR="00D6238F" w:rsidRPr="00911FB6" w:rsidRDefault="009B7B83" w:rsidP="00C35258">
      <w:pPr>
        <w:pStyle w:val="SingleTxtGA"/>
        <w:rPr>
          <w:rFonts w:hint="cs"/>
          <w:lang w:val="fr-CH" w:bidi="ar-MA"/>
        </w:rPr>
      </w:pPr>
      <w:r>
        <w:rPr>
          <w:rFonts w:hint="cs"/>
          <w:rtl/>
          <w:lang w:val="fr-CH" w:bidi="ar-MA"/>
        </w:rPr>
        <w:tab/>
        <w:t>(أ)</w:t>
      </w:r>
      <w:r>
        <w:rPr>
          <w:rFonts w:hint="cs"/>
          <w:rtl/>
          <w:lang w:val="fr-CH" w:bidi="ar-MA"/>
        </w:rPr>
        <w:tab/>
      </w:r>
      <w:r w:rsidR="00D6238F" w:rsidRPr="00911FB6">
        <w:rPr>
          <w:rFonts w:hint="cs"/>
          <w:rtl/>
          <w:lang w:val="fr-CH" w:bidi="ar-MA"/>
        </w:rPr>
        <w:t xml:space="preserve">التقارير الواردة عن نقص الإمداد بالمياه الساخنة؛ وعدم ملاءمة </w:t>
      </w:r>
      <w:r w:rsidR="00646885">
        <w:rPr>
          <w:rFonts w:hint="cs"/>
          <w:rtl/>
          <w:lang w:val="fr-CH" w:bidi="ar-MA"/>
        </w:rPr>
        <w:t>المرافق</w:t>
      </w:r>
      <w:r w:rsidR="00D6238F" w:rsidRPr="00911FB6">
        <w:rPr>
          <w:rFonts w:hint="cs"/>
          <w:rtl/>
          <w:lang w:val="fr-CH" w:bidi="ar-MA"/>
        </w:rPr>
        <w:t xml:space="preserve"> الصحية؛ وضعف التهوية؛ وغياب وسائل تجفيف الملابس، مما يؤدي إلى الإصابة بالالتهابات التنفسية والأمراض؛ وغياب منتجات النظافة الشخصية؛ وعدم </w:t>
      </w:r>
      <w:r w:rsidR="00C35258">
        <w:rPr>
          <w:rFonts w:hint="cs"/>
          <w:rtl/>
          <w:lang w:val="fr-CH" w:bidi="ar-MA"/>
        </w:rPr>
        <w:t>كفاية</w:t>
      </w:r>
      <w:r w:rsidR="00D6238F" w:rsidRPr="00911FB6">
        <w:rPr>
          <w:rFonts w:hint="cs"/>
          <w:rtl/>
          <w:lang w:val="fr-CH" w:bidi="ar-MA"/>
        </w:rPr>
        <w:t xml:space="preserve"> الطعام والرعاية الصحية؛</w:t>
      </w:r>
    </w:p>
    <w:p w:rsidR="00D6238F" w:rsidRPr="00911FB6" w:rsidRDefault="00C46DAF" w:rsidP="00233C2E">
      <w:pPr>
        <w:pStyle w:val="SingleTxtGA"/>
        <w:rPr>
          <w:rFonts w:hint="cs"/>
          <w:lang w:val="fr-CH" w:bidi="ar-MA"/>
        </w:rPr>
      </w:pPr>
      <w:r>
        <w:rPr>
          <w:rFonts w:hint="cs"/>
          <w:rtl/>
          <w:lang w:val="fr-CH" w:bidi="ar-MA"/>
        </w:rPr>
        <w:tab/>
        <w:t>(ب)</w:t>
      </w:r>
      <w:r>
        <w:rPr>
          <w:rFonts w:hint="cs"/>
          <w:rtl/>
          <w:lang w:val="fr-CH" w:bidi="ar-MA"/>
        </w:rPr>
        <w:tab/>
      </w:r>
      <w:r w:rsidR="00D6238F" w:rsidRPr="00911FB6">
        <w:rPr>
          <w:rFonts w:hint="cs"/>
          <w:rtl/>
          <w:lang w:val="fr-CH" w:bidi="ar-MA"/>
        </w:rPr>
        <w:t>إخضاع النزلاء الذين يقضون عقوبة السجن مدى الحياة إلى نظم متمادية في الصرامة، إذ يُحتجزون</w:t>
      </w:r>
      <w:r w:rsidR="00D6238F">
        <w:rPr>
          <w:rFonts w:hint="cs"/>
          <w:rtl/>
          <w:lang w:val="fr-CH" w:bidi="ar-MA"/>
        </w:rPr>
        <w:t>، حسب</w:t>
      </w:r>
      <w:r w:rsidR="00D6238F" w:rsidRPr="00911FB6">
        <w:rPr>
          <w:rFonts w:hint="cs"/>
          <w:rtl/>
          <w:lang w:val="fr-CH" w:bidi="ar-MA"/>
        </w:rPr>
        <w:t xml:space="preserve">ما تشير التقارير، في </w:t>
      </w:r>
      <w:r w:rsidR="00D6238F">
        <w:rPr>
          <w:rFonts w:hint="cs"/>
          <w:rtl/>
          <w:lang w:val="fr-CH" w:bidi="ar-MA"/>
        </w:rPr>
        <w:t>عزلة تامة لمدة قد تصل إ</w:t>
      </w:r>
      <w:r w:rsidR="00D6238F" w:rsidRPr="00911FB6">
        <w:rPr>
          <w:rFonts w:hint="cs"/>
          <w:rtl/>
          <w:lang w:val="fr-CH" w:bidi="ar-MA"/>
        </w:rPr>
        <w:t>لى 23 ساعة في اليوم داخل زنزانات ضيقة وخالية من الهواء الطلق؛ ولا يسعهم الاتصال بالمحامين؛</w:t>
      </w:r>
      <w:r w:rsidR="00F16E47">
        <w:rPr>
          <w:rFonts w:hint="cs"/>
          <w:rtl/>
          <w:lang w:val="fr-CH" w:bidi="ar-MA"/>
        </w:rPr>
        <w:t xml:space="preserve">            </w:t>
      </w:r>
      <w:r w:rsidR="00D6238F" w:rsidRPr="00911FB6">
        <w:rPr>
          <w:rFonts w:hint="cs"/>
          <w:rtl/>
          <w:lang w:val="fr-CH" w:bidi="ar-MA"/>
        </w:rPr>
        <w:t xml:space="preserve"> ولا يُسمح لذويهم زيارتهم سوى مرة واحدة في السنة؛ كما يحرمون من أنشطة شتى داخل السجن؛</w:t>
      </w:r>
    </w:p>
    <w:p w:rsidR="00D6238F" w:rsidRDefault="00233C2E" w:rsidP="000D487A">
      <w:pPr>
        <w:pStyle w:val="SingleTxtGA"/>
        <w:rPr>
          <w:rFonts w:hint="cs"/>
          <w:lang w:val="fr-CH" w:bidi="ar-MA"/>
        </w:rPr>
      </w:pPr>
      <w:r>
        <w:rPr>
          <w:rFonts w:hint="cs"/>
          <w:rtl/>
          <w:lang w:val="fr-CH" w:bidi="ar-MA"/>
        </w:rPr>
        <w:tab/>
        <w:t>(ج)</w:t>
      </w:r>
      <w:r>
        <w:rPr>
          <w:rFonts w:hint="cs"/>
          <w:rtl/>
          <w:lang w:val="fr-CH" w:bidi="ar-MA"/>
        </w:rPr>
        <w:tab/>
      </w:r>
      <w:r w:rsidR="00D6238F" w:rsidRPr="00911FB6">
        <w:rPr>
          <w:rFonts w:hint="cs"/>
          <w:rtl/>
          <w:lang w:val="fr-CH" w:bidi="ar-MA"/>
        </w:rPr>
        <w:t xml:space="preserve">استمرار </w:t>
      </w:r>
      <w:r w:rsidR="000D487A">
        <w:rPr>
          <w:rFonts w:hint="cs"/>
          <w:rtl/>
          <w:lang w:val="fr-CH" w:bidi="ar-MA"/>
        </w:rPr>
        <w:t>عدم استعراض</w:t>
      </w:r>
      <w:r w:rsidR="00D6238F">
        <w:rPr>
          <w:rFonts w:hint="cs"/>
          <w:rtl/>
          <w:lang w:val="fr-CH" w:bidi="ar-MA"/>
        </w:rPr>
        <w:t xml:space="preserve"> جهات المراقبة الوطنية أو الدولية</w:t>
      </w:r>
      <w:r w:rsidR="008C4B8A">
        <w:rPr>
          <w:rFonts w:hint="cs"/>
          <w:rtl/>
          <w:lang w:val="fr-CH" w:bidi="ar-MA"/>
        </w:rPr>
        <w:t>،</w:t>
      </w:r>
      <w:r w:rsidR="000D487A">
        <w:rPr>
          <w:rFonts w:hint="cs"/>
          <w:rtl/>
          <w:lang w:val="fr-CH" w:bidi="ar-MA"/>
        </w:rPr>
        <w:t xml:space="preserve"> بما فيها اللجنة الدولية للصليب الأحمر، على نحو منتظم ومستقل</w:t>
      </w:r>
      <w:r w:rsidR="00D6238F">
        <w:rPr>
          <w:rFonts w:hint="cs"/>
          <w:rtl/>
          <w:lang w:val="fr-CH" w:bidi="ar-MA"/>
        </w:rPr>
        <w:t xml:space="preserve"> </w:t>
      </w:r>
      <w:r w:rsidR="000D487A">
        <w:rPr>
          <w:rFonts w:hint="cs"/>
          <w:rtl/>
          <w:lang w:val="fr-CH" w:bidi="ar-MA"/>
        </w:rPr>
        <w:t>ل</w:t>
      </w:r>
      <w:r w:rsidR="00D6238F">
        <w:rPr>
          <w:rFonts w:hint="cs"/>
          <w:rtl/>
          <w:lang w:val="fr-CH" w:bidi="ar-MA"/>
        </w:rPr>
        <w:t>جميع أماكن الاحتجاز</w:t>
      </w:r>
      <w:r w:rsidR="000D487A">
        <w:rPr>
          <w:rFonts w:hint="cs"/>
          <w:rtl/>
          <w:lang w:val="fr-CH" w:bidi="ar-MA"/>
        </w:rPr>
        <w:t>.</w:t>
      </w:r>
      <w:r w:rsidR="00D6238F">
        <w:rPr>
          <w:rFonts w:hint="cs"/>
          <w:rtl/>
          <w:lang w:val="fr-CH" w:bidi="ar-MA"/>
        </w:rPr>
        <w:t xml:space="preserve"> وبينما تحيط اللجنة علماً بإمكانية قيام أمين المظالم بزيارات إلى أماكن الاحتجاز، فإنها تشعر بالقلق إزاء عدم نشر النتائج المتوصل إليها؛</w:t>
      </w:r>
    </w:p>
    <w:p w:rsidR="00D6238F" w:rsidRDefault="00A21616" w:rsidP="000538AF">
      <w:pPr>
        <w:pStyle w:val="SingleTxtGA"/>
        <w:rPr>
          <w:rFonts w:hint="cs"/>
          <w:rtl/>
          <w:lang w:val="fr-CH" w:bidi="ar-MA"/>
        </w:rPr>
      </w:pPr>
      <w:r>
        <w:rPr>
          <w:rFonts w:hint="cs"/>
          <w:rtl/>
          <w:lang w:val="fr-CH" w:bidi="ar-MA"/>
        </w:rPr>
        <w:tab/>
        <w:t>(د)</w:t>
      </w:r>
      <w:r>
        <w:rPr>
          <w:rFonts w:hint="cs"/>
          <w:rtl/>
          <w:lang w:val="fr-CH" w:bidi="ar-MA"/>
        </w:rPr>
        <w:tab/>
      </w:r>
      <w:r w:rsidR="00D6238F">
        <w:rPr>
          <w:rFonts w:hint="cs"/>
          <w:rtl/>
          <w:lang w:val="fr-CH" w:bidi="ar-MA"/>
        </w:rPr>
        <w:t xml:space="preserve">غياب آلية لتقديم الشكاوى من جانب المحتجزين. فرغم المعلومات التي أتاحتها الدولة الطرف عن إمكانية تقديم الشكاوى المتعلقة بالتعذيب أو سوء المعاملة في مظاريف مختومة، لا تصل تلك الشكاوى حسبما تشير إليه التقارير إلى السلطات المختصة وغالباً ما يتعذر على السجناء </w:t>
      </w:r>
      <w:r w:rsidR="000538AF">
        <w:rPr>
          <w:rFonts w:hint="cs"/>
          <w:rtl/>
          <w:lang w:val="fr-CH" w:bidi="ar-MA"/>
        </w:rPr>
        <w:t xml:space="preserve">الحصول على </w:t>
      </w:r>
      <w:r w:rsidR="00D6238F">
        <w:rPr>
          <w:rFonts w:hint="cs"/>
          <w:rtl/>
          <w:lang w:val="fr-CH" w:bidi="ar-MA"/>
        </w:rPr>
        <w:t>الأقلام والورق؛</w:t>
      </w:r>
    </w:p>
    <w:p w:rsidR="00C80546" w:rsidRDefault="00C80546" w:rsidP="00C80546">
      <w:pPr>
        <w:pStyle w:val="SingleTxtGA"/>
        <w:rPr>
          <w:rFonts w:hint="cs"/>
          <w:lang w:val="fr-CH" w:bidi="ar-MA"/>
        </w:rPr>
      </w:pPr>
      <w:r>
        <w:rPr>
          <w:rFonts w:hint="cs"/>
          <w:rtl/>
          <w:lang w:val="fr-CH" w:bidi="ar-MA"/>
        </w:rPr>
        <w:tab/>
        <w:t>(</w:t>
      </w:r>
      <w:r w:rsidRPr="00F55308">
        <w:rPr>
          <w:rFonts w:hint="cs"/>
          <w:sz w:val="30"/>
          <w:rtl/>
          <w:lang w:val="fr-CH" w:bidi="ar-MA"/>
        </w:rPr>
        <w:t>ﻫ</w:t>
      </w:r>
      <w:r>
        <w:rPr>
          <w:rFonts w:hint="cs"/>
          <w:rtl/>
          <w:lang w:val="fr-CH" w:bidi="ar-MA"/>
        </w:rPr>
        <w:t>)</w:t>
      </w:r>
      <w:r>
        <w:rPr>
          <w:rFonts w:hint="cs"/>
          <w:rtl/>
          <w:lang w:val="fr-CH" w:bidi="ar-MA"/>
        </w:rPr>
        <w:tab/>
        <w:t>اعتبار عدد المؤسسات الإصلاحية في طاجيكستان ومواقعها وقدرتها الاستيعابية وعدد المحتجزين فيها "من أسرار الدولة".</w:t>
      </w:r>
    </w:p>
    <w:p w:rsidR="00C80546" w:rsidRPr="00F55308" w:rsidRDefault="00C80546" w:rsidP="00C80546">
      <w:pPr>
        <w:pStyle w:val="SingleTxtGA"/>
        <w:rPr>
          <w:rFonts w:hint="cs"/>
          <w:b/>
          <w:bCs/>
          <w:rtl/>
          <w:lang w:val="fr-CH" w:bidi="ar-MA"/>
        </w:rPr>
      </w:pPr>
      <w:r>
        <w:rPr>
          <w:rFonts w:hint="cs"/>
          <w:rtl/>
          <w:lang w:val="fr-CH" w:bidi="ar-MA"/>
        </w:rPr>
        <w:tab/>
      </w:r>
      <w:r w:rsidRPr="00F55308">
        <w:rPr>
          <w:rFonts w:hint="cs"/>
          <w:b/>
          <w:bCs/>
          <w:rtl/>
          <w:lang w:val="fr-CH" w:bidi="ar-MA"/>
        </w:rPr>
        <w:t>ينبغي للدولة الطرف أن تقوم</w:t>
      </w:r>
      <w:r>
        <w:rPr>
          <w:rFonts w:hint="cs"/>
          <w:b/>
          <w:bCs/>
          <w:rtl/>
          <w:lang w:val="fr-CH" w:bidi="ar-MA"/>
        </w:rPr>
        <w:t xml:space="preserve"> بما</w:t>
      </w:r>
      <w:r>
        <w:rPr>
          <w:b/>
          <w:bCs/>
          <w:rtl/>
          <w:lang w:val="fr-CH" w:bidi="ar-MA"/>
        </w:rPr>
        <w:t> </w:t>
      </w:r>
      <w:r w:rsidRPr="00F55308">
        <w:rPr>
          <w:rFonts w:hint="cs"/>
          <w:b/>
          <w:bCs/>
          <w:rtl/>
          <w:lang w:val="fr-CH" w:bidi="ar-MA"/>
        </w:rPr>
        <w:t>يلي:</w:t>
      </w:r>
    </w:p>
    <w:p w:rsidR="00C80546" w:rsidRPr="00F55308" w:rsidRDefault="00C80546" w:rsidP="00C80546">
      <w:pPr>
        <w:pStyle w:val="SingleTxtGA"/>
        <w:rPr>
          <w:rFonts w:hint="cs"/>
          <w:b/>
          <w:bCs/>
          <w:lang w:val="fr-CH" w:bidi="ar-MA"/>
        </w:rPr>
      </w:pPr>
      <w:r w:rsidRPr="00F55308">
        <w:rPr>
          <w:rFonts w:hint="cs"/>
          <w:b/>
          <w:bCs/>
          <w:rtl/>
          <w:lang w:val="fr-CH" w:bidi="ar-MA"/>
        </w:rPr>
        <w:tab/>
        <w:t>(أ)</w:t>
      </w:r>
      <w:r w:rsidRPr="00F55308">
        <w:rPr>
          <w:rFonts w:hint="cs"/>
          <w:b/>
          <w:bCs/>
          <w:rtl/>
          <w:lang w:val="fr-CH" w:bidi="ar-MA"/>
        </w:rPr>
        <w:tab/>
        <w:t>تخصيص موارد مالية كافية لتحسين الظروف في جميع أماكن الاحتجاز؛</w:t>
      </w:r>
    </w:p>
    <w:p w:rsidR="00C80546" w:rsidRPr="00F55308" w:rsidRDefault="00C80546" w:rsidP="00C80546">
      <w:pPr>
        <w:pStyle w:val="SingleTxtGA"/>
        <w:rPr>
          <w:rFonts w:hint="cs"/>
          <w:b/>
          <w:bCs/>
          <w:lang w:val="fr-CH" w:bidi="ar-MA"/>
        </w:rPr>
      </w:pPr>
      <w:r w:rsidRPr="00F55308">
        <w:rPr>
          <w:rFonts w:hint="cs"/>
          <w:b/>
          <w:bCs/>
          <w:rtl/>
          <w:lang w:val="fr-CH" w:bidi="ar-MA"/>
        </w:rPr>
        <w:tab/>
        <w:t>(ب)</w:t>
      </w:r>
      <w:r w:rsidRPr="00F55308">
        <w:rPr>
          <w:rFonts w:hint="cs"/>
          <w:b/>
          <w:bCs/>
          <w:rtl/>
          <w:lang w:val="fr-CH" w:bidi="ar-MA"/>
        </w:rPr>
        <w:tab/>
        <w:t>القضاء على العزل التام للسجناء الذين يقضون عقوبة السجن مدى الحياة، وتحسين ظروف عيشهم، وإلغاء التشريعات التي تقيد تواصلهم مع المحامين ومع ذويهم؛</w:t>
      </w:r>
    </w:p>
    <w:p w:rsidR="00C80546" w:rsidRPr="00F55308" w:rsidRDefault="00C80546" w:rsidP="00C80546">
      <w:pPr>
        <w:pStyle w:val="SingleTxtGA"/>
        <w:rPr>
          <w:rFonts w:hint="cs"/>
          <w:b/>
          <w:bCs/>
          <w:lang w:val="fr-CH" w:bidi="ar-MA"/>
        </w:rPr>
      </w:pPr>
      <w:r w:rsidRPr="00F55308">
        <w:rPr>
          <w:rFonts w:hint="cs"/>
          <w:b/>
          <w:bCs/>
          <w:rtl/>
          <w:lang w:val="fr-CH" w:bidi="ar-MA"/>
        </w:rPr>
        <w:tab/>
        <w:t>(ج)</w:t>
      </w:r>
      <w:r w:rsidRPr="00F55308">
        <w:rPr>
          <w:rFonts w:hint="cs"/>
          <w:b/>
          <w:bCs/>
          <w:rtl/>
          <w:lang w:val="fr-CH" w:bidi="ar-MA"/>
        </w:rPr>
        <w:tab/>
        <w:t>اتخاذ خطوات ملموسة، على سبيل الأولوية، من أجل التصديق على البروتوكول الاختياري للاتفاقية ووضع آلية وقائية وطنية فعالة تحظى بالموارد وبصلاحية القيام بزيارات تفتيشية منتظمة ومستقلة وغير مُعلَنة مسبقاً</w:t>
      </w:r>
      <w:r>
        <w:rPr>
          <w:rFonts w:hint="cs"/>
          <w:b/>
          <w:bCs/>
          <w:rtl/>
          <w:lang w:val="fr-CH" w:bidi="ar-MA"/>
        </w:rPr>
        <w:t xml:space="preserve"> ولا</w:t>
      </w:r>
      <w:r>
        <w:rPr>
          <w:b/>
          <w:bCs/>
          <w:rtl/>
          <w:lang w:val="fr-CH" w:bidi="ar-MA"/>
        </w:rPr>
        <w:t> </w:t>
      </w:r>
      <w:r w:rsidRPr="00F55308">
        <w:rPr>
          <w:rFonts w:hint="cs"/>
          <w:b/>
          <w:bCs/>
          <w:rtl/>
          <w:lang w:val="fr-CH" w:bidi="ar-MA"/>
        </w:rPr>
        <w:t xml:space="preserve">تخضع لأي قيود إلى جميع أماكن الحرمان من الحرية، مع إتاحة الفرصة أمام المفتشين للتحدث مع المحتجزين على انفراد في إطار من الخصوصية. وفي الوقت ذاته، ينبغي إتاحة وصول اللجنة الدولية للصليب الأحمر والمنظمات غير الحكومية المستقلة، دون عائق، إلى جميع أماكن الاحتجاز، وضمان قيام أمين المظالم، </w:t>
      </w:r>
      <w:r>
        <w:rPr>
          <w:rFonts w:hint="cs"/>
          <w:b/>
          <w:bCs/>
          <w:rtl/>
          <w:lang w:val="fr-CH" w:bidi="ar-MA"/>
        </w:rPr>
        <w:t xml:space="preserve">برفقة </w:t>
      </w:r>
      <w:r w:rsidRPr="00F55308">
        <w:rPr>
          <w:rFonts w:hint="cs"/>
          <w:b/>
          <w:bCs/>
          <w:rtl/>
          <w:lang w:val="fr-CH" w:bidi="ar-MA"/>
        </w:rPr>
        <w:t>أطباء، بزيارات منتظمة وغير مُعلَنة مسبقاً إلى جميع أماكن الحرمان من الحرية،</w:t>
      </w:r>
      <w:r>
        <w:rPr>
          <w:rFonts w:hint="cs"/>
          <w:b/>
          <w:bCs/>
          <w:rtl/>
          <w:lang w:val="fr-CH" w:bidi="ar-MA"/>
        </w:rPr>
        <w:t xml:space="preserve"> بما</w:t>
      </w:r>
      <w:r>
        <w:rPr>
          <w:b/>
          <w:bCs/>
          <w:rtl/>
          <w:lang w:val="fr-CH" w:bidi="ar-MA"/>
        </w:rPr>
        <w:t> </w:t>
      </w:r>
      <w:r w:rsidRPr="00F55308">
        <w:rPr>
          <w:rFonts w:hint="cs"/>
          <w:b/>
          <w:bCs/>
          <w:rtl/>
          <w:lang w:val="fr-CH" w:bidi="ar-MA"/>
        </w:rPr>
        <w:t>فيها أماكن الاحتجاز في مراكز الشرطة، وإتاحة النتائج أمام العموم؛</w:t>
      </w:r>
    </w:p>
    <w:p w:rsidR="00C80546" w:rsidRPr="00F55308" w:rsidRDefault="00C80546" w:rsidP="00C80546">
      <w:pPr>
        <w:pStyle w:val="SingleTxtGA"/>
        <w:rPr>
          <w:rFonts w:hint="cs"/>
          <w:b/>
          <w:bCs/>
          <w:lang w:val="fr-CH" w:bidi="ar-MA"/>
        </w:rPr>
      </w:pPr>
      <w:r w:rsidRPr="00F55308">
        <w:rPr>
          <w:rFonts w:hint="cs"/>
          <w:b/>
          <w:bCs/>
          <w:rtl/>
          <w:lang w:val="fr-CH" w:bidi="ar-MA"/>
        </w:rPr>
        <w:tab/>
        <w:t>(د)</w:t>
      </w:r>
      <w:r w:rsidRPr="00F55308">
        <w:rPr>
          <w:rFonts w:hint="cs"/>
          <w:b/>
          <w:bCs/>
          <w:rtl/>
          <w:lang w:val="fr-CH" w:bidi="ar-MA"/>
        </w:rPr>
        <w:tab/>
        <w:t>وضع نظام فعال وسِري يسهل الوصول إليه لتلقي ومعالجة الشكاوى المتعلقة بالتعذيب</w:t>
      </w:r>
      <w:r>
        <w:rPr>
          <w:rFonts w:hint="cs"/>
          <w:b/>
          <w:bCs/>
          <w:rtl/>
          <w:lang w:val="fr-CH" w:bidi="ar-MA"/>
        </w:rPr>
        <w:t xml:space="preserve"> أو</w:t>
      </w:r>
      <w:r>
        <w:rPr>
          <w:b/>
          <w:bCs/>
          <w:rtl/>
          <w:lang w:val="fr-CH" w:bidi="ar-MA"/>
        </w:rPr>
        <w:t> </w:t>
      </w:r>
      <w:r w:rsidRPr="00F55308">
        <w:rPr>
          <w:rFonts w:hint="cs"/>
          <w:b/>
          <w:bCs/>
          <w:rtl/>
          <w:lang w:val="fr-CH" w:bidi="ar-MA"/>
        </w:rPr>
        <w:t>سوء المعاملة في جميع أماكن الاحتجاز، وضمان</w:t>
      </w:r>
      <w:r>
        <w:rPr>
          <w:rFonts w:hint="cs"/>
          <w:b/>
          <w:bCs/>
          <w:rtl/>
          <w:lang w:val="fr-CH" w:bidi="ar-MA"/>
        </w:rPr>
        <w:t xml:space="preserve"> ما</w:t>
      </w:r>
      <w:r>
        <w:rPr>
          <w:b/>
          <w:bCs/>
          <w:rtl/>
          <w:lang w:val="fr-CH" w:bidi="ar-MA"/>
        </w:rPr>
        <w:t> </w:t>
      </w:r>
      <w:r w:rsidRPr="00F55308">
        <w:rPr>
          <w:rFonts w:hint="cs"/>
          <w:b/>
          <w:bCs/>
          <w:rtl/>
          <w:lang w:val="fr-CH" w:bidi="ar-MA"/>
        </w:rPr>
        <w:t xml:space="preserve">يلي: </w:t>
      </w:r>
      <w:r>
        <w:rPr>
          <w:rFonts w:hint="cs"/>
          <w:b/>
          <w:bCs/>
          <w:rtl/>
          <w:lang w:val="fr-CH" w:bidi="ar-MA"/>
        </w:rPr>
        <w:t>‘</w:t>
      </w:r>
      <w:r w:rsidRPr="00F55308">
        <w:rPr>
          <w:rFonts w:hint="cs"/>
          <w:b/>
          <w:bCs/>
          <w:rtl/>
          <w:lang w:val="fr-CH" w:bidi="ar-MA"/>
        </w:rPr>
        <w:t>1</w:t>
      </w:r>
      <w:r>
        <w:rPr>
          <w:rFonts w:hint="cs"/>
          <w:b/>
          <w:bCs/>
          <w:rtl/>
          <w:lang w:val="fr-CH" w:bidi="ar-MA"/>
        </w:rPr>
        <w:t>‘</w:t>
      </w:r>
      <w:r w:rsidRPr="00F55308">
        <w:rPr>
          <w:rFonts w:hint="cs"/>
          <w:b/>
          <w:bCs/>
          <w:rtl/>
          <w:lang w:val="fr-CH" w:bidi="ar-MA"/>
        </w:rPr>
        <w:t xml:space="preserve"> تمكين كل محتجز من المحتجزين من الاتصال، بناء على طلبه، بالمدعي العام، دون عائق ودون الخضوع إلى الرقابة؛ و</w:t>
      </w:r>
      <w:r>
        <w:rPr>
          <w:rFonts w:hint="cs"/>
          <w:b/>
          <w:bCs/>
          <w:rtl/>
          <w:lang w:val="fr-CH" w:bidi="ar-MA"/>
        </w:rPr>
        <w:t>‘</w:t>
      </w:r>
      <w:r w:rsidRPr="00F55308">
        <w:rPr>
          <w:rFonts w:hint="cs"/>
          <w:b/>
          <w:bCs/>
          <w:rtl/>
          <w:lang w:val="fr-CH" w:bidi="ar-MA"/>
        </w:rPr>
        <w:t>2</w:t>
      </w:r>
      <w:r>
        <w:rPr>
          <w:rFonts w:hint="cs"/>
          <w:b/>
          <w:bCs/>
          <w:rtl/>
          <w:lang w:val="fr-CH" w:bidi="ar-MA"/>
        </w:rPr>
        <w:t>‘</w:t>
      </w:r>
      <w:r w:rsidRPr="00F55308">
        <w:rPr>
          <w:rFonts w:hint="cs"/>
          <w:b/>
          <w:bCs/>
          <w:rtl/>
          <w:lang w:val="fr-CH" w:bidi="ar-MA"/>
        </w:rPr>
        <w:t xml:space="preserve"> التحقيق في جميع الشكاوى على نحو فوري ونزيه وفعال؛ و</w:t>
      </w:r>
      <w:r>
        <w:rPr>
          <w:rFonts w:hint="cs"/>
          <w:b/>
          <w:bCs/>
          <w:rtl/>
          <w:lang w:val="fr-CH" w:bidi="ar-MA"/>
        </w:rPr>
        <w:t>‘</w:t>
      </w:r>
      <w:r w:rsidRPr="00F55308">
        <w:rPr>
          <w:rFonts w:hint="cs"/>
          <w:b/>
          <w:bCs/>
          <w:rtl/>
          <w:lang w:val="fr-CH" w:bidi="ar-MA"/>
        </w:rPr>
        <w:t>3</w:t>
      </w:r>
      <w:r>
        <w:rPr>
          <w:rFonts w:hint="cs"/>
          <w:b/>
          <w:bCs/>
          <w:rtl/>
          <w:lang w:val="fr-CH" w:bidi="ar-MA"/>
        </w:rPr>
        <w:t>‘</w:t>
      </w:r>
      <w:r w:rsidRPr="00F55308">
        <w:rPr>
          <w:rFonts w:hint="cs"/>
          <w:b/>
          <w:bCs/>
          <w:rtl/>
          <w:lang w:val="fr-CH" w:bidi="ar-MA"/>
        </w:rPr>
        <w:t xml:space="preserve"> معاقبة الجناة بعقوبات ملائمة؛ و</w:t>
      </w:r>
      <w:r>
        <w:rPr>
          <w:rFonts w:hint="cs"/>
          <w:b/>
          <w:bCs/>
          <w:rtl/>
          <w:lang w:val="fr-CH" w:bidi="ar-MA"/>
        </w:rPr>
        <w:t>‘</w:t>
      </w:r>
      <w:r w:rsidRPr="00F55308">
        <w:rPr>
          <w:rFonts w:hint="cs"/>
          <w:b/>
          <w:bCs/>
          <w:rtl/>
          <w:lang w:val="fr-CH" w:bidi="ar-MA"/>
        </w:rPr>
        <w:t>4</w:t>
      </w:r>
      <w:r>
        <w:rPr>
          <w:rFonts w:hint="cs"/>
          <w:b/>
          <w:bCs/>
          <w:rtl/>
          <w:lang w:val="fr-CH" w:bidi="ar-MA"/>
        </w:rPr>
        <w:t>‘</w:t>
      </w:r>
      <w:r w:rsidRPr="00F55308">
        <w:rPr>
          <w:rFonts w:hint="cs"/>
          <w:b/>
          <w:bCs/>
          <w:rtl/>
          <w:lang w:val="fr-CH" w:bidi="ar-MA"/>
        </w:rPr>
        <w:t xml:space="preserve"> عدم تعرض المشتكين لأي أعمال انتقامية؛</w:t>
      </w:r>
    </w:p>
    <w:p w:rsidR="00C80546" w:rsidRPr="00F55308" w:rsidRDefault="00C80546" w:rsidP="00C80546">
      <w:pPr>
        <w:pStyle w:val="SingleTxtGA"/>
        <w:rPr>
          <w:b/>
          <w:bCs/>
          <w:lang w:val="fr-CH" w:bidi="ar-MA"/>
        </w:rPr>
      </w:pPr>
      <w:r w:rsidRPr="00F55308">
        <w:rPr>
          <w:rFonts w:hint="cs"/>
          <w:b/>
          <w:bCs/>
          <w:rtl/>
          <w:lang w:val="fr-CH" w:bidi="ar-MA"/>
        </w:rPr>
        <w:tab/>
        <w:t>(</w:t>
      </w:r>
      <w:r w:rsidRPr="00F55308">
        <w:rPr>
          <w:rFonts w:hint="cs"/>
          <w:b/>
          <w:bCs/>
          <w:sz w:val="30"/>
          <w:rtl/>
          <w:lang w:val="fr-CH" w:bidi="ar-MA"/>
        </w:rPr>
        <w:t>ﻫ</w:t>
      </w:r>
      <w:r w:rsidRPr="00F55308">
        <w:rPr>
          <w:rFonts w:hint="cs"/>
          <w:b/>
          <w:bCs/>
          <w:rtl/>
          <w:lang w:val="fr-CH" w:bidi="ar-MA"/>
        </w:rPr>
        <w:t>)</w:t>
      </w:r>
      <w:r w:rsidRPr="00F55308">
        <w:rPr>
          <w:rFonts w:hint="cs"/>
          <w:b/>
          <w:bCs/>
          <w:rtl/>
          <w:lang w:val="fr-CH" w:bidi="ar-MA"/>
        </w:rPr>
        <w:tab/>
        <w:t xml:space="preserve">إعلان عدد مرافق الاحتجاز ومواقعها وقدرتها الاستيعابية وعدد المحتجزين فيها، </w:t>
      </w:r>
      <w:r>
        <w:rPr>
          <w:rFonts w:hint="cs"/>
          <w:b/>
          <w:bCs/>
          <w:rtl/>
          <w:lang w:val="fr-CH" w:bidi="ar-MA"/>
        </w:rPr>
        <w:t>مع ال</w:t>
      </w:r>
      <w:r w:rsidRPr="00F55308">
        <w:rPr>
          <w:rFonts w:hint="cs"/>
          <w:b/>
          <w:bCs/>
          <w:rtl/>
          <w:lang w:val="fr-CH" w:bidi="ar-MA"/>
        </w:rPr>
        <w:t>إحاطة علماً بالتصريح الذي أدلى به الوفد بمراعاة القيام بذلك في المستقبل.</w:t>
      </w:r>
    </w:p>
    <w:p w:rsidR="00C80546" w:rsidRDefault="00C80546" w:rsidP="00C80546">
      <w:pPr>
        <w:pStyle w:val="H23GA"/>
        <w:rPr>
          <w:rFonts w:hint="cs"/>
          <w:rtl/>
          <w:lang w:val="fr-CH" w:bidi="ar-MA"/>
        </w:rPr>
      </w:pPr>
      <w:r>
        <w:rPr>
          <w:rFonts w:hint="cs"/>
          <w:rtl/>
          <w:lang w:val="fr-CH" w:bidi="ar-MA"/>
        </w:rPr>
        <w:tab/>
      </w:r>
      <w:r>
        <w:rPr>
          <w:rFonts w:hint="cs"/>
          <w:rtl/>
          <w:lang w:val="fr-CH" w:bidi="ar-MA"/>
        </w:rPr>
        <w:tab/>
        <w:t>شكاوى الضحايا والشهود والمدافعين عن حقوق الإنسان والأعمال الانتقامية ضدهم وحمايتهم</w:t>
      </w:r>
    </w:p>
    <w:p w:rsidR="00C80546" w:rsidRDefault="00C80546" w:rsidP="00C80546">
      <w:pPr>
        <w:pStyle w:val="SingleTxtGA"/>
        <w:rPr>
          <w:rFonts w:hint="cs"/>
          <w:rtl/>
          <w:lang w:val="fr-CH" w:bidi="ar-MA"/>
        </w:rPr>
      </w:pPr>
      <w:r w:rsidRPr="00B0112B">
        <w:rPr>
          <w:rFonts w:hint="cs"/>
          <w:rtl/>
          <w:lang w:val="fr-CH" w:bidi="ar-MA"/>
        </w:rPr>
        <w:t>15-</w:t>
      </w:r>
      <w:r w:rsidRPr="00B0112B">
        <w:rPr>
          <w:rFonts w:hint="cs"/>
          <w:rtl/>
          <w:lang w:val="fr-CH" w:bidi="ar-MA"/>
        </w:rPr>
        <w:tab/>
      </w:r>
      <w:r>
        <w:rPr>
          <w:rFonts w:hint="cs"/>
          <w:rtl/>
          <w:lang w:val="fr-CH" w:bidi="ar-MA"/>
        </w:rPr>
        <w:t xml:space="preserve">تعرب </w:t>
      </w:r>
      <w:r w:rsidRPr="00B0112B">
        <w:rPr>
          <w:rFonts w:hint="cs"/>
          <w:rtl/>
          <w:lang w:val="fr-CH" w:bidi="ar-MA"/>
        </w:rPr>
        <w:t>اللجنة</w:t>
      </w:r>
      <w:r>
        <w:rPr>
          <w:rFonts w:hint="cs"/>
          <w:rtl/>
          <w:lang w:val="fr-CH" w:bidi="ar-MA"/>
        </w:rPr>
        <w:t xml:space="preserve"> عن القلق إزاء ورود تقارير تفيد أن ضحايا أعمال التعذيب وسوء المعاملة والشهود عليها لا</w:t>
      </w:r>
      <w:r>
        <w:rPr>
          <w:rtl/>
          <w:lang w:val="fr-CH" w:bidi="ar-MA"/>
        </w:rPr>
        <w:t> </w:t>
      </w:r>
      <w:r>
        <w:rPr>
          <w:rFonts w:hint="cs"/>
          <w:rtl/>
          <w:lang w:val="fr-CH" w:bidi="ar-MA"/>
        </w:rPr>
        <w:t>يرفعون الشكاوى إلى السلطات خشية التعرض إلى أعمال انتقامية ونظراً لغياب المتابعة الملائمة. إضافة إلى ذلك، بينما تلاحظ اللجنة إسقاط القذف والسب من القانون الجنائي في تموز/يوليه 2012، فإنها تظل قلقة إزاء ورود تقارير عن مضايقة وتخويف الصحفيين والمدافعين عن حقوق الإنسان الذين يبلغون عن حالات التعذيب وسوء المعاملة. ويساور اللجنة القلق بالأخص إزاء المعلومات الواردة التي مفادها أن ضحايا التعذيب المزعوم وأسرهم والصحفيين والمحامين والخبراء الطبيين والمدافعين عن حقوق الإنسان الذين أعربوا عن قلقهم للمقرر الخاص المعني بمسألة التعذيب وغيره من ضروب المعاملة أو</w:t>
      </w:r>
      <w:r>
        <w:rPr>
          <w:rtl/>
          <w:lang w:val="fr-CH" w:bidi="ar-MA"/>
        </w:rPr>
        <w:t> </w:t>
      </w:r>
      <w:r>
        <w:rPr>
          <w:rFonts w:hint="cs"/>
          <w:rtl/>
          <w:lang w:val="fr-CH" w:bidi="ar-MA"/>
        </w:rPr>
        <w:t>العقوبة القاسية أو</w:t>
      </w:r>
      <w:r>
        <w:rPr>
          <w:rtl/>
          <w:lang w:val="fr-CH" w:bidi="ar-MA"/>
        </w:rPr>
        <w:t> </w:t>
      </w:r>
      <w:r>
        <w:rPr>
          <w:rFonts w:hint="cs"/>
          <w:rtl/>
          <w:lang w:val="fr-CH" w:bidi="ar-MA"/>
        </w:rPr>
        <w:t>اللاإنسانية أو</w:t>
      </w:r>
      <w:r>
        <w:rPr>
          <w:rtl/>
          <w:lang w:val="fr-CH" w:bidi="ar-MA"/>
        </w:rPr>
        <w:t> </w:t>
      </w:r>
      <w:r>
        <w:rPr>
          <w:rFonts w:hint="cs"/>
          <w:rtl/>
          <w:lang w:val="fr-CH" w:bidi="ar-MA"/>
        </w:rPr>
        <w:t>المهينة، أثناء زيارته إلى طاجيكستان في أيار/مايو 2012، قد</w:t>
      </w:r>
      <w:r>
        <w:rPr>
          <w:rFonts w:hint="eastAsia"/>
          <w:rtl/>
          <w:lang w:val="fr-CH" w:bidi="ar-MA"/>
        </w:rPr>
        <w:t> </w:t>
      </w:r>
      <w:r>
        <w:rPr>
          <w:rFonts w:hint="cs"/>
          <w:rtl/>
          <w:lang w:val="fr-CH" w:bidi="ar-MA"/>
        </w:rPr>
        <w:t>تعرضوا لاحقاً إلى المضايقة والتخويف من جانب السلطات. وفضلاً عن ذلك، بينما تحيط اللجنة علماً بالمعلومات التي قدَّمها الوفد، فإنها مع ذلك قلقة بشأن إغلاق رابطة المحامين الشباب في طاجيكستان (</w:t>
      </w:r>
      <w:r>
        <w:rPr>
          <w:lang w:val="fr-CH" w:bidi="ar-MA"/>
        </w:rPr>
        <w:t>Amparo</w:t>
      </w:r>
      <w:r>
        <w:rPr>
          <w:rFonts w:hint="cs"/>
          <w:rtl/>
          <w:lang w:val="fr-CH" w:bidi="ar-MA"/>
        </w:rPr>
        <w:t>)، وهي عضو التحالف المعني بمناهضة التعذيب الذي تعاون مع المقرر الخاص خلال زيارته، وذلك وفقاً لطلب قدمته وزارة العدل بحل المنظمة لأسباب إدارية وطبقاً لقرار اتخذته محكمة مدينة خجند في 24 تشرين الأول/أكتوبر 2012 لهذا الغرض (المادتان 12 و13).</w:t>
      </w:r>
    </w:p>
    <w:p w:rsidR="00C80546" w:rsidRPr="00F55308" w:rsidRDefault="00C80546" w:rsidP="00C80546">
      <w:pPr>
        <w:pStyle w:val="SingleTxtGA"/>
        <w:rPr>
          <w:rFonts w:hint="cs"/>
          <w:b/>
          <w:bCs/>
          <w:rtl/>
          <w:lang w:val="fr-CH" w:bidi="ar-MA"/>
        </w:rPr>
      </w:pPr>
      <w:r>
        <w:rPr>
          <w:rFonts w:hint="cs"/>
          <w:rtl/>
          <w:lang w:val="fr-CH" w:bidi="ar-MA"/>
        </w:rPr>
        <w:tab/>
      </w:r>
      <w:r w:rsidRPr="00F55308">
        <w:rPr>
          <w:rFonts w:hint="cs"/>
          <w:b/>
          <w:bCs/>
          <w:rtl/>
          <w:lang w:val="fr-CH" w:bidi="ar-MA"/>
        </w:rPr>
        <w:t xml:space="preserve">تحث اللجنة الدولة الطرف على وضع آلية مزودة بجميع الموارد وفعالة ومستقلة ويسهل الوصول إليها، للتحقيق </w:t>
      </w:r>
      <w:r>
        <w:rPr>
          <w:rFonts w:hint="cs"/>
          <w:b/>
          <w:bCs/>
          <w:rtl/>
          <w:lang w:val="fr-CH" w:bidi="ar-MA"/>
        </w:rPr>
        <w:t xml:space="preserve">فيما يقدمه </w:t>
      </w:r>
      <w:r w:rsidRPr="00F55308">
        <w:rPr>
          <w:rFonts w:hint="cs"/>
          <w:b/>
          <w:bCs/>
          <w:rtl/>
          <w:lang w:val="fr-CH" w:bidi="ar-MA"/>
        </w:rPr>
        <w:t xml:space="preserve">ضحايا </w:t>
      </w:r>
      <w:r>
        <w:rPr>
          <w:rFonts w:hint="cs"/>
          <w:b/>
          <w:bCs/>
          <w:rtl/>
          <w:lang w:val="fr-CH" w:bidi="ar-MA"/>
        </w:rPr>
        <w:t xml:space="preserve">أعمال </w:t>
      </w:r>
      <w:r w:rsidRPr="00F55308">
        <w:rPr>
          <w:rFonts w:hint="cs"/>
          <w:b/>
          <w:bCs/>
          <w:rtl/>
          <w:lang w:val="fr-CH" w:bidi="ar-MA"/>
        </w:rPr>
        <w:t xml:space="preserve">التعذيب وسوء المعاملة والشهود عليها </w:t>
      </w:r>
      <w:r>
        <w:rPr>
          <w:rFonts w:hint="cs"/>
          <w:b/>
          <w:bCs/>
          <w:rtl/>
          <w:lang w:val="fr-CH" w:bidi="ar-MA"/>
        </w:rPr>
        <w:t xml:space="preserve">من </w:t>
      </w:r>
      <w:r w:rsidRPr="00F55308">
        <w:rPr>
          <w:rFonts w:hint="cs"/>
          <w:b/>
          <w:bCs/>
          <w:rtl/>
          <w:lang w:val="fr-CH" w:bidi="ar-MA"/>
        </w:rPr>
        <w:t xml:space="preserve">شكاوى إلى السلطات العامة وتيسير تقديمها، </w:t>
      </w:r>
      <w:r>
        <w:rPr>
          <w:rFonts w:hint="cs"/>
          <w:b/>
          <w:bCs/>
          <w:rtl/>
          <w:lang w:val="fr-CH" w:bidi="ar-MA"/>
        </w:rPr>
        <w:t xml:space="preserve">حسبما </w:t>
      </w:r>
      <w:r w:rsidRPr="00F55308">
        <w:rPr>
          <w:rFonts w:hint="cs"/>
          <w:b/>
          <w:bCs/>
          <w:rtl/>
          <w:lang w:val="fr-CH" w:bidi="ar-MA"/>
        </w:rPr>
        <w:t>تعهدت الدولة الطرف عقب الاستعراض الدوري الشامل في آذار/مارس 2012. وينبغي لها أيضاً أن تضمن عملياً حماية المشتكين ومنظمات المجتمع المدني من التعرض لسوء المعاملة</w:t>
      </w:r>
      <w:r>
        <w:rPr>
          <w:rFonts w:hint="cs"/>
          <w:b/>
          <w:bCs/>
          <w:rtl/>
          <w:lang w:val="fr-CH" w:bidi="ar-MA"/>
        </w:rPr>
        <w:t xml:space="preserve"> أو</w:t>
      </w:r>
      <w:r>
        <w:rPr>
          <w:b/>
          <w:bCs/>
          <w:rtl/>
          <w:lang w:val="fr-CH" w:bidi="ar-MA"/>
        </w:rPr>
        <w:t> </w:t>
      </w:r>
      <w:r w:rsidRPr="00F55308">
        <w:rPr>
          <w:rFonts w:hint="cs"/>
          <w:b/>
          <w:bCs/>
          <w:rtl/>
          <w:lang w:val="fr-CH" w:bidi="ar-MA"/>
        </w:rPr>
        <w:t>التخويف</w:t>
      </w:r>
      <w:r>
        <w:rPr>
          <w:rFonts w:hint="cs"/>
          <w:b/>
          <w:bCs/>
          <w:rtl/>
          <w:lang w:val="fr-CH" w:bidi="ar-MA"/>
        </w:rPr>
        <w:t xml:space="preserve"> أو</w:t>
      </w:r>
      <w:r>
        <w:rPr>
          <w:b/>
          <w:bCs/>
          <w:rtl/>
          <w:lang w:val="fr-CH" w:bidi="ar-MA"/>
        </w:rPr>
        <w:t> </w:t>
      </w:r>
      <w:r w:rsidRPr="00F55308">
        <w:rPr>
          <w:rFonts w:hint="cs"/>
          <w:b/>
          <w:bCs/>
          <w:rtl/>
          <w:lang w:val="fr-CH" w:bidi="ar-MA"/>
        </w:rPr>
        <w:t xml:space="preserve">لأعمال انتقامية نتيجة تقديم الشكاوى، وأن تكفل </w:t>
      </w:r>
      <w:r>
        <w:rPr>
          <w:rFonts w:hint="cs"/>
          <w:b/>
          <w:bCs/>
          <w:rtl/>
          <w:lang w:val="fr-CH" w:bidi="ar-MA"/>
        </w:rPr>
        <w:t xml:space="preserve">اتخاذ التدابير </w:t>
      </w:r>
      <w:r w:rsidRPr="00F55308">
        <w:rPr>
          <w:rFonts w:hint="cs"/>
          <w:b/>
          <w:bCs/>
          <w:rtl/>
          <w:lang w:val="fr-CH" w:bidi="ar-MA"/>
        </w:rPr>
        <w:t>الملاءمة</w:t>
      </w:r>
      <w:r>
        <w:rPr>
          <w:rFonts w:hint="cs"/>
          <w:b/>
          <w:bCs/>
          <w:rtl/>
          <w:lang w:val="fr-CH" w:bidi="ar-MA"/>
        </w:rPr>
        <w:t>،</w:t>
      </w:r>
      <w:r w:rsidRPr="00F55308">
        <w:rPr>
          <w:rFonts w:hint="cs"/>
          <w:b/>
          <w:bCs/>
          <w:rtl/>
          <w:lang w:val="fr-CH" w:bidi="ar-MA"/>
        </w:rPr>
        <w:t xml:space="preserve"> </w:t>
      </w:r>
      <w:r>
        <w:rPr>
          <w:rFonts w:hint="cs"/>
          <w:b/>
          <w:bCs/>
          <w:rtl/>
          <w:lang w:val="fr-CH" w:bidi="ar-MA"/>
        </w:rPr>
        <w:t>ال</w:t>
      </w:r>
      <w:r w:rsidRPr="00F55308">
        <w:rPr>
          <w:rFonts w:hint="cs"/>
          <w:b/>
          <w:bCs/>
          <w:rtl/>
          <w:lang w:val="fr-CH" w:bidi="ar-MA"/>
        </w:rPr>
        <w:t xml:space="preserve">تأديبية </w:t>
      </w:r>
      <w:r>
        <w:rPr>
          <w:rFonts w:hint="cs"/>
          <w:b/>
          <w:bCs/>
          <w:rtl/>
          <w:lang w:val="fr-CH" w:bidi="ar-MA"/>
        </w:rPr>
        <w:t>منها أو</w:t>
      </w:r>
      <w:r>
        <w:rPr>
          <w:b/>
          <w:bCs/>
          <w:rtl/>
          <w:lang w:val="fr-CH" w:bidi="ar-MA"/>
        </w:rPr>
        <w:t> </w:t>
      </w:r>
      <w:r>
        <w:rPr>
          <w:rFonts w:hint="cs"/>
          <w:b/>
          <w:bCs/>
          <w:rtl/>
          <w:lang w:val="fr-CH" w:bidi="ar-MA"/>
        </w:rPr>
        <w:t>ال</w:t>
      </w:r>
      <w:r w:rsidRPr="00F55308">
        <w:rPr>
          <w:rFonts w:hint="cs"/>
          <w:b/>
          <w:bCs/>
          <w:rtl/>
          <w:lang w:val="fr-CH" w:bidi="ar-MA"/>
        </w:rPr>
        <w:t xml:space="preserve">جنائية، </w:t>
      </w:r>
      <w:r>
        <w:rPr>
          <w:rFonts w:hint="cs"/>
          <w:b/>
          <w:bCs/>
          <w:rtl/>
          <w:lang w:val="fr-CH" w:bidi="ar-MA"/>
        </w:rPr>
        <w:t xml:space="preserve">إذا </w:t>
      </w:r>
      <w:r w:rsidRPr="00F55308">
        <w:rPr>
          <w:rFonts w:hint="cs"/>
          <w:b/>
          <w:bCs/>
          <w:rtl/>
          <w:lang w:val="fr-CH" w:bidi="ar-MA"/>
        </w:rPr>
        <w:t>اقتضى الأمر، ضد المسؤولين المكلفين بإنفاذ القانون لارتكابهم تلك الأعمال.</w:t>
      </w:r>
    </w:p>
    <w:p w:rsidR="00C80546" w:rsidRDefault="00C80546" w:rsidP="00C80546">
      <w:pPr>
        <w:pStyle w:val="H23GA"/>
        <w:rPr>
          <w:rFonts w:hint="cs"/>
          <w:rtl/>
          <w:lang w:val="fr-CH"/>
        </w:rPr>
      </w:pPr>
      <w:r>
        <w:rPr>
          <w:rFonts w:hint="cs"/>
          <w:rtl/>
          <w:lang w:val="fr-CH"/>
        </w:rPr>
        <w:tab/>
      </w:r>
      <w:r>
        <w:rPr>
          <w:rFonts w:hint="cs"/>
          <w:rtl/>
          <w:lang w:val="fr-CH"/>
        </w:rPr>
        <w:tab/>
        <w:t>العنف ضد النساء والأطفال</w:t>
      </w:r>
    </w:p>
    <w:p w:rsidR="00C80546" w:rsidRDefault="00C80546" w:rsidP="00C80546">
      <w:pPr>
        <w:pStyle w:val="SingleTxtGA"/>
        <w:rPr>
          <w:rFonts w:hint="cs"/>
          <w:rtl/>
          <w:lang w:val="fr-CH"/>
        </w:rPr>
      </w:pPr>
      <w:r>
        <w:rPr>
          <w:rFonts w:hint="cs"/>
          <w:rtl/>
          <w:lang w:val="fr-CH"/>
        </w:rPr>
        <w:t>16-</w:t>
      </w:r>
      <w:r>
        <w:rPr>
          <w:rFonts w:hint="cs"/>
          <w:rtl/>
          <w:lang w:val="fr-CH"/>
        </w:rPr>
        <w:tab/>
        <w:t>تشعر اللجنة ببالغ القلق إزاء غياب أي تشريعات محلية تجرم أعمال العنف ضد المرأة، رغم وجود مشروع قانون بشأن "الحماية الاجتماعية والقانونية من العنف المنزلي" منذ عام</w:t>
      </w:r>
      <w:r>
        <w:rPr>
          <w:rtl/>
          <w:lang w:val="fr-CH"/>
        </w:rPr>
        <w:t> </w:t>
      </w:r>
      <w:r>
        <w:rPr>
          <w:rFonts w:hint="cs"/>
          <w:rtl/>
          <w:lang w:val="fr-CH"/>
        </w:rPr>
        <w:t>2009؛ وورود تقارير عن استفحال العنف المنزلي؛ ومواجهة صعوبات في تقديم الشكاوى؛ وتقاعس المسؤولين المكلفين بإنفاذ القانون من التدخل في تلك القضايا. وتشعر أيضاً بالقلق إزاء غياب تشريعات محلية تحظر العقاب الجسدي للأطفال، رغم الادعاءات باللجوء إليه على نطاق واسع داخل الأسر والمدارس وغيرها من المؤسسات التعليمية (المواد</w:t>
      </w:r>
      <w:r>
        <w:rPr>
          <w:rFonts w:hint="eastAsia"/>
          <w:rtl/>
          <w:lang w:val="fr-CH"/>
        </w:rPr>
        <w:t> </w:t>
      </w:r>
      <w:r>
        <w:rPr>
          <w:rFonts w:hint="cs"/>
          <w:rtl/>
          <w:lang w:val="fr-CH"/>
        </w:rPr>
        <w:t>2 و12 و13 و16).</w:t>
      </w:r>
    </w:p>
    <w:p w:rsidR="00C80546" w:rsidRPr="00F722DD" w:rsidRDefault="00C80546" w:rsidP="00C80546">
      <w:pPr>
        <w:pStyle w:val="SingleTxtGA"/>
        <w:rPr>
          <w:rFonts w:hint="cs"/>
          <w:b/>
          <w:bCs/>
          <w:rtl/>
          <w:lang w:val="fr-CH"/>
        </w:rPr>
      </w:pPr>
      <w:r>
        <w:rPr>
          <w:rFonts w:hint="cs"/>
          <w:b/>
          <w:bCs/>
          <w:rtl/>
          <w:lang w:val="fr-CH"/>
        </w:rPr>
        <w:tab/>
      </w:r>
      <w:r w:rsidRPr="00F722DD">
        <w:rPr>
          <w:rFonts w:hint="cs"/>
          <w:b/>
          <w:bCs/>
          <w:rtl/>
          <w:lang w:val="fr-CH"/>
        </w:rPr>
        <w:t>ينبغي للدولة الطرف أن تعزز جهودها الرامية إلى منع ممارسة العنف ضد النساء والأطفال ومكافحته ومعاقبة مرتكبيه، وذلك من خلال</w:t>
      </w:r>
      <w:r>
        <w:rPr>
          <w:rFonts w:hint="cs"/>
          <w:b/>
          <w:bCs/>
          <w:rtl/>
          <w:lang w:val="fr-CH"/>
        </w:rPr>
        <w:t xml:space="preserve"> ما</w:t>
      </w:r>
      <w:r>
        <w:rPr>
          <w:b/>
          <w:bCs/>
          <w:rtl/>
          <w:lang w:val="fr-CH"/>
        </w:rPr>
        <w:t> </w:t>
      </w:r>
      <w:r w:rsidRPr="00F722DD">
        <w:rPr>
          <w:rFonts w:hint="cs"/>
          <w:b/>
          <w:bCs/>
          <w:rtl/>
          <w:lang w:val="fr-CH"/>
        </w:rPr>
        <w:t>يلي، في جملة أمور:</w:t>
      </w:r>
    </w:p>
    <w:p w:rsidR="00C80546" w:rsidRPr="00F55308" w:rsidRDefault="00C80546" w:rsidP="00C80546">
      <w:pPr>
        <w:pStyle w:val="SingleTxtGA"/>
        <w:rPr>
          <w:rFonts w:hint="cs"/>
          <w:b/>
          <w:bCs/>
          <w:lang w:val="fr-CH"/>
        </w:rPr>
      </w:pPr>
      <w:r>
        <w:rPr>
          <w:rFonts w:hint="cs"/>
          <w:b/>
          <w:bCs/>
          <w:rtl/>
          <w:lang w:val="fr-CH" w:bidi="ar-MA"/>
        </w:rPr>
        <w:tab/>
        <w:t>(أ)</w:t>
      </w:r>
      <w:r>
        <w:rPr>
          <w:rFonts w:hint="cs"/>
          <w:b/>
          <w:bCs/>
          <w:rtl/>
          <w:lang w:val="fr-CH" w:bidi="ar-MA"/>
        </w:rPr>
        <w:tab/>
      </w:r>
      <w:r w:rsidRPr="00F55308">
        <w:rPr>
          <w:rFonts w:hint="cs"/>
          <w:b/>
          <w:bCs/>
          <w:rtl/>
          <w:lang w:val="fr-CH" w:bidi="ar-MA"/>
        </w:rPr>
        <w:t>الإسراع باعتماد مشروع القانون بشأن "الحماية الاجتماعية والقانونية من العنف المنزلي" وتجريم تلك الأعمال؛</w:t>
      </w:r>
    </w:p>
    <w:p w:rsidR="00C80546" w:rsidRPr="00F55308" w:rsidRDefault="00C80546" w:rsidP="00C80546">
      <w:pPr>
        <w:pStyle w:val="SingleTxtGA"/>
        <w:rPr>
          <w:rFonts w:hint="cs"/>
          <w:b/>
          <w:bCs/>
          <w:lang w:val="fr-CH"/>
        </w:rPr>
      </w:pPr>
      <w:r>
        <w:rPr>
          <w:rFonts w:hint="cs"/>
          <w:b/>
          <w:bCs/>
          <w:rtl/>
          <w:lang w:val="fr-CH" w:bidi="ar-MA"/>
        </w:rPr>
        <w:tab/>
        <w:t>(ب)</w:t>
      </w:r>
      <w:r>
        <w:rPr>
          <w:rFonts w:hint="cs"/>
          <w:b/>
          <w:bCs/>
          <w:rtl/>
          <w:lang w:val="fr-CH" w:bidi="ar-MA"/>
        </w:rPr>
        <w:tab/>
      </w:r>
      <w:r w:rsidRPr="00F55308">
        <w:rPr>
          <w:rFonts w:hint="cs"/>
          <w:b/>
          <w:bCs/>
          <w:rtl/>
          <w:lang w:val="fr-CH" w:bidi="ar-MA"/>
        </w:rPr>
        <w:t>اتخاذ تدابير فعالة تضمن أن ضحايا العنف ضد النساء والأطفال،</w:t>
      </w:r>
      <w:r>
        <w:rPr>
          <w:rFonts w:hint="cs"/>
          <w:b/>
          <w:bCs/>
          <w:rtl/>
          <w:lang w:val="fr-CH" w:bidi="ar-MA"/>
        </w:rPr>
        <w:t xml:space="preserve"> بما</w:t>
      </w:r>
      <w:r>
        <w:rPr>
          <w:b/>
          <w:bCs/>
          <w:rtl/>
          <w:lang w:val="fr-CH" w:bidi="ar-MA"/>
        </w:rPr>
        <w:t> </w:t>
      </w:r>
      <w:r w:rsidRPr="00F55308">
        <w:rPr>
          <w:rFonts w:hint="cs"/>
          <w:b/>
          <w:bCs/>
          <w:rtl/>
          <w:lang w:val="fr-CH" w:bidi="ar-MA"/>
        </w:rPr>
        <w:t xml:space="preserve">فيه العنف المنزلي، </w:t>
      </w:r>
      <w:r>
        <w:rPr>
          <w:rFonts w:hint="cs"/>
          <w:b/>
          <w:bCs/>
          <w:rtl/>
          <w:lang w:val="fr-CH" w:bidi="ar-MA"/>
        </w:rPr>
        <w:t xml:space="preserve">يمكنهم </w:t>
      </w:r>
      <w:r w:rsidRPr="00F55308">
        <w:rPr>
          <w:rFonts w:hint="cs"/>
          <w:b/>
          <w:bCs/>
          <w:rtl/>
          <w:lang w:val="fr-CH" w:bidi="ar-MA"/>
        </w:rPr>
        <w:t>التمتع بحقهم في رفع الشكاوى، وتكفل التحقيق في تلك الشكاوى على نحو وافٍ ومقاضاة الجناة ومعاقبتهم بعقوبات ملائمة؛</w:t>
      </w:r>
    </w:p>
    <w:p w:rsidR="00C80546" w:rsidRPr="00F55308" w:rsidRDefault="00C80546" w:rsidP="00C80546">
      <w:pPr>
        <w:pStyle w:val="SingleTxtGA"/>
        <w:rPr>
          <w:rFonts w:hint="cs"/>
          <w:b/>
          <w:bCs/>
          <w:lang w:val="fr-CH"/>
        </w:rPr>
      </w:pPr>
      <w:r>
        <w:rPr>
          <w:rFonts w:hint="cs"/>
          <w:b/>
          <w:bCs/>
          <w:rtl/>
          <w:lang w:val="fr-CH"/>
        </w:rPr>
        <w:tab/>
        <w:t>(ج)</w:t>
      </w:r>
      <w:r>
        <w:rPr>
          <w:rFonts w:hint="cs"/>
          <w:b/>
          <w:bCs/>
          <w:rtl/>
          <w:lang w:val="fr-CH"/>
        </w:rPr>
        <w:tab/>
      </w:r>
      <w:r w:rsidRPr="00F55308">
        <w:rPr>
          <w:rFonts w:hint="cs"/>
          <w:b/>
          <w:bCs/>
          <w:rtl/>
          <w:lang w:val="fr-CH"/>
        </w:rPr>
        <w:t>اعتماد تشريعات لحظر العقاب الجسدي حظراً صريحاً في جميع السياقات؛</w:t>
      </w:r>
    </w:p>
    <w:p w:rsidR="00C80546" w:rsidRPr="00F55308" w:rsidRDefault="00C80546" w:rsidP="00C80546">
      <w:pPr>
        <w:pStyle w:val="SingleTxtGA"/>
        <w:rPr>
          <w:rFonts w:hint="cs"/>
          <w:b/>
          <w:bCs/>
          <w:lang w:val="fr-CH"/>
        </w:rPr>
      </w:pPr>
      <w:r>
        <w:rPr>
          <w:rFonts w:hint="cs"/>
          <w:b/>
          <w:bCs/>
          <w:rtl/>
          <w:lang w:val="fr-CH"/>
        </w:rPr>
        <w:tab/>
        <w:t>(د)</w:t>
      </w:r>
      <w:r>
        <w:rPr>
          <w:rFonts w:hint="cs"/>
          <w:b/>
          <w:bCs/>
          <w:rtl/>
          <w:lang w:val="fr-CH"/>
        </w:rPr>
        <w:tab/>
      </w:r>
      <w:r w:rsidRPr="00F55308">
        <w:rPr>
          <w:rFonts w:hint="cs"/>
          <w:b/>
          <w:bCs/>
          <w:rtl/>
          <w:lang w:val="fr-CH"/>
        </w:rPr>
        <w:t>تمكين ضحايا العنف المنزلي والجنسي من الحماية والجبر الفوريين،</w:t>
      </w:r>
      <w:r>
        <w:rPr>
          <w:rFonts w:hint="cs"/>
          <w:b/>
          <w:bCs/>
          <w:rtl/>
          <w:lang w:val="fr-CH"/>
        </w:rPr>
        <w:t xml:space="preserve"> بما</w:t>
      </w:r>
      <w:r>
        <w:rPr>
          <w:b/>
          <w:bCs/>
          <w:rtl/>
          <w:lang w:val="fr-CH"/>
        </w:rPr>
        <w:t> </w:t>
      </w:r>
      <w:r w:rsidRPr="00F55308">
        <w:rPr>
          <w:rFonts w:hint="cs"/>
          <w:b/>
          <w:bCs/>
          <w:rtl/>
          <w:lang w:val="fr-CH"/>
        </w:rPr>
        <w:t>في ذلك فصلهم عن الجناة وتوفير المأوى لهم وإعادة تأهيلهم؛</w:t>
      </w:r>
    </w:p>
    <w:p w:rsidR="00C80546" w:rsidRPr="00F55308" w:rsidRDefault="00C80546" w:rsidP="00C80546">
      <w:pPr>
        <w:pStyle w:val="SingleTxtGA"/>
        <w:rPr>
          <w:rFonts w:hint="cs"/>
          <w:b/>
          <w:bCs/>
          <w:lang w:val="fr-CH"/>
        </w:rPr>
      </w:pPr>
      <w:r>
        <w:rPr>
          <w:rFonts w:hint="cs"/>
          <w:b/>
          <w:bCs/>
          <w:rtl/>
          <w:lang w:val="fr-CH"/>
        </w:rPr>
        <w:tab/>
        <w:t>(</w:t>
      </w:r>
      <w:r w:rsidRPr="00F55308">
        <w:rPr>
          <w:rFonts w:hint="cs"/>
          <w:b/>
          <w:bCs/>
          <w:sz w:val="30"/>
          <w:rtl/>
          <w:lang w:val="fr-CH"/>
        </w:rPr>
        <w:t>ﻫ</w:t>
      </w:r>
      <w:r>
        <w:rPr>
          <w:rFonts w:hint="cs"/>
          <w:b/>
          <w:bCs/>
          <w:rtl/>
          <w:lang w:val="fr-CH"/>
        </w:rPr>
        <w:t>)</w:t>
      </w:r>
      <w:r>
        <w:rPr>
          <w:rFonts w:hint="cs"/>
          <w:b/>
          <w:bCs/>
          <w:rtl/>
          <w:lang w:val="fr-CH"/>
        </w:rPr>
        <w:tab/>
      </w:r>
      <w:r w:rsidRPr="00F55308">
        <w:rPr>
          <w:rFonts w:hint="cs"/>
          <w:b/>
          <w:bCs/>
          <w:rtl/>
          <w:lang w:val="fr-CH"/>
        </w:rPr>
        <w:t>تدريب الموظفين المكلفين بإنفاذ القانون والقضاة والمدعين العامين على طريقة تلقي الشكاوى المتعلقة بالعنف المنزلي والجنسي والاتجار والعنف ضد الأطفال ورصدها والتحقيق فيها بطريقة تراعي مصالحهم وتحترم سريَّة المعلومات؛</w:t>
      </w:r>
    </w:p>
    <w:p w:rsidR="00C80546" w:rsidRPr="00F55308" w:rsidRDefault="00C80546" w:rsidP="00C80546">
      <w:pPr>
        <w:pStyle w:val="SingleTxtGA"/>
        <w:rPr>
          <w:rFonts w:hint="cs"/>
          <w:b/>
          <w:bCs/>
          <w:lang w:val="fr-CH"/>
        </w:rPr>
      </w:pPr>
      <w:r>
        <w:rPr>
          <w:rFonts w:hint="cs"/>
          <w:b/>
          <w:bCs/>
          <w:rtl/>
          <w:lang w:val="fr-CH"/>
        </w:rPr>
        <w:tab/>
        <w:t>(و)</w:t>
      </w:r>
      <w:r>
        <w:rPr>
          <w:rFonts w:hint="cs"/>
          <w:b/>
          <w:bCs/>
          <w:rtl/>
          <w:lang w:val="fr-CH"/>
        </w:rPr>
        <w:tab/>
      </w:r>
      <w:r w:rsidRPr="00F55308">
        <w:rPr>
          <w:rFonts w:hint="cs"/>
          <w:b/>
          <w:bCs/>
          <w:rtl/>
          <w:lang w:val="fr-CH"/>
        </w:rPr>
        <w:t>تنظيم حملات توعية بشأن الأثر السلبي لمعاقبة الأطفال جسدياً، وبشأن العنف المنزلي والجنسي.</w:t>
      </w:r>
    </w:p>
    <w:p w:rsidR="00C80546" w:rsidRDefault="00C80546" w:rsidP="00C80546">
      <w:pPr>
        <w:pStyle w:val="H23GA"/>
        <w:rPr>
          <w:rFonts w:hint="cs"/>
          <w:rtl/>
          <w:lang w:val="fr-CH"/>
        </w:rPr>
      </w:pPr>
      <w:r>
        <w:rPr>
          <w:rFonts w:hint="cs"/>
          <w:rtl/>
          <w:lang w:val="fr-CH"/>
        </w:rPr>
        <w:tab/>
      </w:r>
      <w:r>
        <w:rPr>
          <w:rFonts w:hint="cs"/>
          <w:rtl/>
          <w:lang w:val="fr-CH"/>
        </w:rPr>
        <w:tab/>
        <w:t>استقلال الجهاز القضائي</w:t>
      </w:r>
    </w:p>
    <w:p w:rsidR="00C80546" w:rsidRDefault="00C80546" w:rsidP="00C80546">
      <w:pPr>
        <w:pStyle w:val="SingleTxtGA"/>
        <w:rPr>
          <w:rFonts w:hint="cs"/>
          <w:rtl/>
          <w:lang w:val="fr-CH" w:bidi="ar-MA"/>
        </w:rPr>
      </w:pPr>
      <w:r w:rsidRPr="00D13AC7">
        <w:rPr>
          <w:rFonts w:hint="cs"/>
          <w:rtl/>
          <w:lang w:val="fr-CH"/>
        </w:rPr>
        <w:t>17-</w:t>
      </w:r>
      <w:r w:rsidRPr="00D13AC7">
        <w:rPr>
          <w:rFonts w:hint="cs"/>
          <w:rtl/>
          <w:lang w:val="fr-CH"/>
        </w:rPr>
        <w:tab/>
        <w:t>بينما ترحب اللجنة</w:t>
      </w:r>
      <w:r>
        <w:rPr>
          <w:rFonts w:hint="cs"/>
          <w:rtl/>
          <w:lang w:val="fr-CH" w:bidi="ar-MA"/>
        </w:rPr>
        <w:t xml:space="preserve"> ببرنامج الإصلاح القضائي القانوني على مرحلتين الرامي إلى تعزيز الجهاز القضائي، بما</w:t>
      </w:r>
      <w:r>
        <w:rPr>
          <w:rtl/>
          <w:lang w:val="fr-CH" w:bidi="ar-MA"/>
        </w:rPr>
        <w:t> </w:t>
      </w:r>
      <w:r>
        <w:rPr>
          <w:rFonts w:hint="cs"/>
          <w:rtl/>
          <w:lang w:val="fr-CH" w:bidi="ar-MA"/>
        </w:rPr>
        <w:t>في ذلك عن طريق اتخاذ تدابير من قبيل رفع رواتب القضاة، فإنها تشعر بالقلق لأن الجهاز القضائي لا</w:t>
      </w:r>
      <w:r>
        <w:rPr>
          <w:rtl/>
          <w:lang w:val="fr-CH" w:bidi="ar-MA"/>
        </w:rPr>
        <w:t> </w:t>
      </w:r>
      <w:r>
        <w:rPr>
          <w:rFonts w:hint="cs"/>
          <w:rtl/>
          <w:lang w:val="fr-CH" w:bidi="ar-MA"/>
        </w:rPr>
        <w:t>يزال يعتريه الضعف ويفتقر إلى الفعالية ويقع تحت تأثير مجلس العدالة، وهذا المجلس مؤسسة تخضع، حسبما تشير التقارير، للرئيس وللفرع التنفيذي، ولكون الرئيس مسؤولاً عن تعيين القضاة وإقالتهم (المواد 2 و12 و13).</w:t>
      </w:r>
    </w:p>
    <w:p w:rsidR="00C80546" w:rsidRPr="005B4B08" w:rsidRDefault="00C80546" w:rsidP="00C80546">
      <w:pPr>
        <w:pStyle w:val="SingleTxtGA"/>
        <w:rPr>
          <w:b/>
          <w:bCs/>
          <w:lang w:val="fr-CH" w:bidi="ar-MA"/>
        </w:rPr>
      </w:pPr>
      <w:r>
        <w:rPr>
          <w:rFonts w:hint="cs"/>
          <w:b/>
          <w:bCs/>
          <w:rtl/>
          <w:lang w:val="fr-CH" w:bidi="ar-MA"/>
        </w:rPr>
        <w:tab/>
      </w:r>
      <w:r w:rsidRPr="005B4B08">
        <w:rPr>
          <w:rFonts w:hint="cs"/>
          <w:b/>
          <w:bCs/>
          <w:rtl/>
          <w:lang w:val="fr-CH" w:bidi="ar-MA"/>
        </w:rPr>
        <w:t>ينبغي للدولة الطرف أن تتخذ تدابير تكفل استقلال الجهاز القضائي وحياده بصورة كاملة في أداء وظائفه، وأن تعيد النظر في نظام تعيين القضاة وترقيتهم وإقالتهم</w:t>
      </w:r>
      <w:r>
        <w:rPr>
          <w:rFonts w:hint="cs"/>
          <w:b/>
          <w:bCs/>
          <w:rtl/>
          <w:lang w:val="fr-CH" w:bidi="ar-MA"/>
        </w:rPr>
        <w:t xml:space="preserve"> بما</w:t>
      </w:r>
      <w:r>
        <w:rPr>
          <w:b/>
          <w:bCs/>
          <w:rtl/>
          <w:lang w:val="fr-CH" w:bidi="ar-MA"/>
        </w:rPr>
        <w:t> </w:t>
      </w:r>
      <w:r w:rsidRPr="005B4B08">
        <w:rPr>
          <w:rFonts w:hint="cs"/>
          <w:b/>
          <w:bCs/>
          <w:rtl/>
          <w:lang w:val="fr-CH" w:bidi="ar-MA"/>
        </w:rPr>
        <w:t>يتسق مع المعايير الدولية ذات الصلة،</w:t>
      </w:r>
      <w:r>
        <w:rPr>
          <w:rFonts w:hint="cs"/>
          <w:b/>
          <w:bCs/>
          <w:rtl/>
          <w:lang w:val="fr-CH" w:bidi="ar-MA"/>
        </w:rPr>
        <w:t xml:space="preserve"> بما</w:t>
      </w:r>
      <w:r>
        <w:rPr>
          <w:b/>
          <w:bCs/>
          <w:rtl/>
          <w:lang w:val="fr-CH" w:bidi="ar-MA"/>
        </w:rPr>
        <w:t> </w:t>
      </w:r>
      <w:r w:rsidRPr="005B4B08">
        <w:rPr>
          <w:rFonts w:hint="cs"/>
          <w:b/>
          <w:bCs/>
          <w:rtl/>
          <w:lang w:val="fr-CH" w:bidi="ar-MA"/>
        </w:rPr>
        <w:t>في ذلك "المبادئ الأساسية بشأن استقلال السلطة القضائية" (التي أقرتها الجمعية العامة في قرارها 40/32 المؤرخ 29 تشرين الثاني/نوفمبر 1985 وقرارها 40/146 المؤرخ 13 كانون الأول/ديسمبر 1985).</w:t>
      </w:r>
    </w:p>
    <w:p w:rsidR="00C80546" w:rsidRDefault="00C80546" w:rsidP="00C80546">
      <w:pPr>
        <w:pStyle w:val="H23GA"/>
        <w:rPr>
          <w:rFonts w:hint="cs"/>
          <w:rtl/>
          <w:lang w:val="fr-CH" w:bidi="ar-MA"/>
        </w:rPr>
      </w:pPr>
      <w:r>
        <w:rPr>
          <w:rFonts w:hint="cs"/>
          <w:rtl/>
          <w:lang w:val="fr-CH"/>
        </w:rPr>
        <w:tab/>
      </w:r>
      <w:r>
        <w:rPr>
          <w:rFonts w:hint="cs"/>
          <w:rtl/>
          <w:lang w:val="fr-CH"/>
        </w:rPr>
        <w:tab/>
        <w:t xml:space="preserve">عدم الإعادة القسرية </w:t>
      </w:r>
      <w:r>
        <w:rPr>
          <w:rFonts w:hint="cs"/>
          <w:rtl/>
          <w:lang w:val="fr-CH" w:bidi="ar-MA"/>
        </w:rPr>
        <w:t>والتسليم</w:t>
      </w:r>
    </w:p>
    <w:p w:rsidR="00C80546" w:rsidRDefault="00C80546" w:rsidP="00C80546">
      <w:pPr>
        <w:pStyle w:val="SingleTxtGA"/>
        <w:rPr>
          <w:rFonts w:hint="cs"/>
          <w:rtl/>
          <w:lang w:val="fr-CH" w:bidi="ar-MA"/>
        </w:rPr>
      </w:pPr>
      <w:r>
        <w:rPr>
          <w:rFonts w:hint="cs"/>
          <w:rtl/>
          <w:lang w:val="fr-CH"/>
        </w:rPr>
        <w:t>18-</w:t>
      </w:r>
      <w:r>
        <w:rPr>
          <w:rFonts w:hint="cs"/>
          <w:rtl/>
          <w:lang w:val="fr-CH"/>
        </w:rPr>
        <w:tab/>
        <w:t>تعرب اللجنة عن القلق لأن قانون الإجراءات الجنائية لا</w:t>
      </w:r>
      <w:r>
        <w:rPr>
          <w:rtl/>
          <w:lang w:val="fr-CH"/>
        </w:rPr>
        <w:t> </w:t>
      </w:r>
      <w:r>
        <w:rPr>
          <w:rFonts w:hint="cs"/>
          <w:rtl/>
          <w:lang w:val="fr-CH"/>
        </w:rPr>
        <w:t>يتضمن أي حكم بشأن الحظر المطلق للتسليم أو</w:t>
      </w:r>
      <w:r>
        <w:rPr>
          <w:rtl/>
          <w:lang w:val="fr-CH"/>
        </w:rPr>
        <w:t> </w:t>
      </w:r>
      <w:r>
        <w:rPr>
          <w:rFonts w:hint="cs"/>
          <w:rtl/>
          <w:lang w:val="fr-CH" w:bidi="ar-MA"/>
        </w:rPr>
        <w:t>الترحيل في الحالات التي قد يكون فيها الشخص عرضة لخطر التعذيب، ولعدم وجود أي إجراءات واضحة في التشريع للطعن في المشروعية أمام المحكمة في إجراءات التسليم والترحيل. كما</w:t>
      </w:r>
      <w:r>
        <w:rPr>
          <w:rtl/>
          <w:lang w:val="fr-CH" w:bidi="ar-MA"/>
        </w:rPr>
        <w:t> </w:t>
      </w:r>
      <w:r>
        <w:rPr>
          <w:rFonts w:hint="cs"/>
          <w:rtl/>
          <w:lang w:val="fr-CH" w:bidi="ar-MA"/>
        </w:rPr>
        <w:t>تشعر بالقلق إزاء ما</w:t>
      </w:r>
      <w:r>
        <w:rPr>
          <w:rtl/>
          <w:lang w:val="fr-CH" w:bidi="ar-MA"/>
        </w:rPr>
        <w:t> </w:t>
      </w:r>
      <w:r>
        <w:rPr>
          <w:rFonts w:hint="cs"/>
          <w:rtl/>
          <w:lang w:val="fr-CH" w:bidi="ar-MA"/>
        </w:rPr>
        <w:t>ورد من تقارير عن طلبات الدولة الطرف المتعلقة بتسليم أشخاص يُزعم أنهم يَنتمون إلى جماعات إسلامية محظورة، ويوضعون بعد عودتهم إلى طاجيكستان، حسبما تشير التقارير، رهن العزل والحبس الانفرادي ويتعرضون للتعذيب و/أو سوء المعاملة من جانب المسؤولين المكلفين بإنفاذ القانون. ويساور اللجنةَ القلق أيضاً إزاء ادعاءات مفادها أن الأشخاص الذين هم عرضة لخطر التعذيب بعد عودتهم والذين التمسوا من المحكمة الأوروبية لحقوق الإنسان اتخاذ إجراءات مؤقتة، قد اختطفتهم القوات الأمنية الطاجيكية في بلد مجاور وأعادتهم قسراً إلى طاجيكستان، وتعرضوا لاحقاً للتعذيب و/أو سوء المعاملة. إضافة إلى ذلك، تشعر اللجنة بالقلق إزاء تقارير مفادها أن أبدولفوزي لاتيبوف، وهو عضو سابق في المعارضة الطاجيكية الموحدة، يُزعم أنه قد اختُطف من الاتحاد الروسي ونُقل إلى طاجيكستان في تشرين الأول/أكتوبر 2012 وأنه رهن العزل (المادة</w:t>
      </w:r>
      <w:r>
        <w:rPr>
          <w:rtl/>
          <w:lang w:val="fr-CH" w:bidi="ar-MA"/>
        </w:rPr>
        <w:t> </w:t>
      </w:r>
      <w:r>
        <w:rPr>
          <w:rFonts w:hint="cs"/>
          <w:rtl/>
          <w:lang w:val="fr-CH" w:bidi="ar-MA"/>
        </w:rPr>
        <w:t>3).</w:t>
      </w:r>
    </w:p>
    <w:p w:rsidR="00C80546" w:rsidRPr="00F55308" w:rsidRDefault="00C80546" w:rsidP="00C80546">
      <w:pPr>
        <w:pStyle w:val="SingleTxtGA"/>
        <w:rPr>
          <w:rFonts w:hint="cs"/>
          <w:b/>
          <w:bCs/>
          <w:rtl/>
          <w:lang w:val="fr-CH" w:bidi="ar-MA"/>
        </w:rPr>
      </w:pPr>
      <w:r>
        <w:rPr>
          <w:rFonts w:hint="cs"/>
          <w:b/>
          <w:bCs/>
          <w:rtl/>
          <w:lang w:val="fr-CH" w:bidi="ar-MA"/>
        </w:rPr>
        <w:tab/>
      </w:r>
      <w:r w:rsidRPr="00F55308">
        <w:rPr>
          <w:rFonts w:hint="cs"/>
          <w:b/>
          <w:bCs/>
          <w:rtl/>
          <w:lang w:val="fr-CH" w:bidi="ar-MA"/>
        </w:rPr>
        <w:t>ينبغي للدولة الطرف أن تقوم</w:t>
      </w:r>
      <w:r>
        <w:rPr>
          <w:rFonts w:hint="cs"/>
          <w:b/>
          <w:bCs/>
          <w:rtl/>
          <w:lang w:val="fr-CH" w:bidi="ar-MA"/>
        </w:rPr>
        <w:t xml:space="preserve"> بما</w:t>
      </w:r>
      <w:r>
        <w:rPr>
          <w:b/>
          <w:bCs/>
          <w:rtl/>
          <w:lang w:val="fr-CH" w:bidi="ar-MA"/>
        </w:rPr>
        <w:t> </w:t>
      </w:r>
      <w:r w:rsidRPr="00F55308">
        <w:rPr>
          <w:rFonts w:hint="cs"/>
          <w:b/>
          <w:bCs/>
          <w:rtl/>
          <w:lang w:val="fr-CH" w:bidi="ar-MA"/>
        </w:rPr>
        <w:t>يلي:</w:t>
      </w:r>
    </w:p>
    <w:p w:rsidR="00C80546" w:rsidRPr="00F55308" w:rsidRDefault="00C80546" w:rsidP="00C80546">
      <w:pPr>
        <w:pStyle w:val="SingleTxtGA"/>
        <w:rPr>
          <w:rFonts w:hint="cs"/>
          <w:b/>
          <w:bCs/>
          <w:spacing w:val="-2"/>
          <w:lang w:val="fr-CH" w:bidi="ar-MA"/>
        </w:rPr>
      </w:pPr>
      <w:r>
        <w:rPr>
          <w:rFonts w:hint="cs"/>
          <w:b/>
          <w:bCs/>
          <w:rtl/>
          <w:lang w:val="fr-CH" w:bidi="ar-MA"/>
        </w:rPr>
        <w:tab/>
        <w:t>(أ)</w:t>
      </w:r>
      <w:r>
        <w:rPr>
          <w:rFonts w:hint="cs"/>
          <w:b/>
          <w:bCs/>
          <w:rtl/>
          <w:lang w:val="fr-CH" w:bidi="ar-MA"/>
        </w:rPr>
        <w:tab/>
      </w:r>
      <w:r w:rsidRPr="00F55308">
        <w:rPr>
          <w:rFonts w:hint="cs"/>
          <w:b/>
          <w:bCs/>
          <w:rtl/>
          <w:lang w:val="fr-CH" w:bidi="ar-MA"/>
        </w:rPr>
        <w:t xml:space="preserve">أن تُدرج بوضوح في القانون التزاماتها في مجال عدم </w:t>
      </w:r>
      <w:r>
        <w:rPr>
          <w:rFonts w:hint="cs"/>
          <w:b/>
          <w:bCs/>
          <w:rtl/>
          <w:lang w:val="fr-CH" w:bidi="ar-MA"/>
        </w:rPr>
        <w:t xml:space="preserve">الإعادة القسرية </w:t>
      </w:r>
      <w:r w:rsidRPr="00F55308">
        <w:rPr>
          <w:rFonts w:hint="cs"/>
          <w:b/>
          <w:bCs/>
          <w:rtl/>
          <w:lang w:val="fr-CH" w:bidi="ar-MA"/>
        </w:rPr>
        <w:t>بموجب ال</w:t>
      </w:r>
      <w:r>
        <w:rPr>
          <w:rFonts w:hint="cs"/>
          <w:b/>
          <w:bCs/>
          <w:rtl/>
          <w:lang w:val="fr-CH" w:bidi="ar-MA"/>
        </w:rPr>
        <w:t>مادة</w:t>
      </w:r>
      <w:r>
        <w:rPr>
          <w:b/>
          <w:bCs/>
          <w:rtl/>
          <w:lang w:val="fr-CH" w:bidi="ar-MA"/>
        </w:rPr>
        <w:t> </w:t>
      </w:r>
      <w:r w:rsidRPr="00F55308">
        <w:rPr>
          <w:rFonts w:hint="cs"/>
          <w:b/>
          <w:bCs/>
          <w:rtl/>
          <w:lang w:val="fr-CH" w:bidi="ar-MA"/>
        </w:rPr>
        <w:t>3 من الاتفاقية، وأن تحترم تلك الالتزامات،</w:t>
      </w:r>
      <w:r>
        <w:rPr>
          <w:rFonts w:hint="cs"/>
          <w:b/>
          <w:bCs/>
          <w:rtl/>
          <w:lang w:val="fr-CH" w:bidi="ar-MA"/>
        </w:rPr>
        <w:t xml:space="preserve"> بما</w:t>
      </w:r>
      <w:r>
        <w:rPr>
          <w:b/>
          <w:bCs/>
          <w:rtl/>
          <w:lang w:val="fr-CH" w:bidi="ar-MA"/>
        </w:rPr>
        <w:t> </w:t>
      </w:r>
      <w:r w:rsidRPr="00F55308">
        <w:rPr>
          <w:rFonts w:hint="cs"/>
          <w:b/>
          <w:bCs/>
          <w:rtl/>
          <w:lang w:val="fr-CH" w:bidi="ar-MA"/>
        </w:rPr>
        <w:t xml:space="preserve">فيها حق الطعن في </w:t>
      </w:r>
      <w:r>
        <w:rPr>
          <w:rFonts w:hint="cs"/>
          <w:b/>
          <w:bCs/>
          <w:rtl/>
          <w:lang w:val="fr-CH" w:bidi="ar-MA"/>
        </w:rPr>
        <w:t>أوامر الترحيل</w:t>
      </w:r>
      <w:r w:rsidRPr="00F55308">
        <w:rPr>
          <w:rFonts w:hint="cs"/>
          <w:b/>
          <w:bCs/>
          <w:rtl/>
          <w:lang w:val="fr-CH" w:bidi="ar-MA"/>
        </w:rPr>
        <w:t xml:space="preserve">، وأن تمتنع عن طلب الضمانات الدبلوماسية وقبولها من </w:t>
      </w:r>
      <w:r>
        <w:rPr>
          <w:rFonts w:hint="cs"/>
          <w:b/>
          <w:bCs/>
          <w:rtl/>
          <w:lang w:val="fr-CH" w:bidi="ar-MA"/>
        </w:rPr>
        <w:t xml:space="preserve">أي </w:t>
      </w:r>
      <w:r w:rsidRPr="00F55308">
        <w:rPr>
          <w:rFonts w:hint="cs"/>
          <w:b/>
          <w:bCs/>
          <w:rtl/>
          <w:lang w:val="fr-CH" w:bidi="ar-MA"/>
        </w:rPr>
        <w:t>دولة توجد فيها أسباب جدية للاعتقاد بأن الشخص سيكون عرضة لخطر التعذيب. وينبغي للدولة الطرف أن تقدم معلومات مفصَّلة إلى اللجنة عن جميع القضايا التي قُدّمت فيها مثل هذه الضمانات؛</w:t>
      </w:r>
    </w:p>
    <w:p w:rsidR="00C80546" w:rsidRPr="00F55308" w:rsidRDefault="00C80546" w:rsidP="00C80546">
      <w:pPr>
        <w:pStyle w:val="SingleTxtGA"/>
        <w:rPr>
          <w:rFonts w:hint="cs"/>
          <w:b/>
          <w:bCs/>
          <w:spacing w:val="-2"/>
          <w:lang w:val="fr-CH" w:bidi="ar-MA"/>
        </w:rPr>
      </w:pPr>
      <w:r>
        <w:rPr>
          <w:rFonts w:hint="cs"/>
          <w:b/>
          <w:bCs/>
          <w:rtl/>
          <w:lang w:val="fr-CH" w:bidi="ar-MA"/>
        </w:rPr>
        <w:tab/>
        <w:t>(ب)</w:t>
      </w:r>
      <w:r>
        <w:rPr>
          <w:rFonts w:hint="cs"/>
          <w:b/>
          <w:bCs/>
          <w:rtl/>
          <w:lang w:val="fr-CH" w:bidi="ar-MA"/>
        </w:rPr>
        <w:tab/>
      </w:r>
      <w:r w:rsidRPr="00F55308">
        <w:rPr>
          <w:rFonts w:hint="cs"/>
          <w:b/>
          <w:bCs/>
          <w:rtl/>
          <w:lang w:val="fr-CH" w:bidi="ar-MA"/>
        </w:rPr>
        <w:t>أن تكف عن الممارسة المتعلقة باختطاف الأفراد وإعادتهم قسراً إلى طاجيكستان من دول أخرى ثم وضعهم لاحقاً رهن العزل، وأن تضمن عدم تعرضهم لأعمال التعذيب وسوء المعاملة؛</w:t>
      </w:r>
    </w:p>
    <w:p w:rsidR="00C80546" w:rsidRPr="00F55308" w:rsidRDefault="00C80546" w:rsidP="00C80546">
      <w:pPr>
        <w:pStyle w:val="SingleTxtGA"/>
        <w:rPr>
          <w:rFonts w:hint="cs"/>
          <w:b/>
          <w:bCs/>
          <w:rtl/>
          <w:lang w:val="fr-CH" w:bidi="ar-MA"/>
        </w:rPr>
      </w:pPr>
      <w:r>
        <w:rPr>
          <w:rFonts w:hint="cs"/>
          <w:b/>
          <w:bCs/>
          <w:rtl/>
          <w:lang w:val="fr-CH" w:bidi="ar-MA"/>
        </w:rPr>
        <w:tab/>
        <w:t>(ج)</w:t>
      </w:r>
      <w:r>
        <w:rPr>
          <w:rFonts w:hint="cs"/>
          <w:b/>
          <w:bCs/>
          <w:rtl/>
          <w:lang w:val="fr-CH" w:bidi="ar-MA"/>
        </w:rPr>
        <w:tab/>
      </w:r>
      <w:r w:rsidRPr="00F55308">
        <w:rPr>
          <w:rFonts w:hint="cs"/>
          <w:b/>
          <w:bCs/>
          <w:rtl/>
          <w:lang w:val="fr-CH" w:bidi="ar-MA"/>
        </w:rPr>
        <w:t>أن تكشف عن مكان أبدولفوزي لاتيبوف وتَضمنَ عدم تعرضه للتعذيب</w:t>
      </w:r>
      <w:r>
        <w:rPr>
          <w:rFonts w:hint="cs"/>
          <w:b/>
          <w:bCs/>
          <w:rtl/>
          <w:lang w:val="fr-CH" w:bidi="ar-MA"/>
        </w:rPr>
        <w:t xml:space="preserve"> أو</w:t>
      </w:r>
      <w:r>
        <w:rPr>
          <w:b/>
          <w:bCs/>
          <w:rtl/>
          <w:lang w:val="fr-CH" w:bidi="ar-MA"/>
        </w:rPr>
        <w:t> </w:t>
      </w:r>
      <w:r w:rsidRPr="00F55308">
        <w:rPr>
          <w:rFonts w:hint="cs"/>
          <w:b/>
          <w:bCs/>
          <w:rtl/>
          <w:lang w:val="fr-CH" w:bidi="ar-MA"/>
        </w:rPr>
        <w:t>سوء المعاملة وتكفل تمتعه بجميع حقوقه الأساسية،</w:t>
      </w:r>
      <w:r>
        <w:rPr>
          <w:rFonts w:hint="cs"/>
          <w:b/>
          <w:bCs/>
          <w:rtl/>
          <w:lang w:val="fr-CH" w:bidi="ar-MA"/>
        </w:rPr>
        <w:t xml:space="preserve"> بما</w:t>
      </w:r>
      <w:r>
        <w:rPr>
          <w:b/>
          <w:bCs/>
          <w:rtl/>
          <w:lang w:val="fr-CH" w:bidi="ar-MA"/>
        </w:rPr>
        <w:t> </w:t>
      </w:r>
      <w:r w:rsidRPr="00F55308">
        <w:rPr>
          <w:rFonts w:hint="cs"/>
          <w:b/>
          <w:bCs/>
          <w:rtl/>
          <w:lang w:val="fr-CH" w:bidi="ar-MA"/>
        </w:rPr>
        <w:t>فيها حقه في الاستعانة فوراً بمحام</w:t>
      </w:r>
      <w:r>
        <w:rPr>
          <w:rFonts w:hint="eastAsia"/>
          <w:b/>
          <w:bCs/>
          <w:rtl/>
          <w:lang w:val="fr-CH" w:bidi="ar-MA"/>
        </w:rPr>
        <w:t> </w:t>
      </w:r>
      <w:r w:rsidRPr="00F55308">
        <w:rPr>
          <w:rFonts w:hint="cs"/>
          <w:b/>
          <w:bCs/>
          <w:rtl/>
          <w:lang w:val="fr-CH" w:bidi="ar-MA"/>
        </w:rPr>
        <w:t>مستقل.</w:t>
      </w:r>
    </w:p>
    <w:p w:rsidR="00C80546" w:rsidRDefault="00C80546" w:rsidP="00C80546">
      <w:pPr>
        <w:pStyle w:val="H23GA"/>
        <w:rPr>
          <w:rFonts w:hint="cs"/>
          <w:rtl/>
          <w:lang w:val="fr-CH"/>
        </w:rPr>
      </w:pPr>
      <w:r>
        <w:rPr>
          <w:rFonts w:hint="cs"/>
          <w:rtl/>
          <w:lang w:val="fr-CH"/>
        </w:rPr>
        <w:tab/>
      </w:r>
      <w:r>
        <w:rPr>
          <w:rFonts w:hint="cs"/>
          <w:rtl/>
          <w:lang w:val="fr-CH"/>
        </w:rPr>
        <w:tab/>
        <w:t>التدريب</w:t>
      </w:r>
    </w:p>
    <w:p w:rsidR="00C80546" w:rsidRDefault="00C80546" w:rsidP="00C80546">
      <w:pPr>
        <w:pStyle w:val="SingleTxtGA"/>
        <w:rPr>
          <w:rFonts w:hint="cs"/>
          <w:rtl/>
          <w:lang w:val="fr-CH" w:bidi="ar-MA"/>
        </w:rPr>
      </w:pPr>
      <w:r>
        <w:rPr>
          <w:rFonts w:hint="cs"/>
          <w:rtl/>
          <w:lang w:val="fr-CH"/>
        </w:rPr>
        <w:t>19-</w:t>
      </w:r>
      <w:r>
        <w:rPr>
          <w:rFonts w:hint="cs"/>
          <w:rtl/>
          <w:lang w:val="fr-CH"/>
        </w:rPr>
        <w:tab/>
        <w:t>ترحب اللجنة بتنظيم برامج للتدريب في مجال حقوق الإنسان لفائدة المسؤولين المكلفين بإنفاذ القانون والقضاة وموظفي الادعاء ووزارة الداخلية أثناء الفترة قيد الاستعراض، إلى جانب إنشاء فريق عامل يقوده رئيس المحكمة الدستورية لتوعية المسؤولين المكلفين بإنفاذ القانون بشأن حظر التعذيب وبناء قدراتهم في هذا المجال. ولكن القلق لا</w:t>
      </w:r>
      <w:r>
        <w:rPr>
          <w:rtl/>
          <w:lang w:val="fr-CH"/>
        </w:rPr>
        <w:t> </w:t>
      </w:r>
      <w:r>
        <w:rPr>
          <w:rFonts w:hint="cs"/>
          <w:rtl/>
          <w:lang w:val="fr-CH"/>
        </w:rPr>
        <w:t xml:space="preserve">يزال يساور اللجنة إزاء غياب إتاحة تدريب ملائم، لفائدة المسؤولين المكلفين بإنفاذ القانون </w:t>
      </w:r>
      <w:r>
        <w:rPr>
          <w:rFonts w:hint="cs"/>
          <w:rtl/>
          <w:lang w:val="fr-CH" w:bidi="ar-MA"/>
        </w:rPr>
        <w:t>والعاملين في القطاع الطبي، في مجال تقييم ومعالجة قضايا العنف المنزلي ضد النساء، بما</w:t>
      </w:r>
      <w:r>
        <w:rPr>
          <w:rtl/>
          <w:lang w:val="fr-CH" w:bidi="ar-MA"/>
        </w:rPr>
        <w:t> </w:t>
      </w:r>
      <w:r>
        <w:rPr>
          <w:rFonts w:hint="cs"/>
          <w:rtl/>
          <w:lang w:val="fr-CH" w:bidi="ar-MA"/>
        </w:rPr>
        <w:t>فيها الاغتصاب، والعنف ضد الأطفال، والاتجار. وتعرب اللجنة عن القلق أيضاً لأن خدمات الطب الشرعي غير مزودة، حسبما تشير التقارير، بموظفين طبيين مدرَّبين في مجال التوثيق والتقصي بشأن التعذيب طبقاً لأحكام دليل التقصي والتوثيق الفعالين بشأن التعذيب وغيره من ضروب المعاملة أو</w:t>
      </w:r>
      <w:r>
        <w:rPr>
          <w:rtl/>
          <w:lang w:val="fr-CH" w:bidi="ar-MA"/>
        </w:rPr>
        <w:t> </w:t>
      </w:r>
      <w:r>
        <w:rPr>
          <w:rFonts w:hint="cs"/>
          <w:rtl/>
          <w:lang w:val="fr-CH" w:bidi="ar-MA"/>
        </w:rPr>
        <w:t>العقوبة القاسية أو</w:t>
      </w:r>
      <w:r>
        <w:rPr>
          <w:rtl/>
          <w:lang w:val="fr-CH" w:bidi="ar-MA"/>
        </w:rPr>
        <w:t> </w:t>
      </w:r>
      <w:r>
        <w:rPr>
          <w:rFonts w:hint="cs"/>
          <w:rtl/>
          <w:lang w:val="fr-CH" w:bidi="ar-MA"/>
        </w:rPr>
        <w:t>اللاإنسانية أو</w:t>
      </w:r>
      <w:r>
        <w:rPr>
          <w:rtl/>
          <w:lang w:val="fr-CH" w:bidi="ar-MA"/>
        </w:rPr>
        <w:t> </w:t>
      </w:r>
      <w:r>
        <w:rPr>
          <w:rFonts w:hint="cs"/>
          <w:rtl/>
          <w:lang w:val="fr-CH" w:bidi="ar-MA"/>
        </w:rPr>
        <w:t>المهينة (بروتوكول اسطنبول) (المادة</w:t>
      </w:r>
      <w:r>
        <w:rPr>
          <w:rtl/>
          <w:lang w:val="fr-CH" w:bidi="ar-MA"/>
        </w:rPr>
        <w:t> </w:t>
      </w:r>
      <w:r>
        <w:rPr>
          <w:rFonts w:hint="cs"/>
          <w:rtl/>
          <w:lang w:val="fr-CH" w:bidi="ar-MA"/>
        </w:rPr>
        <w:t>10).</w:t>
      </w:r>
    </w:p>
    <w:p w:rsidR="00C80546" w:rsidRPr="00807226" w:rsidRDefault="00C80546" w:rsidP="00C80546">
      <w:pPr>
        <w:pStyle w:val="SingleTxtGA"/>
        <w:rPr>
          <w:rFonts w:hint="cs"/>
          <w:b/>
          <w:bCs/>
          <w:spacing w:val="6"/>
          <w:rtl/>
          <w:lang w:val="fr-CH" w:bidi="ar-MA"/>
        </w:rPr>
      </w:pPr>
      <w:r>
        <w:rPr>
          <w:rFonts w:hint="cs"/>
          <w:b/>
          <w:bCs/>
          <w:rtl/>
          <w:lang w:val="fr-CH" w:bidi="ar-MA"/>
        </w:rPr>
        <w:tab/>
      </w:r>
      <w:r w:rsidRPr="00807226">
        <w:rPr>
          <w:rFonts w:hint="cs"/>
          <w:b/>
          <w:bCs/>
          <w:rtl/>
          <w:lang w:val="fr-CH" w:bidi="ar-MA"/>
        </w:rPr>
        <w:t xml:space="preserve">ينبغي للدولة الطرف أن </w:t>
      </w:r>
      <w:r>
        <w:rPr>
          <w:rFonts w:hint="cs"/>
          <w:b/>
          <w:bCs/>
          <w:rtl/>
          <w:lang w:val="fr-CH" w:bidi="ar-MA"/>
        </w:rPr>
        <w:t>تعزز برامج التدريب لفائدة المسؤولين المكلفين بإنفاذ القانون والقضاة والعاملين في المجال الطبي وموظفي الادعاء والسجون بشأن مقتضيات الاتفاقية، وأن تُجريَ تقييماً شاملاً لأثر تلك البرامج. كما</w:t>
      </w:r>
      <w:r>
        <w:rPr>
          <w:b/>
          <w:bCs/>
          <w:rtl/>
          <w:lang w:val="fr-CH" w:bidi="ar-MA"/>
        </w:rPr>
        <w:t> </w:t>
      </w:r>
      <w:r>
        <w:rPr>
          <w:rFonts w:hint="cs"/>
          <w:b/>
          <w:bCs/>
          <w:rtl/>
          <w:lang w:val="fr-CH" w:bidi="ar-MA"/>
        </w:rPr>
        <w:t>ينبغي لها أن تضمن تلقي المسؤولين المعنيين، لا</w:t>
      </w:r>
      <w:r>
        <w:rPr>
          <w:b/>
          <w:bCs/>
          <w:rtl/>
          <w:lang w:val="fr-CH" w:bidi="ar-MA"/>
        </w:rPr>
        <w:t> </w:t>
      </w:r>
      <w:r>
        <w:rPr>
          <w:rFonts w:hint="cs"/>
          <w:b/>
          <w:bCs/>
          <w:rtl/>
          <w:lang w:val="fr-CH" w:bidi="ar-MA"/>
        </w:rPr>
        <w:t>سيما العاملين في المجال الطبي، تدريباً على استخدام بروتوكول اسطنبول للتعرف على علامات التعذيب وسوء المعاملة وتوثيقها. وينبغي للدولة الطرف أيضاً أن تضمن إتاحة تدريب ملائم</w:t>
      </w:r>
      <w:r w:rsidRPr="003E2889">
        <w:rPr>
          <w:rFonts w:hint="cs"/>
          <w:b/>
          <w:bCs/>
          <w:rtl/>
          <w:lang w:val="fr-CH" w:bidi="ar-MA"/>
        </w:rPr>
        <w:t>، لفائدة المسؤولين المكلفين بإنفاذ القانون والعاملين في</w:t>
      </w:r>
      <w:r>
        <w:rPr>
          <w:rFonts w:hint="eastAsia"/>
          <w:b/>
          <w:bCs/>
          <w:rtl/>
          <w:lang w:val="fr-CH" w:bidi="ar-MA"/>
        </w:rPr>
        <w:t> </w:t>
      </w:r>
      <w:r w:rsidRPr="003E2889">
        <w:rPr>
          <w:rFonts w:hint="cs"/>
          <w:b/>
          <w:bCs/>
          <w:rtl/>
          <w:lang w:val="fr-CH" w:bidi="ar-MA"/>
        </w:rPr>
        <w:t>القطاع الطبي، في مجال تقييم ومعالجة قضايا العنف المنزلي ضد النساء،</w:t>
      </w:r>
      <w:r>
        <w:rPr>
          <w:rFonts w:hint="cs"/>
          <w:b/>
          <w:bCs/>
          <w:rtl/>
          <w:lang w:val="fr-CH" w:bidi="ar-MA"/>
        </w:rPr>
        <w:t xml:space="preserve"> بما</w:t>
      </w:r>
      <w:r>
        <w:rPr>
          <w:b/>
          <w:bCs/>
          <w:rtl/>
          <w:lang w:val="fr-CH" w:bidi="ar-MA"/>
        </w:rPr>
        <w:t> </w:t>
      </w:r>
      <w:r w:rsidRPr="003E2889">
        <w:rPr>
          <w:rFonts w:hint="cs"/>
          <w:b/>
          <w:bCs/>
          <w:rtl/>
          <w:lang w:val="fr-CH" w:bidi="ar-MA"/>
        </w:rPr>
        <w:t>فيها الاغتصاب، والعنف ضد الأطفال، والاتجار.</w:t>
      </w:r>
    </w:p>
    <w:p w:rsidR="00C80546" w:rsidRDefault="00C80546" w:rsidP="00C80546">
      <w:pPr>
        <w:pStyle w:val="H23GA"/>
        <w:rPr>
          <w:rFonts w:hint="cs"/>
          <w:rtl/>
          <w:lang w:val="fr-CH"/>
        </w:rPr>
      </w:pPr>
      <w:r>
        <w:rPr>
          <w:rFonts w:hint="cs"/>
          <w:rtl/>
          <w:lang w:val="fr-CH"/>
        </w:rPr>
        <w:tab/>
      </w:r>
      <w:r>
        <w:rPr>
          <w:rFonts w:hint="cs"/>
          <w:rtl/>
          <w:lang w:val="fr-CH"/>
        </w:rPr>
        <w:tab/>
        <w:t>قضاء الأحداث</w:t>
      </w:r>
    </w:p>
    <w:p w:rsidR="00C80546" w:rsidRDefault="00C80546" w:rsidP="00C80546">
      <w:pPr>
        <w:pStyle w:val="SingleTxtGA"/>
        <w:rPr>
          <w:rFonts w:hint="cs"/>
          <w:rtl/>
          <w:lang w:val="fr-CH" w:bidi="ar-MA"/>
        </w:rPr>
      </w:pPr>
      <w:r>
        <w:rPr>
          <w:rFonts w:hint="cs"/>
          <w:rtl/>
          <w:lang w:val="fr-CH"/>
        </w:rPr>
        <w:t>20-</w:t>
      </w:r>
      <w:r>
        <w:rPr>
          <w:rFonts w:hint="cs"/>
          <w:rtl/>
          <w:lang w:val="fr-CH"/>
        </w:rPr>
        <w:tab/>
        <w:t xml:space="preserve">بينما تحيط اللجنة علماً باعتماد خطة العمل الوطنية المتعلقة بإصلاح قضاء الأحداث للفترة 2010-2015، فإنها تعرب عن القلق إزاء افتقار النظام الجنائي للأحداث إلى </w:t>
      </w:r>
      <w:r>
        <w:rPr>
          <w:rFonts w:hint="cs"/>
          <w:rtl/>
          <w:lang w:val="fr-CH" w:bidi="ar-MA"/>
        </w:rPr>
        <w:t>محاكم مختصة بقضاء الأحداث وقضاة متخصصين في هذا المجال. ويساورها القلق أيضاً إزاء ما</w:t>
      </w:r>
      <w:r>
        <w:rPr>
          <w:rtl/>
          <w:lang w:val="fr-CH" w:bidi="ar-MA"/>
        </w:rPr>
        <w:t> </w:t>
      </w:r>
      <w:r>
        <w:rPr>
          <w:rFonts w:hint="cs"/>
          <w:rtl/>
          <w:lang w:val="fr-CH" w:bidi="ar-MA"/>
        </w:rPr>
        <w:t>ورد من تقارير عن وضع الأطفال مراراً رهن الاحتجاز قبل المحاكمة وحبسهم في زنزانات انفرادية داخل معتقل الأحداث كتدبير تأديبي؛ وحرمانهم مطولاً من الحرية لارتكابهم مخالفات بسيطة؛ وحرمانهم من التمتع بحقوقهم المشروعة الأساسية، بما</w:t>
      </w:r>
      <w:r>
        <w:rPr>
          <w:rtl/>
          <w:lang w:val="fr-CH" w:bidi="ar-MA"/>
        </w:rPr>
        <w:t> </w:t>
      </w:r>
      <w:r>
        <w:rPr>
          <w:rFonts w:hint="cs"/>
          <w:rtl/>
          <w:lang w:val="fr-CH" w:bidi="ar-MA"/>
        </w:rPr>
        <w:t>فيها الاستعانة بالمحامين؛ وإساءة معاملتهم غالباً من جانب ضباط التحقيق في الشرطة قصد انتزاع الاعترافات منهم، مما</w:t>
      </w:r>
      <w:r>
        <w:rPr>
          <w:rtl/>
          <w:lang w:val="fr-CH" w:bidi="ar-MA"/>
        </w:rPr>
        <w:t> </w:t>
      </w:r>
      <w:r>
        <w:rPr>
          <w:rFonts w:hint="cs"/>
          <w:rtl/>
          <w:lang w:val="fr-CH" w:bidi="ar-MA"/>
        </w:rPr>
        <w:t>يؤدي بالتالي في بعض الحالات إلى محاولتهم الانتحار أو</w:t>
      </w:r>
      <w:r>
        <w:rPr>
          <w:rtl/>
          <w:lang w:val="fr-CH" w:bidi="ar-MA"/>
        </w:rPr>
        <w:t> </w:t>
      </w:r>
      <w:r>
        <w:rPr>
          <w:rFonts w:hint="cs"/>
          <w:rtl/>
          <w:lang w:val="fr-CH" w:bidi="ar-MA"/>
        </w:rPr>
        <w:t>انتحارهم بالفعل (المواد 11 و12 و16).</w:t>
      </w:r>
    </w:p>
    <w:p w:rsidR="00C80546" w:rsidRPr="00F55308" w:rsidRDefault="00C80546" w:rsidP="00C80546">
      <w:pPr>
        <w:pStyle w:val="SingleTxtGA"/>
        <w:rPr>
          <w:rFonts w:hint="cs"/>
          <w:b/>
          <w:bCs/>
          <w:rtl/>
          <w:lang w:val="fr-CH" w:bidi="ar-MA"/>
        </w:rPr>
      </w:pPr>
      <w:r>
        <w:rPr>
          <w:rFonts w:hint="cs"/>
          <w:b/>
          <w:bCs/>
          <w:rtl/>
          <w:lang w:val="fr-CH" w:bidi="ar-MA"/>
        </w:rPr>
        <w:tab/>
      </w:r>
      <w:r w:rsidRPr="00F55308">
        <w:rPr>
          <w:rFonts w:hint="cs"/>
          <w:b/>
          <w:bCs/>
          <w:rtl/>
          <w:lang w:val="fr-CH" w:bidi="ar-MA"/>
        </w:rPr>
        <w:t>تحث اللجنة الدولة الطرف على القيام</w:t>
      </w:r>
      <w:r>
        <w:rPr>
          <w:rFonts w:hint="cs"/>
          <w:b/>
          <w:bCs/>
          <w:rtl/>
          <w:lang w:val="fr-CH" w:bidi="ar-MA"/>
        </w:rPr>
        <w:t xml:space="preserve"> بما</w:t>
      </w:r>
      <w:r>
        <w:rPr>
          <w:b/>
          <w:bCs/>
          <w:rtl/>
          <w:lang w:val="fr-CH" w:bidi="ar-MA"/>
        </w:rPr>
        <w:t> </w:t>
      </w:r>
      <w:r w:rsidRPr="00F55308">
        <w:rPr>
          <w:rFonts w:hint="cs"/>
          <w:b/>
          <w:bCs/>
          <w:rtl/>
          <w:lang w:val="fr-CH" w:bidi="ar-MA"/>
        </w:rPr>
        <w:t>يلي:</w:t>
      </w:r>
    </w:p>
    <w:p w:rsidR="00C80546" w:rsidRPr="00F55308" w:rsidRDefault="00C80546" w:rsidP="00C80546">
      <w:pPr>
        <w:pStyle w:val="SingleTxtGA"/>
        <w:rPr>
          <w:rFonts w:hint="cs"/>
          <w:b/>
          <w:bCs/>
          <w:lang w:val="fr-CH" w:bidi="ar-MA"/>
        </w:rPr>
      </w:pPr>
      <w:r>
        <w:rPr>
          <w:rFonts w:hint="cs"/>
          <w:b/>
          <w:bCs/>
          <w:rtl/>
          <w:lang w:val="fr-CH" w:bidi="ar-MA"/>
        </w:rPr>
        <w:tab/>
        <w:t>(أ)</w:t>
      </w:r>
      <w:r>
        <w:rPr>
          <w:rFonts w:hint="cs"/>
          <w:b/>
          <w:bCs/>
          <w:rtl/>
          <w:lang w:val="fr-CH" w:bidi="ar-MA"/>
        </w:rPr>
        <w:tab/>
      </w:r>
      <w:r w:rsidRPr="00F55308">
        <w:rPr>
          <w:rFonts w:hint="cs"/>
          <w:b/>
          <w:bCs/>
          <w:rtl/>
          <w:lang w:val="fr-CH" w:bidi="ar-MA"/>
        </w:rPr>
        <w:t>وضع نظام مُجْدٍ وفعال لقضاء الأحداث طبقاً للمعايير الدولية،</w:t>
      </w:r>
      <w:r>
        <w:rPr>
          <w:rFonts w:hint="cs"/>
          <w:b/>
          <w:bCs/>
          <w:rtl/>
          <w:lang w:val="fr-CH" w:bidi="ar-MA"/>
        </w:rPr>
        <w:t xml:space="preserve"> بما</w:t>
      </w:r>
      <w:r>
        <w:rPr>
          <w:b/>
          <w:bCs/>
          <w:rtl/>
          <w:lang w:val="fr-CH" w:bidi="ar-MA"/>
        </w:rPr>
        <w:t> </w:t>
      </w:r>
      <w:r w:rsidRPr="00F55308">
        <w:rPr>
          <w:rFonts w:hint="cs"/>
          <w:b/>
          <w:bCs/>
          <w:rtl/>
          <w:lang w:val="fr-CH" w:bidi="ar-MA"/>
        </w:rPr>
        <w:t>فيها قواعد الأمم المتحدة النموذجية الدنيا لإدارة شؤون قضاء الأحداث (قواعد بيجين)، ومبادئ الأمم المتحدة التوجيهية لمنع جنوح الأحداث (مبادئ الرياض التوجيهية)؛</w:t>
      </w:r>
    </w:p>
    <w:p w:rsidR="00C80546" w:rsidRPr="00F55308" w:rsidRDefault="00C80546" w:rsidP="00C80546">
      <w:pPr>
        <w:pStyle w:val="SingleTxtGA"/>
        <w:rPr>
          <w:rFonts w:hint="cs"/>
          <w:b/>
          <w:bCs/>
          <w:lang w:val="fr-CH" w:bidi="ar-MA"/>
        </w:rPr>
      </w:pPr>
      <w:r>
        <w:rPr>
          <w:rFonts w:hint="cs"/>
          <w:b/>
          <w:bCs/>
          <w:rtl/>
          <w:lang w:val="fr-CH" w:bidi="ar-MA"/>
        </w:rPr>
        <w:tab/>
        <w:t>(ب)</w:t>
      </w:r>
      <w:r>
        <w:rPr>
          <w:rFonts w:hint="cs"/>
          <w:b/>
          <w:bCs/>
          <w:rtl/>
          <w:lang w:val="fr-CH" w:bidi="ar-MA"/>
        </w:rPr>
        <w:tab/>
      </w:r>
      <w:r w:rsidRPr="00F55308">
        <w:rPr>
          <w:rFonts w:hint="cs"/>
          <w:b/>
          <w:bCs/>
          <w:rtl/>
          <w:lang w:val="fr-CH" w:bidi="ar-MA"/>
        </w:rPr>
        <w:t>إعادة النظر في جميع قضايا الأطفال المحكوم عليهم بالسجن من أجل ضمان عدم استخدام الحرمان من الحرية إلا للمعاقبة على ارتكاب الجرائم الجنائية الخطيرة، وكفالة أن الحبس الانفرادي للأحداث ينبغي تقييده باعتباره تدبيراً يُتخذ كملاذ أخير لأقصر مدة زمنية ممكنة تحت إشراف صارم ومع إمكانية المراجعة القضائية، وأن يقتصر على الحالات الاستثنائية جداً؛</w:t>
      </w:r>
    </w:p>
    <w:p w:rsidR="00C80546" w:rsidRPr="00F55308" w:rsidRDefault="00C80546" w:rsidP="00C80546">
      <w:pPr>
        <w:pStyle w:val="SingleTxtGA"/>
        <w:rPr>
          <w:rFonts w:hint="cs"/>
          <w:b/>
          <w:bCs/>
          <w:lang w:val="fr-CH" w:bidi="ar-MA"/>
        </w:rPr>
      </w:pPr>
      <w:r>
        <w:rPr>
          <w:rFonts w:hint="cs"/>
          <w:b/>
          <w:bCs/>
          <w:rtl/>
          <w:lang w:val="fr-CH" w:bidi="ar-MA"/>
        </w:rPr>
        <w:tab/>
        <w:t>(ج)</w:t>
      </w:r>
      <w:r>
        <w:rPr>
          <w:rFonts w:hint="cs"/>
          <w:b/>
          <w:bCs/>
          <w:rtl/>
          <w:lang w:val="fr-CH" w:bidi="ar-MA"/>
        </w:rPr>
        <w:tab/>
      </w:r>
      <w:r w:rsidRPr="00F55308">
        <w:rPr>
          <w:rFonts w:hint="cs"/>
          <w:b/>
          <w:bCs/>
          <w:rtl/>
          <w:lang w:val="fr-CH" w:bidi="ar-MA"/>
        </w:rPr>
        <w:t>كفالة احترام حقوق الأطفال في جميع أماكن الاحتجاز،</w:t>
      </w:r>
      <w:r>
        <w:rPr>
          <w:rFonts w:hint="cs"/>
          <w:b/>
          <w:bCs/>
          <w:rtl/>
          <w:lang w:val="fr-CH" w:bidi="ar-MA"/>
        </w:rPr>
        <w:t xml:space="preserve"> بما</w:t>
      </w:r>
      <w:r>
        <w:rPr>
          <w:b/>
          <w:bCs/>
          <w:rtl/>
          <w:lang w:val="fr-CH" w:bidi="ar-MA"/>
        </w:rPr>
        <w:t> </w:t>
      </w:r>
      <w:r w:rsidRPr="00F55308">
        <w:rPr>
          <w:rFonts w:hint="cs"/>
          <w:b/>
          <w:bCs/>
          <w:rtl/>
          <w:lang w:val="fr-CH" w:bidi="ar-MA"/>
        </w:rPr>
        <w:t>في ذلك حقهم في الحصول على المساعدة والدفاع القانونيين المناسبين من خلال تخصيص عدد كاف من المحامين ذوي التدريب والكفاءات ذات الصلة؛</w:t>
      </w:r>
    </w:p>
    <w:p w:rsidR="00C80546" w:rsidRPr="00F55308" w:rsidRDefault="00C80546" w:rsidP="00C80546">
      <w:pPr>
        <w:pStyle w:val="SingleTxtGA"/>
        <w:rPr>
          <w:rFonts w:hint="cs"/>
          <w:b/>
          <w:bCs/>
          <w:lang w:val="fr-CH" w:bidi="ar-MA"/>
        </w:rPr>
      </w:pPr>
      <w:r>
        <w:rPr>
          <w:rFonts w:hint="cs"/>
          <w:b/>
          <w:bCs/>
          <w:rtl/>
          <w:lang w:val="fr-CH" w:bidi="ar-MA"/>
        </w:rPr>
        <w:tab/>
        <w:t>(د)</w:t>
      </w:r>
      <w:r>
        <w:rPr>
          <w:rFonts w:hint="cs"/>
          <w:b/>
          <w:bCs/>
          <w:rtl/>
          <w:lang w:val="fr-CH" w:bidi="ar-MA"/>
        </w:rPr>
        <w:tab/>
      </w:r>
      <w:r w:rsidRPr="00F55308">
        <w:rPr>
          <w:rFonts w:hint="cs"/>
          <w:b/>
          <w:bCs/>
          <w:rtl/>
          <w:lang w:val="fr-CH" w:bidi="ar-MA"/>
        </w:rPr>
        <w:t xml:space="preserve">اتخاذ تدابير فعالة لمنع ضباط التحقيق </w:t>
      </w:r>
      <w:r>
        <w:rPr>
          <w:rFonts w:hint="cs"/>
          <w:b/>
          <w:bCs/>
          <w:rtl/>
          <w:lang w:val="fr-CH" w:bidi="ar-MA"/>
        </w:rPr>
        <w:t xml:space="preserve">في الشرطة </w:t>
      </w:r>
      <w:r w:rsidRPr="00F55308">
        <w:rPr>
          <w:rFonts w:hint="cs"/>
          <w:b/>
          <w:bCs/>
          <w:rtl/>
          <w:lang w:val="fr-CH" w:bidi="ar-MA"/>
        </w:rPr>
        <w:t>من إساءة معاملة الأطفال،</w:t>
      </w:r>
      <w:r>
        <w:rPr>
          <w:rFonts w:hint="cs"/>
          <w:b/>
          <w:bCs/>
          <w:rtl/>
          <w:lang w:val="fr-CH" w:bidi="ar-MA"/>
        </w:rPr>
        <w:t xml:space="preserve"> بما</w:t>
      </w:r>
      <w:r>
        <w:rPr>
          <w:b/>
          <w:bCs/>
          <w:rtl/>
          <w:lang w:val="fr-CH" w:bidi="ar-MA"/>
        </w:rPr>
        <w:t> </w:t>
      </w:r>
      <w:r w:rsidRPr="00F55308">
        <w:rPr>
          <w:rFonts w:hint="cs"/>
          <w:b/>
          <w:bCs/>
          <w:rtl/>
          <w:lang w:val="fr-CH" w:bidi="ar-MA"/>
        </w:rPr>
        <w:t>في ذلك عن طريق التحقيق في تلك الأفعال وضمان اتخاذ تدابير تأديبية</w:t>
      </w:r>
      <w:r>
        <w:rPr>
          <w:rFonts w:hint="cs"/>
          <w:b/>
          <w:bCs/>
          <w:rtl/>
          <w:lang w:val="fr-CH" w:bidi="ar-MA"/>
        </w:rPr>
        <w:t xml:space="preserve"> أو</w:t>
      </w:r>
      <w:r>
        <w:rPr>
          <w:b/>
          <w:bCs/>
          <w:rtl/>
          <w:lang w:val="fr-CH" w:bidi="ar-MA"/>
        </w:rPr>
        <w:t> </w:t>
      </w:r>
      <w:r w:rsidRPr="00F55308">
        <w:rPr>
          <w:rFonts w:hint="cs"/>
          <w:b/>
          <w:bCs/>
          <w:rtl/>
          <w:lang w:val="fr-CH" w:bidi="ar-MA"/>
        </w:rPr>
        <w:t>جنائية ملائمة ضد مرتكبيها.</w:t>
      </w:r>
    </w:p>
    <w:p w:rsidR="00C80546" w:rsidRDefault="00C80546" w:rsidP="00C80546">
      <w:pPr>
        <w:pStyle w:val="H23GA"/>
        <w:rPr>
          <w:rFonts w:hint="cs"/>
          <w:rtl/>
          <w:lang w:val="fr-CH" w:bidi="ar-MA"/>
        </w:rPr>
      </w:pPr>
      <w:r>
        <w:rPr>
          <w:rFonts w:hint="cs"/>
          <w:rtl/>
          <w:lang w:val="fr-CH" w:bidi="ar-MA"/>
        </w:rPr>
        <w:tab/>
      </w:r>
      <w:r>
        <w:rPr>
          <w:rFonts w:hint="cs"/>
          <w:rtl/>
          <w:lang w:val="fr-CH" w:bidi="ar-MA"/>
        </w:rPr>
        <w:tab/>
        <w:t>الجبر، بما</w:t>
      </w:r>
      <w:r>
        <w:rPr>
          <w:rtl/>
          <w:lang w:val="fr-CH" w:bidi="ar-MA"/>
        </w:rPr>
        <w:t> </w:t>
      </w:r>
      <w:r>
        <w:rPr>
          <w:rFonts w:hint="cs"/>
          <w:rtl/>
          <w:lang w:val="fr-CH" w:bidi="ar-MA"/>
        </w:rPr>
        <w:t>في ذلك التعويض وإعادة التأهيل</w:t>
      </w:r>
    </w:p>
    <w:p w:rsidR="00C80546" w:rsidRDefault="00C80546" w:rsidP="00C80546">
      <w:pPr>
        <w:pStyle w:val="SingleTxtGA"/>
        <w:rPr>
          <w:rFonts w:hint="cs"/>
          <w:rtl/>
          <w:lang w:val="fr-CH" w:bidi="ar-MA"/>
        </w:rPr>
      </w:pPr>
      <w:r w:rsidRPr="00F35A9F">
        <w:rPr>
          <w:rFonts w:hint="cs"/>
          <w:rtl/>
          <w:lang w:val="fr-CH" w:bidi="ar-MA"/>
        </w:rPr>
        <w:t>21-</w:t>
      </w:r>
      <w:r w:rsidRPr="00F35A9F">
        <w:rPr>
          <w:rFonts w:hint="cs"/>
          <w:rtl/>
          <w:lang w:val="fr-CH" w:bidi="ar-MA"/>
        </w:rPr>
        <w:tab/>
      </w:r>
      <w:r>
        <w:rPr>
          <w:rFonts w:hint="cs"/>
          <w:rtl/>
          <w:lang w:val="fr-CH" w:bidi="ar-MA"/>
        </w:rPr>
        <w:t xml:space="preserve">تعرب </w:t>
      </w:r>
      <w:r w:rsidRPr="00F35A9F">
        <w:rPr>
          <w:rFonts w:hint="cs"/>
          <w:rtl/>
          <w:lang w:val="fr-CH" w:bidi="ar-MA"/>
        </w:rPr>
        <w:t xml:space="preserve">اللجنة </w:t>
      </w:r>
      <w:r>
        <w:rPr>
          <w:rFonts w:hint="cs"/>
          <w:rtl/>
          <w:lang w:val="fr-CH" w:bidi="ar-MA"/>
        </w:rPr>
        <w:t xml:space="preserve">عن </w:t>
      </w:r>
      <w:r w:rsidRPr="00F35A9F">
        <w:rPr>
          <w:rFonts w:hint="cs"/>
          <w:rtl/>
          <w:lang w:val="fr-CH" w:bidi="ar-MA"/>
        </w:rPr>
        <w:t>القلق</w:t>
      </w:r>
      <w:r>
        <w:rPr>
          <w:rFonts w:hint="cs"/>
          <w:rtl/>
          <w:lang w:val="fr-CH" w:bidi="ar-MA"/>
        </w:rPr>
        <w:t xml:space="preserve"> لعدم وجود أي حكم صريح في التشريعات المحلية ينص على حق ضحايا التعذيب في الحصول على تعويض عادل ومناسب، بما</w:t>
      </w:r>
      <w:r>
        <w:rPr>
          <w:rtl/>
          <w:lang w:val="fr-CH" w:bidi="ar-MA"/>
        </w:rPr>
        <w:t> </w:t>
      </w:r>
      <w:r>
        <w:rPr>
          <w:rFonts w:hint="cs"/>
          <w:rtl/>
          <w:lang w:val="fr-CH" w:bidi="ar-MA"/>
        </w:rPr>
        <w:t>في ذلك وسائل إعادة التأهيل على أكمل وجه ممكن، وفقاً لما</w:t>
      </w:r>
      <w:r>
        <w:rPr>
          <w:rtl/>
          <w:lang w:val="fr-CH" w:bidi="ar-MA"/>
        </w:rPr>
        <w:t> </w:t>
      </w:r>
      <w:r>
        <w:rPr>
          <w:rFonts w:hint="cs"/>
          <w:rtl/>
          <w:lang w:val="fr-CH" w:bidi="ar-MA"/>
        </w:rPr>
        <w:t>تقتضيه المادة</w:t>
      </w:r>
      <w:r>
        <w:rPr>
          <w:rtl/>
          <w:lang w:val="fr-CH" w:bidi="ar-MA"/>
        </w:rPr>
        <w:t> </w:t>
      </w:r>
      <w:r>
        <w:rPr>
          <w:rFonts w:hint="cs"/>
          <w:rtl/>
          <w:lang w:val="fr-CH" w:bidi="ar-MA"/>
        </w:rPr>
        <w:t>14 من الاتفاقية. كما</w:t>
      </w:r>
      <w:r>
        <w:rPr>
          <w:rtl/>
          <w:lang w:val="fr-CH" w:bidi="ar-MA"/>
        </w:rPr>
        <w:t> </w:t>
      </w:r>
      <w:r>
        <w:rPr>
          <w:rFonts w:hint="cs"/>
          <w:rtl/>
          <w:lang w:val="fr-CH" w:bidi="ar-MA"/>
        </w:rPr>
        <w:t>تأسف اللجنة لعدم إتاحة الدولة الطرف بيانات تتعلق بقيمة أية تعويضات منحتها المحاكم لضحايا انتهاكات الاتفاقية، بمن فيهم من تعرضوا للتعذيب و/أو سوء المعاملة خلال الفترة الممتدة بين عامي 1995 و1999، إلى جانب 35 ضحية من ضحايا الاتجار الذين أُعيدوا إلى طاجيكستان في عام</w:t>
      </w:r>
      <w:r>
        <w:rPr>
          <w:rtl/>
          <w:lang w:val="fr-CH" w:bidi="ar-MA"/>
        </w:rPr>
        <w:t> </w:t>
      </w:r>
      <w:r>
        <w:rPr>
          <w:rFonts w:hint="cs"/>
          <w:rtl/>
          <w:lang w:val="fr-CH" w:bidi="ar-MA"/>
        </w:rPr>
        <w:t>2007 من بلدان أخرى. وتشير اللجنة أيضاً إلى غياب المعلومات عن أي خدمات للعلاج وإعادة التأهيل الاجتماعي المقدَّمة إلى الضحايا، بما</w:t>
      </w:r>
      <w:r>
        <w:rPr>
          <w:rtl/>
          <w:lang w:val="fr-CH" w:bidi="ar-MA"/>
        </w:rPr>
        <w:t> </w:t>
      </w:r>
      <w:r>
        <w:rPr>
          <w:rFonts w:hint="cs"/>
          <w:rtl/>
          <w:lang w:val="fr-CH" w:bidi="ar-MA"/>
        </w:rPr>
        <w:t>في ذلك إعادة التأهيل الطبي والنفسي الاجتماعي (المادة</w:t>
      </w:r>
      <w:r>
        <w:rPr>
          <w:rtl/>
          <w:lang w:val="fr-CH" w:bidi="ar-MA"/>
        </w:rPr>
        <w:t> </w:t>
      </w:r>
      <w:r>
        <w:rPr>
          <w:rFonts w:hint="cs"/>
          <w:rtl/>
          <w:lang w:val="fr-CH" w:bidi="ar-MA"/>
        </w:rPr>
        <w:t>14).</w:t>
      </w:r>
    </w:p>
    <w:p w:rsidR="00C80546" w:rsidRDefault="00C80546" w:rsidP="00C80546">
      <w:pPr>
        <w:pStyle w:val="SingleTxtGA"/>
        <w:rPr>
          <w:rFonts w:hint="cs"/>
          <w:b/>
          <w:bCs/>
          <w:rtl/>
          <w:lang w:val="fr-CH" w:bidi="ar-MA"/>
        </w:rPr>
      </w:pPr>
      <w:r>
        <w:rPr>
          <w:rFonts w:hint="cs"/>
          <w:b/>
          <w:bCs/>
          <w:rtl/>
          <w:lang w:val="fr-CH" w:bidi="ar-MA"/>
        </w:rPr>
        <w:tab/>
      </w:r>
      <w:r w:rsidRPr="00327297">
        <w:rPr>
          <w:rFonts w:hint="cs"/>
          <w:b/>
          <w:bCs/>
          <w:rtl/>
          <w:lang w:val="fr-CH" w:bidi="ar-MA"/>
        </w:rPr>
        <w:t xml:space="preserve">ينبغي للدولة الطرف أن تضمن وجود </w:t>
      </w:r>
      <w:r>
        <w:rPr>
          <w:rFonts w:hint="cs"/>
          <w:b/>
          <w:bCs/>
          <w:rtl/>
          <w:lang w:val="fr-CH" w:bidi="ar-MA"/>
        </w:rPr>
        <w:t>أحكام واضحة في التشريعات المحلية بشأن حق ضحايا التعذيب في الجبر، بما</w:t>
      </w:r>
      <w:r>
        <w:rPr>
          <w:b/>
          <w:bCs/>
          <w:rtl/>
          <w:lang w:val="fr-CH" w:bidi="ar-MA"/>
        </w:rPr>
        <w:t> </w:t>
      </w:r>
      <w:r>
        <w:rPr>
          <w:rFonts w:hint="cs"/>
          <w:b/>
          <w:bCs/>
          <w:rtl/>
          <w:lang w:val="fr-CH" w:bidi="ar-MA"/>
        </w:rPr>
        <w:t>في ذلك حصولهم على تعويض عادل ومناسب وإعادة تأهيلهم مقابل الأضرار التي لحقت بهم من جراء التعذيب. وينبغي لها عملياً أن تقوم بجبر أضرار جميع ضحايا التعذيب أو</w:t>
      </w:r>
      <w:r>
        <w:rPr>
          <w:b/>
          <w:bCs/>
          <w:rtl/>
          <w:lang w:val="fr-CH" w:bidi="ar-MA"/>
        </w:rPr>
        <w:t> </w:t>
      </w:r>
      <w:r>
        <w:rPr>
          <w:rFonts w:hint="cs"/>
          <w:b/>
          <w:bCs/>
          <w:rtl/>
          <w:lang w:val="fr-CH" w:bidi="ar-MA"/>
        </w:rPr>
        <w:t>سوء المعاملة، بما</w:t>
      </w:r>
      <w:r>
        <w:rPr>
          <w:b/>
          <w:bCs/>
          <w:rtl/>
          <w:lang w:val="fr-CH" w:bidi="ar-MA"/>
        </w:rPr>
        <w:t> </w:t>
      </w:r>
      <w:r>
        <w:rPr>
          <w:rFonts w:hint="cs"/>
          <w:b/>
          <w:bCs/>
          <w:rtl/>
          <w:lang w:val="fr-CH" w:bidi="ar-MA"/>
        </w:rPr>
        <w:t>في ذلك دفع تعويض عادل ومناسب لهم، وإعادة تأهيلهم على أكمل وجه ممكن، بصرف النظر عما إذا كان مرتكبو تلك الأعمال قد سُلّموا إلى العدالة أم</w:t>
      </w:r>
      <w:r>
        <w:rPr>
          <w:rFonts w:hint="eastAsia"/>
          <w:b/>
          <w:bCs/>
          <w:rtl/>
          <w:lang w:val="fr-CH" w:bidi="ar-MA"/>
        </w:rPr>
        <w:t> </w:t>
      </w:r>
      <w:r>
        <w:rPr>
          <w:rFonts w:hint="cs"/>
          <w:b/>
          <w:bCs/>
          <w:rtl/>
          <w:lang w:val="fr-CH" w:bidi="ar-MA"/>
        </w:rPr>
        <w:t>لا، وذلك بما</w:t>
      </w:r>
      <w:r>
        <w:rPr>
          <w:b/>
          <w:bCs/>
          <w:rtl/>
          <w:lang w:val="fr-CH" w:bidi="ar-MA"/>
        </w:rPr>
        <w:t> </w:t>
      </w:r>
      <w:r>
        <w:rPr>
          <w:rFonts w:hint="cs"/>
          <w:b/>
          <w:bCs/>
          <w:rtl/>
          <w:lang w:val="fr-CH" w:bidi="ar-MA"/>
        </w:rPr>
        <w:t>يشمل ضحايا الاتجار، وضحايا التعذيب و/أو سوء المعاملة خلال الفترة الممتدة بين عامي 1995 و1999، وأفراد الأسرة في حالات الوفاة أثناء الاحتجاز.</w:t>
      </w:r>
    </w:p>
    <w:p w:rsidR="00C80546" w:rsidRDefault="00C80546" w:rsidP="00C80546">
      <w:pPr>
        <w:pStyle w:val="SingleTxtGA"/>
        <w:rPr>
          <w:rFonts w:hint="cs"/>
          <w:b/>
          <w:bCs/>
          <w:rtl/>
          <w:lang w:val="fr-CH" w:bidi="ar-MA"/>
        </w:rPr>
      </w:pPr>
      <w:r>
        <w:rPr>
          <w:rFonts w:hint="cs"/>
          <w:b/>
          <w:bCs/>
          <w:rtl/>
          <w:lang w:val="fr-CH" w:bidi="ar-MA"/>
        </w:rPr>
        <w:tab/>
        <w:t>وتلفت اللجنة انتباه الدولة الطرف إلى التعليق العام رقم 3(2012) على المادة</w:t>
      </w:r>
      <w:r>
        <w:rPr>
          <w:b/>
          <w:bCs/>
          <w:rtl/>
          <w:lang w:val="fr-CH" w:bidi="ar-MA"/>
        </w:rPr>
        <w:t> </w:t>
      </w:r>
      <w:r>
        <w:rPr>
          <w:rFonts w:hint="cs"/>
          <w:b/>
          <w:bCs/>
          <w:rtl/>
          <w:lang w:val="fr-CH" w:bidi="ar-MA"/>
        </w:rPr>
        <w:t>14 من الاتفاقية، المعتمد مؤخراً، والذي يوضح مضمون ونطاق التزامات الدول الأطراف من أجل تقديم تعويض كامل لضحايا التعذيب.</w:t>
      </w:r>
    </w:p>
    <w:p w:rsidR="00C80546" w:rsidRDefault="00C80546" w:rsidP="00C80546">
      <w:pPr>
        <w:pStyle w:val="H23GA"/>
        <w:rPr>
          <w:rFonts w:hint="cs"/>
          <w:rtl/>
          <w:lang w:val="fr-CH" w:bidi="ar-MA"/>
        </w:rPr>
      </w:pPr>
      <w:r>
        <w:rPr>
          <w:rFonts w:hint="cs"/>
          <w:rtl/>
          <w:lang w:val="fr-CH" w:bidi="ar-MA"/>
        </w:rPr>
        <w:tab/>
      </w:r>
      <w:r>
        <w:rPr>
          <w:rFonts w:hint="cs"/>
          <w:rtl/>
          <w:lang w:val="fr-CH" w:bidi="ar-MA"/>
        </w:rPr>
        <w:tab/>
        <w:t>جمع البيانات</w:t>
      </w:r>
    </w:p>
    <w:p w:rsidR="00C80546" w:rsidRDefault="00C80546" w:rsidP="00C80546">
      <w:pPr>
        <w:pStyle w:val="SingleTxtGA"/>
        <w:rPr>
          <w:rFonts w:hint="cs"/>
          <w:rtl/>
          <w:lang w:val="fr-CH" w:bidi="ar-MA"/>
        </w:rPr>
      </w:pPr>
      <w:r>
        <w:rPr>
          <w:rFonts w:hint="cs"/>
          <w:rtl/>
          <w:lang w:val="fr-CH" w:bidi="ar-MA"/>
        </w:rPr>
        <w:t>22-</w:t>
      </w:r>
      <w:r>
        <w:rPr>
          <w:rFonts w:hint="cs"/>
          <w:rtl/>
          <w:lang w:val="fr-CH" w:bidi="ar-MA"/>
        </w:rPr>
        <w:tab/>
        <w:t>تأسف اللجنة لعدم وجود بيانات شاملة ومصنفة بشأن الشكاوى والتحقيقات والملاحقات القضائية والإدانات المتعلقة بقضايا التعذيب وسوء المعاملة على أيدي الموظفين المكلفين بإنفاذ القانون وضباط الأمن والجيش وموظفي السجون، وبشأن قضايا الاتجار والعنف المنزلي والجنسي، والتعويضات المقدمة إلى الضحايا.</w:t>
      </w:r>
    </w:p>
    <w:p w:rsidR="00C80546" w:rsidRPr="00F55308" w:rsidRDefault="00C80546" w:rsidP="00C80546">
      <w:pPr>
        <w:pStyle w:val="SingleTxtGA"/>
        <w:rPr>
          <w:rFonts w:hint="cs"/>
          <w:b/>
          <w:bCs/>
          <w:rtl/>
          <w:lang w:val="fr-CH" w:bidi="ar-MA"/>
        </w:rPr>
      </w:pPr>
      <w:r w:rsidRPr="00F55308">
        <w:rPr>
          <w:rFonts w:hint="cs"/>
          <w:b/>
          <w:bCs/>
          <w:rtl/>
          <w:lang w:val="fr-CH" w:bidi="ar-MA"/>
        </w:rPr>
        <w:tab/>
        <w:t>ينبغي للدولة الطرف أن تجمع بيانات إحصائية تتعلق برصد تنفيذ الاتفاقية على الصعيد الوطني،</w:t>
      </w:r>
      <w:r>
        <w:rPr>
          <w:rFonts w:hint="cs"/>
          <w:b/>
          <w:bCs/>
          <w:rtl/>
          <w:lang w:val="fr-CH" w:bidi="ar-MA"/>
        </w:rPr>
        <w:t xml:space="preserve"> بما</w:t>
      </w:r>
      <w:r>
        <w:rPr>
          <w:b/>
          <w:bCs/>
          <w:rtl/>
          <w:lang w:val="fr-CH" w:bidi="ar-MA"/>
        </w:rPr>
        <w:t> </w:t>
      </w:r>
      <w:r w:rsidRPr="00F55308">
        <w:rPr>
          <w:rFonts w:hint="cs"/>
          <w:b/>
          <w:bCs/>
          <w:rtl/>
          <w:lang w:val="fr-CH" w:bidi="ar-MA"/>
        </w:rPr>
        <w:t>في ذلك بيانات بشأن الشكاوى والتحقيقات والملاحقات القضائية والإدانات المرتبطة بقضايا التعذيب وسوء المعاملة، والاتجار والعنف المنزلي والجنسي، إلى جانب سبل الجبر المتاحة للضحايا،</w:t>
      </w:r>
      <w:r>
        <w:rPr>
          <w:rFonts w:hint="cs"/>
          <w:b/>
          <w:bCs/>
          <w:rtl/>
          <w:lang w:val="fr-CH" w:bidi="ar-MA"/>
        </w:rPr>
        <w:t xml:space="preserve"> بما</w:t>
      </w:r>
      <w:r>
        <w:rPr>
          <w:b/>
          <w:bCs/>
          <w:rtl/>
          <w:lang w:val="fr-CH" w:bidi="ar-MA"/>
        </w:rPr>
        <w:t> </w:t>
      </w:r>
      <w:r w:rsidRPr="00F55308">
        <w:rPr>
          <w:rFonts w:hint="cs"/>
          <w:b/>
          <w:bCs/>
          <w:rtl/>
          <w:lang w:val="fr-CH" w:bidi="ar-MA"/>
        </w:rPr>
        <w:t>فيها التعويض وإعادة التأهيل.</w:t>
      </w:r>
    </w:p>
    <w:p w:rsidR="00C80546" w:rsidRPr="00E55C77" w:rsidRDefault="00C80546" w:rsidP="00C80546">
      <w:pPr>
        <w:pStyle w:val="SingleTxtGA"/>
        <w:rPr>
          <w:rFonts w:hint="cs"/>
          <w:rtl/>
          <w:lang w:val="fr-CH" w:bidi="ar-MA"/>
        </w:rPr>
      </w:pPr>
      <w:r w:rsidRPr="00E55C77">
        <w:rPr>
          <w:rFonts w:hint="cs"/>
          <w:rtl/>
          <w:lang w:val="fr-CH" w:bidi="ar-MA"/>
        </w:rPr>
        <w:t>23-</w:t>
      </w:r>
      <w:r w:rsidRPr="00E55C77">
        <w:rPr>
          <w:rFonts w:hint="cs"/>
          <w:rtl/>
          <w:lang w:val="fr-CH" w:bidi="ar-MA"/>
        </w:rPr>
        <w:tab/>
        <w:t>توصي اللجنةُ الدولة الطرف بأن تنظر في التصديق، في أقرب وقت ممكن، على البروتوكول الاختياري لاتفاقية مناهضة التعذيب وغيره من ضروب المعاملة</w:t>
      </w:r>
      <w:r>
        <w:rPr>
          <w:rFonts w:hint="cs"/>
          <w:rtl/>
          <w:lang w:val="fr-CH" w:bidi="ar-MA"/>
        </w:rPr>
        <w:t xml:space="preserve"> أو</w:t>
      </w:r>
      <w:r>
        <w:rPr>
          <w:rtl/>
          <w:lang w:val="fr-CH" w:bidi="ar-MA"/>
        </w:rPr>
        <w:t> </w:t>
      </w:r>
      <w:r w:rsidRPr="00E55C77">
        <w:rPr>
          <w:rFonts w:hint="cs"/>
          <w:rtl/>
          <w:lang w:val="fr-CH" w:bidi="ar-MA"/>
        </w:rPr>
        <w:t>العقوبة القاسية</w:t>
      </w:r>
      <w:r>
        <w:rPr>
          <w:rFonts w:hint="cs"/>
          <w:rtl/>
          <w:lang w:val="fr-CH" w:bidi="ar-MA"/>
        </w:rPr>
        <w:t xml:space="preserve"> أو</w:t>
      </w:r>
      <w:r>
        <w:rPr>
          <w:rtl/>
          <w:lang w:val="fr-CH" w:bidi="ar-MA"/>
        </w:rPr>
        <w:t> </w:t>
      </w:r>
      <w:r w:rsidRPr="00E55C77">
        <w:rPr>
          <w:rFonts w:hint="cs"/>
          <w:rtl/>
          <w:lang w:val="fr-CH" w:bidi="ar-MA"/>
        </w:rPr>
        <w:t>اللاإنسانية</w:t>
      </w:r>
      <w:r>
        <w:rPr>
          <w:rFonts w:hint="cs"/>
          <w:rtl/>
          <w:lang w:val="fr-CH" w:bidi="ar-MA"/>
        </w:rPr>
        <w:t xml:space="preserve"> أو</w:t>
      </w:r>
      <w:r>
        <w:rPr>
          <w:rtl/>
          <w:lang w:val="fr-CH" w:bidi="ar-MA"/>
        </w:rPr>
        <w:t> </w:t>
      </w:r>
      <w:r w:rsidRPr="00E55C77">
        <w:rPr>
          <w:rFonts w:hint="cs"/>
          <w:rtl/>
          <w:lang w:val="fr-CH" w:bidi="ar-MA"/>
        </w:rPr>
        <w:t>المهينة، والبروتوكول الاختياري الثاني الملحق بالعهد الدولي الخاص بالحقوق المدنية والسياسية.</w:t>
      </w:r>
      <w:r>
        <w:rPr>
          <w:rFonts w:hint="cs"/>
          <w:rtl/>
          <w:lang w:val="fr-CH" w:bidi="ar-MA"/>
        </w:rPr>
        <w:t xml:space="preserve"> كما</w:t>
      </w:r>
      <w:r>
        <w:rPr>
          <w:rtl/>
          <w:lang w:val="fr-CH" w:bidi="ar-MA"/>
        </w:rPr>
        <w:t> </w:t>
      </w:r>
      <w:r w:rsidRPr="00E55C77">
        <w:rPr>
          <w:rFonts w:hint="cs"/>
          <w:rtl/>
          <w:lang w:val="fr-CH" w:bidi="ar-MA"/>
        </w:rPr>
        <w:t>تدعو الدولةَ الطرف إلى النظر في التصديق على معاهدات الأمم المتحدة الأساسية الأخرى لحقوق الإنسان التي لم تنضم إليها بعد، وهي بالتحديد: الاتفاقية الدولية لحماية جميع الأشخاص من الاختفاء القسري، واتفاقية حقوق الأشخاص ذوي الإعاقة وبروتوكولها الاختياري، والبروتوكول الاختياري لاتفاقية القضاء على جميع أشكال التمييز ضد المرأة، والبروتوكول الاختياري للعهد الدولي الخاص بالحقوق الاقتصادية والاجتماعية والثقافية.</w:t>
      </w:r>
    </w:p>
    <w:p w:rsidR="00C80546" w:rsidRPr="008829F3" w:rsidRDefault="00C80546" w:rsidP="00C80546">
      <w:pPr>
        <w:pStyle w:val="SingleTxtGA"/>
        <w:rPr>
          <w:rFonts w:hint="cs"/>
          <w:spacing w:val="-4"/>
          <w:rtl/>
          <w:lang w:val="fr-CH" w:bidi="ar-MA"/>
        </w:rPr>
      </w:pPr>
      <w:r w:rsidRPr="008829F3">
        <w:rPr>
          <w:rFonts w:hint="cs"/>
          <w:spacing w:val="-4"/>
          <w:rtl/>
          <w:lang w:val="fr-CH" w:bidi="ar-MA"/>
        </w:rPr>
        <w:t>24-</w:t>
      </w:r>
      <w:r w:rsidRPr="008829F3">
        <w:rPr>
          <w:rFonts w:hint="cs"/>
          <w:spacing w:val="-4"/>
          <w:rtl/>
          <w:lang w:val="fr-CH" w:bidi="ar-MA"/>
        </w:rPr>
        <w:tab/>
        <w:t>وتوصي اللجنة الدولة الطرف أيضاً بالنظر في إصدار الإعلانين المنصوص عليهما في المادتين 21 و22 من الاتفاقية، بغية الاعتراف باختصاص اللجنة في تلقي البلاغات والنظر فيها.</w:t>
      </w:r>
    </w:p>
    <w:p w:rsidR="00C80546" w:rsidRDefault="00C80546" w:rsidP="00C80546">
      <w:pPr>
        <w:pStyle w:val="SingleTxtGA"/>
        <w:rPr>
          <w:rFonts w:hint="cs"/>
          <w:rtl/>
          <w:lang w:val="fr-CH" w:bidi="ar-MA"/>
        </w:rPr>
      </w:pPr>
      <w:r>
        <w:rPr>
          <w:rFonts w:hint="cs"/>
          <w:rtl/>
          <w:lang w:val="fr-CH" w:bidi="ar-MA"/>
        </w:rPr>
        <w:t>25-</w:t>
      </w:r>
      <w:r>
        <w:rPr>
          <w:rFonts w:hint="cs"/>
          <w:rtl/>
          <w:lang w:val="fr-CH" w:bidi="ar-MA"/>
        </w:rPr>
        <w:tab/>
        <w:t>ويرجى من الدولة الطرف نشر التقرير المقدم إلى اللجنة والملاحظات الختامية للجنة على نطاق واسع وباللغات المناسبة، من خلال المواقع الشبكية الرسمية ووسائط الإعلام والمنظمات غير الحكومية.</w:t>
      </w:r>
    </w:p>
    <w:p w:rsidR="00C80546" w:rsidRDefault="00C80546" w:rsidP="00C80546">
      <w:pPr>
        <w:pStyle w:val="SingleTxtGA"/>
        <w:rPr>
          <w:rFonts w:hint="cs"/>
          <w:rtl/>
          <w:lang w:val="fr-CH" w:bidi="ar-MA"/>
        </w:rPr>
      </w:pPr>
      <w:r>
        <w:rPr>
          <w:rFonts w:hint="cs"/>
          <w:rtl/>
          <w:lang w:val="fr-CH" w:bidi="ar-MA"/>
        </w:rPr>
        <w:t>26-</w:t>
      </w:r>
      <w:r>
        <w:rPr>
          <w:rFonts w:hint="cs"/>
          <w:rtl/>
          <w:lang w:val="fr-CH" w:bidi="ar-MA"/>
        </w:rPr>
        <w:tab/>
        <w:t>وتطلب اللجنة من الدولة الطرف أن تقدم، بحلول 23 تشرين الثاني/نوفمبر 2013، معلومات متابعة رداً على توصيات اللجنة المتعلقة بما</w:t>
      </w:r>
      <w:r>
        <w:rPr>
          <w:rtl/>
          <w:lang w:val="fr-CH" w:bidi="ar-MA"/>
        </w:rPr>
        <w:t> </w:t>
      </w:r>
      <w:r>
        <w:rPr>
          <w:rFonts w:hint="cs"/>
          <w:rtl/>
          <w:lang w:val="fr-CH" w:bidi="ar-MA"/>
        </w:rPr>
        <w:t>يلي: (أ) إجراء تحقيقات فورية ومحايدة وفعالة؛ (ب) كفالة أو</w:t>
      </w:r>
      <w:r>
        <w:rPr>
          <w:rtl/>
          <w:lang w:val="fr-CH" w:bidi="ar-MA"/>
        </w:rPr>
        <w:t> </w:t>
      </w:r>
      <w:r>
        <w:rPr>
          <w:rFonts w:hint="cs"/>
          <w:rtl/>
          <w:lang w:val="fr-CH" w:bidi="ar-MA"/>
        </w:rPr>
        <w:t>تعزيز الضمانات القانونية للأشخاص المحتجزين؛ (ج) مقاضاة الأشخاص المشتبه في ارتكابهم أفعال التعذيب أو</w:t>
      </w:r>
      <w:r>
        <w:rPr>
          <w:rtl/>
          <w:lang w:val="fr-CH" w:bidi="ar-MA"/>
        </w:rPr>
        <w:t> </w:t>
      </w:r>
      <w:r>
        <w:rPr>
          <w:rFonts w:hint="cs"/>
          <w:rtl/>
          <w:lang w:val="fr-CH" w:bidi="ar-MA"/>
        </w:rPr>
        <w:t>سوء المعاملة ومعاقبة الجناة على النحو الوارد في الفقرات 8(أ) و(ب)، و9(أ)، و11(ج)، و14(أ) و(ب) و(ج) و(د) من هذه الوثيقة.</w:t>
      </w:r>
    </w:p>
    <w:p w:rsidR="00C80546" w:rsidRPr="00E55C77" w:rsidRDefault="00C80546" w:rsidP="00C80546">
      <w:pPr>
        <w:pStyle w:val="SingleTxtGA"/>
        <w:rPr>
          <w:rFonts w:hint="cs"/>
          <w:rtl/>
          <w:lang w:val="fr-CH" w:bidi="ar-MA"/>
        </w:rPr>
      </w:pPr>
      <w:r>
        <w:rPr>
          <w:rFonts w:hint="cs"/>
          <w:rtl/>
          <w:lang w:val="fr-CH" w:bidi="ar-MA"/>
        </w:rPr>
        <w:t>27-</w:t>
      </w:r>
      <w:r>
        <w:rPr>
          <w:rFonts w:hint="cs"/>
          <w:rtl/>
          <w:lang w:val="fr-CH" w:bidi="ar-MA"/>
        </w:rPr>
        <w:tab/>
        <w:t>والدولة الطرف مدعوة إلى تقديم تقريرها المقبل، الذي سيكون التقرير الدوري الثالث، بحلول 23 تشرين الثاني/نوفمبر 2016. ولهذا الغرض، تدعو اللجنة الدولة الطرف إلى الموافقة بحلول 23 تشرين الثاني/نوفمبر 2013، على تقديم التقارير بموجب إجرائها الاختياري لتقديم التقارير، الذي يتمثل في إحالة اللجنة إلى الدولة الطرف قائمة مسائل قبل تقديم تقريرها الدوري. وسيشكل رد الدولة الطرف على قائمة المسائل، بموجب المادة</w:t>
      </w:r>
      <w:r>
        <w:rPr>
          <w:rtl/>
          <w:lang w:val="fr-CH" w:bidi="ar-MA"/>
        </w:rPr>
        <w:t> </w:t>
      </w:r>
      <w:r>
        <w:rPr>
          <w:rFonts w:hint="cs"/>
          <w:rtl/>
          <w:lang w:val="fr-CH" w:bidi="ar-MA"/>
        </w:rPr>
        <w:t>19 من الاتفاقية، تقريرها الدوري المقبل.</w:t>
      </w:r>
    </w:p>
    <w:p w:rsidR="00C80546" w:rsidRPr="007F3AC6" w:rsidRDefault="00C80546" w:rsidP="00C80546">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C80546" w:rsidRPr="007F3A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69" w:rsidRPr="00FE6865" w:rsidRDefault="00A06A69" w:rsidP="00FE6865">
      <w:pPr>
        <w:pStyle w:val="Footer"/>
      </w:pPr>
    </w:p>
  </w:endnote>
  <w:endnote w:type="continuationSeparator" w:id="0">
    <w:p w:rsidR="00A06A69" w:rsidRDefault="00A0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B6" w:rsidRPr="00DF0041" w:rsidRDefault="00C75EB6" w:rsidP="00DF0041">
    <w:pPr>
      <w:pStyle w:val="Footer"/>
      <w:tabs>
        <w:tab w:val="right" w:pos="9598"/>
      </w:tabs>
    </w:pPr>
    <w:r>
      <w:t>GE.13-40409</w:t>
    </w:r>
    <w:r>
      <w:tab/>
    </w:r>
    <w:r w:rsidRPr="00DF0041">
      <w:rPr>
        <w:b/>
        <w:sz w:val="18"/>
      </w:rPr>
      <w:fldChar w:fldCharType="begin"/>
    </w:r>
    <w:r w:rsidRPr="00DF0041">
      <w:rPr>
        <w:b/>
        <w:sz w:val="18"/>
      </w:rPr>
      <w:instrText xml:space="preserve"> PAGE  \* MERGEFORMAT </w:instrText>
    </w:r>
    <w:r w:rsidRPr="00DF0041">
      <w:rPr>
        <w:b/>
        <w:sz w:val="18"/>
      </w:rPr>
      <w:fldChar w:fldCharType="separate"/>
    </w:r>
    <w:r w:rsidR="00E95188">
      <w:rPr>
        <w:b/>
        <w:noProof/>
        <w:sz w:val="18"/>
      </w:rPr>
      <w:t>14</w:t>
    </w:r>
    <w:r w:rsidRPr="00DF004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B6" w:rsidRPr="00DF0041" w:rsidRDefault="00C75EB6" w:rsidP="00DF0041">
    <w:pPr>
      <w:pStyle w:val="Footer"/>
      <w:tabs>
        <w:tab w:val="right" w:pos="9598"/>
      </w:tabs>
      <w:rPr>
        <w:b/>
        <w:sz w:val="18"/>
      </w:rPr>
    </w:pPr>
    <w:r w:rsidRPr="00DF0041">
      <w:rPr>
        <w:b/>
        <w:sz w:val="18"/>
      </w:rPr>
      <w:fldChar w:fldCharType="begin"/>
    </w:r>
    <w:r w:rsidRPr="00DF0041">
      <w:rPr>
        <w:b/>
        <w:sz w:val="18"/>
      </w:rPr>
      <w:instrText xml:space="preserve"> PAGE  \* MERGEFORMAT </w:instrText>
    </w:r>
    <w:r w:rsidRPr="00DF0041">
      <w:rPr>
        <w:b/>
        <w:sz w:val="18"/>
      </w:rPr>
      <w:fldChar w:fldCharType="separate"/>
    </w:r>
    <w:r w:rsidR="00E95188">
      <w:rPr>
        <w:b/>
        <w:noProof/>
        <w:sz w:val="18"/>
      </w:rPr>
      <w:t>13</w:t>
    </w:r>
    <w:r w:rsidRPr="00DF0041">
      <w:rPr>
        <w:b/>
        <w:sz w:val="18"/>
      </w:rPr>
      <w:fldChar w:fldCharType="end"/>
    </w:r>
    <w:r>
      <w:rPr>
        <w:b/>
        <w:sz w:val="18"/>
      </w:rPr>
      <w:tab/>
    </w:r>
    <w:r>
      <w:t>GE.13-40409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B6" w:rsidRDefault="00C75EB6" w:rsidP="00F41D19">
    <w:pPr>
      <w:pStyle w:val="Footer"/>
      <w:jc w:val="right"/>
    </w:pPr>
    <w:r>
      <w:rPr>
        <w:sz w:val="20"/>
      </w:rPr>
      <w:t>(A)   GE.13-4040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9    120213    130213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69" w:rsidRDefault="00A06A69" w:rsidP="00834FF4">
      <w:pPr>
        <w:pStyle w:val="Footer"/>
        <w:bidi/>
        <w:spacing w:after="80" w:line="200" w:lineRule="exact"/>
        <w:ind w:left="680"/>
      </w:pPr>
      <w:r>
        <w:rPr>
          <w:rFonts w:hint="cs"/>
          <w:rtl/>
        </w:rPr>
        <w:t>__________</w:t>
      </w:r>
    </w:p>
  </w:footnote>
  <w:footnote w:type="continuationSeparator" w:id="0">
    <w:p w:rsidR="00A06A69" w:rsidRDefault="00A06A69"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B6" w:rsidRPr="00DF0041" w:rsidRDefault="00C75EB6" w:rsidP="00DF0041">
    <w:pPr>
      <w:pStyle w:val="Header"/>
      <w:jc w:val="right"/>
    </w:pPr>
    <w:r w:rsidRPr="00DF0041">
      <w:t>CAT/C/TJK/CO/2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B6" w:rsidRPr="00DF0041" w:rsidRDefault="00C75EB6" w:rsidP="00DF0041">
    <w:pPr>
      <w:pStyle w:val="Header"/>
      <w:jc w:val="left"/>
    </w:pPr>
    <w:r w:rsidRPr="00DF0041">
      <w:t>CAT/C/TJK/CO/2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B6" w:rsidRDefault="00C75EB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C75EB6" w:rsidRPr="002B399E" w:rsidRDefault="00C75EB6"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C75EB6" w:rsidRPr="002B399E" w:rsidRDefault="00C75EB6"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C75EB6" w:rsidRDefault="00C75EB6"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F70"/>
    <w:multiLevelType w:val="hybridMultilevel"/>
    <w:tmpl w:val="B2D2BF7E"/>
    <w:lvl w:ilvl="0" w:tplc="17743AF8">
      <w:start w:val="1"/>
      <w:numFmt w:val="arabicAbjad"/>
      <w:lvlText w:val="(%1)"/>
      <w:lvlJc w:val="left"/>
      <w:pPr>
        <w:ind w:left="2657" w:hanging="720"/>
      </w:pPr>
      <w:rPr>
        <w:rFonts w:hint="default"/>
      </w:rPr>
    </w:lvl>
    <w:lvl w:ilvl="1" w:tplc="100C0019" w:tentative="1">
      <w:start w:val="1"/>
      <w:numFmt w:val="lowerLetter"/>
      <w:lvlText w:val="%2."/>
      <w:lvlJc w:val="left"/>
      <w:pPr>
        <w:ind w:left="3017" w:hanging="360"/>
      </w:pPr>
    </w:lvl>
    <w:lvl w:ilvl="2" w:tplc="100C001B" w:tentative="1">
      <w:start w:val="1"/>
      <w:numFmt w:val="lowerRoman"/>
      <w:lvlText w:val="%3."/>
      <w:lvlJc w:val="right"/>
      <w:pPr>
        <w:ind w:left="3737" w:hanging="180"/>
      </w:pPr>
    </w:lvl>
    <w:lvl w:ilvl="3" w:tplc="100C000F" w:tentative="1">
      <w:start w:val="1"/>
      <w:numFmt w:val="decimal"/>
      <w:lvlText w:val="%4."/>
      <w:lvlJc w:val="left"/>
      <w:pPr>
        <w:ind w:left="4457" w:hanging="360"/>
      </w:pPr>
    </w:lvl>
    <w:lvl w:ilvl="4" w:tplc="100C0019" w:tentative="1">
      <w:start w:val="1"/>
      <w:numFmt w:val="lowerLetter"/>
      <w:lvlText w:val="%5."/>
      <w:lvlJc w:val="left"/>
      <w:pPr>
        <w:ind w:left="5177" w:hanging="360"/>
      </w:pPr>
    </w:lvl>
    <w:lvl w:ilvl="5" w:tplc="100C001B" w:tentative="1">
      <w:start w:val="1"/>
      <w:numFmt w:val="lowerRoman"/>
      <w:lvlText w:val="%6."/>
      <w:lvlJc w:val="right"/>
      <w:pPr>
        <w:ind w:left="5897" w:hanging="180"/>
      </w:pPr>
    </w:lvl>
    <w:lvl w:ilvl="6" w:tplc="100C000F" w:tentative="1">
      <w:start w:val="1"/>
      <w:numFmt w:val="decimal"/>
      <w:lvlText w:val="%7."/>
      <w:lvlJc w:val="left"/>
      <w:pPr>
        <w:ind w:left="6617" w:hanging="360"/>
      </w:pPr>
    </w:lvl>
    <w:lvl w:ilvl="7" w:tplc="100C0019" w:tentative="1">
      <w:start w:val="1"/>
      <w:numFmt w:val="lowerLetter"/>
      <w:lvlText w:val="%8."/>
      <w:lvlJc w:val="left"/>
      <w:pPr>
        <w:ind w:left="7337" w:hanging="360"/>
      </w:pPr>
    </w:lvl>
    <w:lvl w:ilvl="8" w:tplc="100C001B" w:tentative="1">
      <w:start w:val="1"/>
      <w:numFmt w:val="lowerRoman"/>
      <w:lvlText w:val="%9."/>
      <w:lvlJc w:val="right"/>
      <w:pPr>
        <w:ind w:left="8057" w:hanging="180"/>
      </w:pPr>
    </w:lvl>
  </w:abstractNum>
  <w:abstractNum w:abstractNumId="1">
    <w:nsid w:val="029C4E11"/>
    <w:multiLevelType w:val="hybridMultilevel"/>
    <w:tmpl w:val="00EE0C2A"/>
    <w:lvl w:ilvl="0" w:tplc="EC9A5B96">
      <w:start w:val="1"/>
      <w:numFmt w:val="arabicAbjad"/>
      <w:lvlText w:val="(%1)"/>
      <w:lvlJc w:val="left"/>
      <w:pPr>
        <w:ind w:left="2657" w:hanging="720"/>
      </w:pPr>
      <w:rPr>
        <w:rFonts w:hint="default"/>
        <w:b w:val="0"/>
        <w:bCs w:val="0"/>
      </w:rPr>
    </w:lvl>
    <w:lvl w:ilvl="1" w:tplc="100C0019" w:tentative="1">
      <w:start w:val="1"/>
      <w:numFmt w:val="lowerLetter"/>
      <w:lvlText w:val="%2."/>
      <w:lvlJc w:val="left"/>
      <w:pPr>
        <w:ind w:left="3017" w:hanging="360"/>
      </w:pPr>
    </w:lvl>
    <w:lvl w:ilvl="2" w:tplc="100C001B" w:tentative="1">
      <w:start w:val="1"/>
      <w:numFmt w:val="lowerRoman"/>
      <w:lvlText w:val="%3."/>
      <w:lvlJc w:val="right"/>
      <w:pPr>
        <w:ind w:left="3737" w:hanging="180"/>
      </w:pPr>
    </w:lvl>
    <w:lvl w:ilvl="3" w:tplc="100C000F" w:tentative="1">
      <w:start w:val="1"/>
      <w:numFmt w:val="decimal"/>
      <w:lvlText w:val="%4."/>
      <w:lvlJc w:val="left"/>
      <w:pPr>
        <w:ind w:left="4457" w:hanging="360"/>
      </w:pPr>
    </w:lvl>
    <w:lvl w:ilvl="4" w:tplc="100C0019" w:tentative="1">
      <w:start w:val="1"/>
      <w:numFmt w:val="lowerLetter"/>
      <w:lvlText w:val="%5."/>
      <w:lvlJc w:val="left"/>
      <w:pPr>
        <w:ind w:left="5177" w:hanging="360"/>
      </w:pPr>
    </w:lvl>
    <w:lvl w:ilvl="5" w:tplc="100C001B" w:tentative="1">
      <w:start w:val="1"/>
      <w:numFmt w:val="lowerRoman"/>
      <w:lvlText w:val="%6."/>
      <w:lvlJc w:val="right"/>
      <w:pPr>
        <w:ind w:left="5897" w:hanging="180"/>
      </w:pPr>
    </w:lvl>
    <w:lvl w:ilvl="6" w:tplc="100C000F" w:tentative="1">
      <w:start w:val="1"/>
      <w:numFmt w:val="decimal"/>
      <w:lvlText w:val="%7."/>
      <w:lvlJc w:val="left"/>
      <w:pPr>
        <w:ind w:left="6617" w:hanging="360"/>
      </w:pPr>
    </w:lvl>
    <w:lvl w:ilvl="7" w:tplc="100C0019" w:tentative="1">
      <w:start w:val="1"/>
      <w:numFmt w:val="lowerLetter"/>
      <w:lvlText w:val="%8."/>
      <w:lvlJc w:val="left"/>
      <w:pPr>
        <w:ind w:left="7337" w:hanging="360"/>
      </w:pPr>
    </w:lvl>
    <w:lvl w:ilvl="8" w:tplc="100C001B" w:tentative="1">
      <w:start w:val="1"/>
      <w:numFmt w:val="lowerRoman"/>
      <w:lvlText w:val="%9."/>
      <w:lvlJc w:val="right"/>
      <w:pPr>
        <w:ind w:left="8057" w:hanging="180"/>
      </w:pPr>
    </w:lvl>
  </w:abstractNum>
  <w:abstractNum w:abstractNumId="2">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13B66E3"/>
    <w:multiLevelType w:val="hybridMultilevel"/>
    <w:tmpl w:val="B7FE23B6"/>
    <w:lvl w:ilvl="0" w:tplc="17743AF8">
      <w:start w:val="1"/>
      <w:numFmt w:val="arabicAbjad"/>
      <w:lvlText w:val="(%1)"/>
      <w:lvlJc w:val="left"/>
      <w:pPr>
        <w:ind w:left="1967" w:hanging="360"/>
      </w:pPr>
      <w:rPr>
        <w:rFonts w:hint="default"/>
      </w:rPr>
    </w:lvl>
    <w:lvl w:ilvl="1" w:tplc="100C0019">
      <w:start w:val="1"/>
      <w:numFmt w:val="lowerLetter"/>
      <w:lvlText w:val="%2."/>
      <w:lvlJc w:val="left"/>
      <w:pPr>
        <w:ind w:left="2687" w:hanging="360"/>
      </w:pPr>
    </w:lvl>
    <w:lvl w:ilvl="2" w:tplc="100C001B" w:tentative="1">
      <w:start w:val="1"/>
      <w:numFmt w:val="lowerRoman"/>
      <w:lvlText w:val="%3."/>
      <w:lvlJc w:val="right"/>
      <w:pPr>
        <w:ind w:left="3407" w:hanging="180"/>
      </w:pPr>
    </w:lvl>
    <w:lvl w:ilvl="3" w:tplc="100C000F" w:tentative="1">
      <w:start w:val="1"/>
      <w:numFmt w:val="decimal"/>
      <w:lvlText w:val="%4."/>
      <w:lvlJc w:val="left"/>
      <w:pPr>
        <w:ind w:left="4127" w:hanging="360"/>
      </w:pPr>
    </w:lvl>
    <w:lvl w:ilvl="4" w:tplc="100C0019" w:tentative="1">
      <w:start w:val="1"/>
      <w:numFmt w:val="lowerLetter"/>
      <w:lvlText w:val="%5."/>
      <w:lvlJc w:val="left"/>
      <w:pPr>
        <w:ind w:left="4847" w:hanging="360"/>
      </w:pPr>
    </w:lvl>
    <w:lvl w:ilvl="5" w:tplc="100C001B" w:tentative="1">
      <w:start w:val="1"/>
      <w:numFmt w:val="lowerRoman"/>
      <w:lvlText w:val="%6."/>
      <w:lvlJc w:val="right"/>
      <w:pPr>
        <w:ind w:left="5567" w:hanging="180"/>
      </w:pPr>
    </w:lvl>
    <w:lvl w:ilvl="6" w:tplc="100C000F" w:tentative="1">
      <w:start w:val="1"/>
      <w:numFmt w:val="decimal"/>
      <w:lvlText w:val="%7."/>
      <w:lvlJc w:val="left"/>
      <w:pPr>
        <w:ind w:left="6287" w:hanging="360"/>
      </w:pPr>
    </w:lvl>
    <w:lvl w:ilvl="7" w:tplc="100C0019" w:tentative="1">
      <w:start w:val="1"/>
      <w:numFmt w:val="lowerLetter"/>
      <w:lvlText w:val="%8."/>
      <w:lvlJc w:val="left"/>
      <w:pPr>
        <w:ind w:left="7007" w:hanging="360"/>
      </w:pPr>
    </w:lvl>
    <w:lvl w:ilvl="8" w:tplc="100C001B" w:tentative="1">
      <w:start w:val="1"/>
      <w:numFmt w:val="lowerRoman"/>
      <w:lvlText w:val="%9."/>
      <w:lvlJc w:val="right"/>
      <w:pPr>
        <w:ind w:left="7727" w:hanging="18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7E0895"/>
    <w:multiLevelType w:val="hybridMultilevel"/>
    <w:tmpl w:val="0ED8DD70"/>
    <w:lvl w:ilvl="0" w:tplc="17743AF8">
      <w:start w:val="1"/>
      <w:numFmt w:val="arabicAbjad"/>
      <w:lvlText w:val="(%1)"/>
      <w:lvlJc w:val="left"/>
      <w:pPr>
        <w:ind w:left="2657" w:hanging="720"/>
      </w:pPr>
      <w:rPr>
        <w:rFonts w:hint="default"/>
        <w:b w:val="0"/>
      </w:rPr>
    </w:lvl>
    <w:lvl w:ilvl="1" w:tplc="100C0019" w:tentative="1">
      <w:start w:val="1"/>
      <w:numFmt w:val="lowerLetter"/>
      <w:lvlText w:val="%2."/>
      <w:lvlJc w:val="left"/>
      <w:pPr>
        <w:ind w:left="3017" w:hanging="360"/>
      </w:pPr>
    </w:lvl>
    <w:lvl w:ilvl="2" w:tplc="100C001B" w:tentative="1">
      <w:start w:val="1"/>
      <w:numFmt w:val="lowerRoman"/>
      <w:lvlText w:val="%3."/>
      <w:lvlJc w:val="right"/>
      <w:pPr>
        <w:ind w:left="3737" w:hanging="180"/>
      </w:pPr>
    </w:lvl>
    <w:lvl w:ilvl="3" w:tplc="100C000F" w:tentative="1">
      <w:start w:val="1"/>
      <w:numFmt w:val="decimal"/>
      <w:lvlText w:val="%4."/>
      <w:lvlJc w:val="left"/>
      <w:pPr>
        <w:ind w:left="4457" w:hanging="360"/>
      </w:pPr>
    </w:lvl>
    <w:lvl w:ilvl="4" w:tplc="100C0019" w:tentative="1">
      <w:start w:val="1"/>
      <w:numFmt w:val="lowerLetter"/>
      <w:lvlText w:val="%5."/>
      <w:lvlJc w:val="left"/>
      <w:pPr>
        <w:ind w:left="5177" w:hanging="360"/>
      </w:pPr>
    </w:lvl>
    <w:lvl w:ilvl="5" w:tplc="100C001B" w:tentative="1">
      <w:start w:val="1"/>
      <w:numFmt w:val="lowerRoman"/>
      <w:lvlText w:val="%6."/>
      <w:lvlJc w:val="right"/>
      <w:pPr>
        <w:ind w:left="5897" w:hanging="180"/>
      </w:pPr>
    </w:lvl>
    <w:lvl w:ilvl="6" w:tplc="100C000F" w:tentative="1">
      <w:start w:val="1"/>
      <w:numFmt w:val="decimal"/>
      <w:lvlText w:val="%7."/>
      <w:lvlJc w:val="left"/>
      <w:pPr>
        <w:ind w:left="6617" w:hanging="360"/>
      </w:pPr>
    </w:lvl>
    <w:lvl w:ilvl="7" w:tplc="100C0019" w:tentative="1">
      <w:start w:val="1"/>
      <w:numFmt w:val="lowerLetter"/>
      <w:lvlText w:val="%8."/>
      <w:lvlJc w:val="left"/>
      <w:pPr>
        <w:ind w:left="7337" w:hanging="360"/>
      </w:pPr>
    </w:lvl>
    <w:lvl w:ilvl="8" w:tplc="100C001B" w:tentative="1">
      <w:start w:val="1"/>
      <w:numFmt w:val="lowerRoman"/>
      <w:lvlText w:val="%9."/>
      <w:lvlJc w:val="right"/>
      <w:pPr>
        <w:ind w:left="8057"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5C5D1ECC"/>
    <w:multiLevelType w:val="hybridMultilevel"/>
    <w:tmpl w:val="1576A152"/>
    <w:lvl w:ilvl="0" w:tplc="17743AF8">
      <w:start w:val="1"/>
      <w:numFmt w:val="arabicAbjad"/>
      <w:lvlText w:val="(%1)"/>
      <w:lvlJc w:val="left"/>
      <w:pPr>
        <w:ind w:left="2657" w:hanging="720"/>
      </w:pPr>
      <w:rPr>
        <w:rFonts w:hint="default"/>
        <w:b w:val="0"/>
      </w:rPr>
    </w:lvl>
    <w:lvl w:ilvl="1" w:tplc="100C0019" w:tentative="1">
      <w:start w:val="1"/>
      <w:numFmt w:val="lowerLetter"/>
      <w:lvlText w:val="%2."/>
      <w:lvlJc w:val="left"/>
      <w:pPr>
        <w:ind w:left="3017" w:hanging="360"/>
      </w:pPr>
    </w:lvl>
    <w:lvl w:ilvl="2" w:tplc="100C001B" w:tentative="1">
      <w:start w:val="1"/>
      <w:numFmt w:val="lowerRoman"/>
      <w:lvlText w:val="%3."/>
      <w:lvlJc w:val="right"/>
      <w:pPr>
        <w:ind w:left="3737" w:hanging="180"/>
      </w:pPr>
    </w:lvl>
    <w:lvl w:ilvl="3" w:tplc="100C000F" w:tentative="1">
      <w:start w:val="1"/>
      <w:numFmt w:val="decimal"/>
      <w:lvlText w:val="%4."/>
      <w:lvlJc w:val="left"/>
      <w:pPr>
        <w:ind w:left="4457" w:hanging="360"/>
      </w:pPr>
    </w:lvl>
    <w:lvl w:ilvl="4" w:tplc="100C0019" w:tentative="1">
      <w:start w:val="1"/>
      <w:numFmt w:val="lowerLetter"/>
      <w:lvlText w:val="%5."/>
      <w:lvlJc w:val="left"/>
      <w:pPr>
        <w:ind w:left="5177" w:hanging="360"/>
      </w:pPr>
    </w:lvl>
    <w:lvl w:ilvl="5" w:tplc="100C001B" w:tentative="1">
      <w:start w:val="1"/>
      <w:numFmt w:val="lowerRoman"/>
      <w:lvlText w:val="%6."/>
      <w:lvlJc w:val="right"/>
      <w:pPr>
        <w:ind w:left="5897" w:hanging="180"/>
      </w:pPr>
    </w:lvl>
    <w:lvl w:ilvl="6" w:tplc="100C000F" w:tentative="1">
      <w:start w:val="1"/>
      <w:numFmt w:val="decimal"/>
      <w:lvlText w:val="%7."/>
      <w:lvlJc w:val="left"/>
      <w:pPr>
        <w:ind w:left="6617" w:hanging="360"/>
      </w:pPr>
    </w:lvl>
    <w:lvl w:ilvl="7" w:tplc="100C0019" w:tentative="1">
      <w:start w:val="1"/>
      <w:numFmt w:val="lowerLetter"/>
      <w:lvlText w:val="%8."/>
      <w:lvlJc w:val="left"/>
      <w:pPr>
        <w:ind w:left="7337" w:hanging="360"/>
      </w:pPr>
    </w:lvl>
    <w:lvl w:ilvl="8" w:tplc="100C001B" w:tentative="1">
      <w:start w:val="1"/>
      <w:numFmt w:val="lowerRoman"/>
      <w:lvlText w:val="%9."/>
      <w:lvlJc w:val="right"/>
      <w:pPr>
        <w:ind w:left="8057" w:hanging="180"/>
      </w:pPr>
    </w:lvl>
  </w:abstractNum>
  <w:abstractNum w:abstractNumId="22">
    <w:nsid w:val="5D705246"/>
    <w:multiLevelType w:val="hybridMultilevel"/>
    <w:tmpl w:val="A51473CA"/>
    <w:lvl w:ilvl="0" w:tplc="17743AF8">
      <w:start w:val="1"/>
      <w:numFmt w:val="arabicAbjad"/>
      <w:lvlText w:val="(%1)"/>
      <w:lvlJc w:val="left"/>
      <w:pPr>
        <w:ind w:left="2297" w:hanging="360"/>
      </w:pPr>
      <w:rPr>
        <w:rFonts w:hint="default"/>
        <w:sz w:val="30"/>
      </w:rPr>
    </w:lvl>
    <w:lvl w:ilvl="1" w:tplc="100C0019" w:tentative="1">
      <w:start w:val="1"/>
      <w:numFmt w:val="lowerLetter"/>
      <w:lvlText w:val="%2."/>
      <w:lvlJc w:val="left"/>
      <w:pPr>
        <w:ind w:left="3017" w:hanging="360"/>
      </w:pPr>
    </w:lvl>
    <w:lvl w:ilvl="2" w:tplc="100C001B" w:tentative="1">
      <w:start w:val="1"/>
      <w:numFmt w:val="lowerRoman"/>
      <w:lvlText w:val="%3."/>
      <w:lvlJc w:val="right"/>
      <w:pPr>
        <w:ind w:left="3737" w:hanging="180"/>
      </w:pPr>
    </w:lvl>
    <w:lvl w:ilvl="3" w:tplc="100C000F" w:tentative="1">
      <w:start w:val="1"/>
      <w:numFmt w:val="decimal"/>
      <w:lvlText w:val="%4."/>
      <w:lvlJc w:val="left"/>
      <w:pPr>
        <w:ind w:left="4457" w:hanging="360"/>
      </w:pPr>
    </w:lvl>
    <w:lvl w:ilvl="4" w:tplc="100C0019" w:tentative="1">
      <w:start w:val="1"/>
      <w:numFmt w:val="lowerLetter"/>
      <w:lvlText w:val="%5."/>
      <w:lvlJc w:val="left"/>
      <w:pPr>
        <w:ind w:left="5177" w:hanging="360"/>
      </w:pPr>
    </w:lvl>
    <w:lvl w:ilvl="5" w:tplc="100C001B" w:tentative="1">
      <w:start w:val="1"/>
      <w:numFmt w:val="lowerRoman"/>
      <w:lvlText w:val="%6."/>
      <w:lvlJc w:val="right"/>
      <w:pPr>
        <w:ind w:left="5897" w:hanging="180"/>
      </w:pPr>
    </w:lvl>
    <w:lvl w:ilvl="6" w:tplc="100C000F" w:tentative="1">
      <w:start w:val="1"/>
      <w:numFmt w:val="decimal"/>
      <w:lvlText w:val="%7."/>
      <w:lvlJc w:val="left"/>
      <w:pPr>
        <w:ind w:left="6617" w:hanging="360"/>
      </w:pPr>
    </w:lvl>
    <w:lvl w:ilvl="7" w:tplc="100C0019" w:tentative="1">
      <w:start w:val="1"/>
      <w:numFmt w:val="lowerLetter"/>
      <w:lvlText w:val="%8."/>
      <w:lvlJc w:val="left"/>
      <w:pPr>
        <w:ind w:left="7337" w:hanging="360"/>
      </w:pPr>
    </w:lvl>
    <w:lvl w:ilvl="8" w:tplc="100C001B" w:tentative="1">
      <w:start w:val="1"/>
      <w:numFmt w:val="lowerRoman"/>
      <w:lvlText w:val="%9."/>
      <w:lvlJc w:val="right"/>
      <w:pPr>
        <w:ind w:left="8057" w:hanging="180"/>
      </w:pPr>
    </w:lvl>
  </w:abstractNum>
  <w:abstractNum w:abstractNumId="23">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709C61F1"/>
    <w:multiLevelType w:val="hybridMultilevel"/>
    <w:tmpl w:val="61740630"/>
    <w:lvl w:ilvl="0" w:tplc="17743AF8">
      <w:start w:val="1"/>
      <w:numFmt w:val="arabicAbjad"/>
      <w:lvlText w:val="(%1)"/>
      <w:lvlJc w:val="left"/>
      <w:pPr>
        <w:ind w:left="2652" w:hanging="360"/>
      </w:pPr>
      <w:rPr>
        <w:rFonts w:hint="default"/>
      </w:rPr>
    </w:lvl>
    <w:lvl w:ilvl="1" w:tplc="100C0019" w:tentative="1">
      <w:start w:val="1"/>
      <w:numFmt w:val="lowerLetter"/>
      <w:lvlText w:val="%2."/>
      <w:lvlJc w:val="left"/>
      <w:pPr>
        <w:ind w:left="3372" w:hanging="360"/>
      </w:pPr>
    </w:lvl>
    <w:lvl w:ilvl="2" w:tplc="100C001B" w:tentative="1">
      <w:start w:val="1"/>
      <w:numFmt w:val="lowerRoman"/>
      <w:lvlText w:val="%3."/>
      <w:lvlJc w:val="right"/>
      <w:pPr>
        <w:ind w:left="4092" w:hanging="180"/>
      </w:pPr>
    </w:lvl>
    <w:lvl w:ilvl="3" w:tplc="100C000F" w:tentative="1">
      <w:start w:val="1"/>
      <w:numFmt w:val="decimal"/>
      <w:lvlText w:val="%4."/>
      <w:lvlJc w:val="left"/>
      <w:pPr>
        <w:ind w:left="4812" w:hanging="360"/>
      </w:pPr>
    </w:lvl>
    <w:lvl w:ilvl="4" w:tplc="100C0019" w:tentative="1">
      <w:start w:val="1"/>
      <w:numFmt w:val="lowerLetter"/>
      <w:lvlText w:val="%5."/>
      <w:lvlJc w:val="left"/>
      <w:pPr>
        <w:ind w:left="5532" w:hanging="360"/>
      </w:pPr>
    </w:lvl>
    <w:lvl w:ilvl="5" w:tplc="100C001B" w:tentative="1">
      <w:start w:val="1"/>
      <w:numFmt w:val="lowerRoman"/>
      <w:lvlText w:val="%6."/>
      <w:lvlJc w:val="right"/>
      <w:pPr>
        <w:ind w:left="6252" w:hanging="180"/>
      </w:pPr>
    </w:lvl>
    <w:lvl w:ilvl="6" w:tplc="100C000F" w:tentative="1">
      <w:start w:val="1"/>
      <w:numFmt w:val="decimal"/>
      <w:lvlText w:val="%7."/>
      <w:lvlJc w:val="left"/>
      <w:pPr>
        <w:ind w:left="6972" w:hanging="360"/>
      </w:pPr>
    </w:lvl>
    <w:lvl w:ilvl="7" w:tplc="100C0019" w:tentative="1">
      <w:start w:val="1"/>
      <w:numFmt w:val="lowerLetter"/>
      <w:lvlText w:val="%8."/>
      <w:lvlJc w:val="left"/>
      <w:pPr>
        <w:ind w:left="7692" w:hanging="360"/>
      </w:pPr>
    </w:lvl>
    <w:lvl w:ilvl="8" w:tplc="100C001B" w:tentative="1">
      <w:start w:val="1"/>
      <w:numFmt w:val="lowerRoman"/>
      <w:lvlText w:val="%9."/>
      <w:lvlJc w:val="right"/>
      <w:pPr>
        <w:ind w:left="8412" w:hanging="180"/>
      </w:p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FA3EB1"/>
    <w:multiLevelType w:val="hybridMultilevel"/>
    <w:tmpl w:val="F7BA6050"/>
    <w:lvl w:ilvl="0" w:tplc="17743AF8">
      <w:start w:val="1"/>
      <w:numFmt w:val="arabicAbjad"/>
      <w:lvlText w:val="(%1)"/>
      <w:lvlJc w:val="left"/>
      <w:pPr>
        <w:ind w:left="2657" w:hanging="720"/>
      </w:pPr>
      <w:rPr>
        <w:rFonts w:hint="default"/>
      </w:rPr>
    </w:lvl>
    <w:lvl w:ilvl="1" w:tplc="100C0019">
      <w:start w:val="1"/>
      <w:numFmt w:val="lowerLetter"/>
      <w:lvlText w:val="%2."/>
      <w:lvlJc w:val="left"/>
      <w:pPr>
        <w:ind w:left="3017" w:hanging="360"/>
      </w:pPr>
    </w:lvl>
    <w:lvl w:ilvl="2" w:tplc="100C001B" w:tentative="1">
      <w:start w:val="1"/>
      <w:numFmt w:val="lowerRoman"/>
      <w:lvlText w:val="%3."/>
      <w:lvlJc w:val="right"/>
      <w:pPr>
        <w:ind w:left="3737" w:hanging="180"/>
      </w:pPr>
    </w:lvl>
    <w:lvl w:ilvl="3" w:tplc="100C000F" w:tentative="1">
      <w:start w:val="1"/>
      <w:numFmt w:val="decimal"/>
      <w:lvlText w:val="%4."/>
      <w:lvlJc w:val="left"/>
      <w:pPr>
        <w:ind w:left="4457" w:hanging="360"/>
      </w:pPr>
    </w:lvl>
    <w:lvl w:ilvl="4" w:tplc="100C0019" w:tentative="1">
      <w:start w:val="1"/>
      <w:numFmt w:val="lowerLetter"/>
      <w:lvlText w:val="%5."/>
      <w:lvlJc w:val="left"/>
      <w:pPr>
        <w:ind w:left="5177" w:hanging="360"/>
      </w:pPr>
    </w:lvl>
    <w:lvl w:ilvl="5" w:tplc="100C001B" w:tentative="1">
      <w:start w:val="1"/>
      <w:numFmt w:val="lowerRoman"/>
      <w:lvlText w:val="%6."/>
      <w:lvlJc w:val="right"/>
      <w:pPr>
        <w:ind w:left="5897" w:hanging="180"/>
      </w:pPr>
    </w:lvl>
    <w:lvl w:ilvl="6" w:tplc="100C000F" w:tentative="1">
      <w:start w:val="1"/>
      <w:numFmt w:val="decimal"/>
      <w:lvlText w:val="%7."/>
      <w:lvlJc w:val="left"/>
      <w:pPr>
        <w:ind w:left="6617" w:hanging="360"/>
      </w:pPr>
    </w:lvl>
    <w:lvl w:ilvl="7" w:tplc="100C0019" w:tentative="1">
      <w:start w:val="1"/>
      <w:numFmt w:val="lowerLetter"/>
      <w:lvlText w:val="%8."/>
      <w:lvlJc w:val="left"/>
      <w:pPr>
        <w:ind w:left="7337" w:hanging="360"/>
      </w:pPr>
    </w:lvl>
    <w:lvl w:ilvl="8" w:tplc="100C001B" w:tentative="1">
      <w:start w:val="1"/>
      <w:numFmt w:val="lowerRoman"/>
      <w:lvlText w:val="%9."/>
      <w:lvlJc w:val="right"/>
      <w:pPr>
        <w:ind w:left="8057" w:hanging="180"/>
      </w:pPr>
    </w:lvl>
  </w:abstractNum>
  <w:abstractNum w:abstractNumId="28">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9">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3"/>
  </w:num>
  <w:num w:numId="3">
    <w:abstractNumId w:val="17"/>
  </w:num>
  <w:num w:numId="4">
    <w:abstractNumId w:val="14"/>
  </w:num>
  <w:num w:numId="5">
    <w:abstractNumId w:val="10"/>
  </w:num>
  <w:num w:numId="6">
    <w:abstractNumId w:val="28"/>
  </w:num>
  <w:num w:numId="7">
    <w:abstractNumId w:val="12"/>
  </w:num>
  <w:num w:numId="8">
    <w:abstractNumId w:val="11"/>
  </w:num>
  <w:num w:numId="9">
    <w:abstractNumId w:val="16"/>
  </w:num>
  <w:num w:numId="10">
    <w:abstractNumId w:val="26"/>
  </w:num>
  <w:num w:numId="11">
    <w:abstractNumId w:val="3"/>
  </w:num>
  <w:num w:numId="12">
    <w:abstractNumId w:val="17"/>
  </w:num>
  <w:num w:numId="13">
    <w:abstractNumId w:val="14"/>
  </w:num>
  <w:num w:numId="14">
    <w:abstractNumId w:val="10"/>
  </w:num>
  <w:num w:numId="15">
    <w:abstractNumId w:val="28"/>
  </w:num>
  <w:num w:numId="16">
    <w:abstractNumId w:val="3"/>
  </w:num>
  <w:num w:numId="17">
    <w:abstractNumId w:val="17"/>
  </w:num>
  <w:num w:numId="18">
    <w:abstractNumId w:val="14"/>
  </w:num>
  <w:num w:numId="19">
    <w:abstractNumId w:val="10"/>
  </w:num>
  <w:num w:numId="20">
    <w:abstractNumId w:val="28"/>
  </w:num>
  <w:num w:numId="21">
    <w:abstractNumId w:val="3"/>
  </w:num>
  <w:num w:numId="22">
    <w:abstractNumId w:val="17"/>
  </w:num>
  <w:num w:numId="23">
    <w:abstractNumId w:val="10"/>
  </w:num>
  <w:num w:numId="24">
    <w:abstractNumId w:val="28"/>
  </w:num>
  <w:num w:numId="25">
    <w:abstractNumId w:val="17"/>
  </w:num>
  <w:num w:numId="26">
    <w:abstractNumId w:val="3"/>
  </w:num>
  <w:num w:numId="27">
    <w:abstractNumId w:val="5"/>
  </w:num>
  <w:num w:numId="28">
    <w:abstractNumId w:val="4"/>
  </w:num>
  <w:num w:numId="29">
    <w:abstractNumId w:val="19"/>
  </w:num>
  <w:num w:numId="30">
    <w:abstractNumId w:val="6"/>
  </w:num>
  <w:num w:numId="31">
    <w:abstractNumId w:val="9"/>
  </w:num>
  <w:num w:numId="32">
    <w:abstractNumId w:val="18"/>
  </w:num>
  <w:num w:numId="33">
    <w:abstractNumId w:val="23"/>
  </w:num>
  <w:num w:numId="34">
    <w:abstractNumId w:val="29"/>
  </w:num>
  <w:num w:numId="35">
    <w:abstractNumId w:val="7"/>
  </w:num>
  <w:num w:numId="36">
    <w:abstractNumId w:val="20"/>
  </w:num>
  <w:num w:numId="37">
    <w:abstractNumId w:val="24"/>
  </w:num>
  <w:num w:numId="38">
    <w:abstractNumId w:val="2"/>
  </w:num>
  <w:num w:numId="39">
    <w:abstractNumId w:val="8"/>
  </w:num>
  <w:num w:numId="40">
    <w:abstractNumId w:val="0"/>
  </w:num>
  <w:num w:numId="41">
    <w:abstractNumId w:val="25"/>
  </w:num>
  <w:num w:numId="42">
    <w:abstractNumId w:val="13"/>
  </w:num>
  <w:num w:numId="43">
    <w:abstractNumId w:val="1"/>
  </w:num>
  <w:num w:numId="44">
    <w:abstractNumId w:val="27"/>
  </w:num>
  <w:num w:numId="45">
    <w:abstractNumId w:val="15"/>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7A2"/>
    <w:rsid w:val="00040E25"/>
    <w:rsid w:val="00042149"/>
    <w:rsid w:val="000538AF"/>
    <w:rsid w:val="00056E78"/>
    <w:rsid w:val="000648EA"/>
    <w:rsid w:val="00067567"/>
    <w:rsid w:val="000717B9"/>
    <w:rsid w:val="000957C8"/>
    <w:rsid w:val="00097049"/>
    <w:rsid w:val="000A04D5"/>
    <w:rsid w:val="000B52F2"/>
    <w:rsid w:val="000D0EAE"/>
    <w:rsid w:val="000D487A"/>
    <w:rsid w:val="000D5380"/>
    <w:rsid w:val="000D6654"/>
    <w:rsid w:val="000E103D"/>
    <w:rsid w:val="000F0264"/>
    <w:rsid w:val="000F2EBF"/>
    <w:rsid w:val="000F3A9F"/>
    <w:rsid w:val="000F5FF6"/>
    <w:rsid w:val="001022B5"/>
    <w:rsid w:val="00113FA5"/>
    <w:rsid w:val="00142BC2"/>
    <w:rsid w:val="001455A0"/>
    <w:rsid w:val="00154CFD"/>
    <w:rsid w:val="001602A3"/>
    <w:rsid w:val="001A5161"/>
    <w:rsid w:val="001A60BD"/>
    <w:rsid w:val="001B05A1"/>
    <w:rsid w:val="001C5B5B"/>
    <w:rsid w:val="0021429C"/>
    <w:rsid w:val="002244FB"/>
    <w:rsid w:val="002268CA"/>
    <w:rsid w:val="00232277"/>
    <w:rsid w:val="00233C2E"/>
    <w:rsid w:val="0023527A"/>
    <w:rsid w:val="0023736D"/>
    <w:rsid w:val="00257225"/>
    <w:rsid w:val="00273781"/>
    <w:rsid w:val="00310160"/>
    <w:rsid w:val="00341A8C"/>
    <w:rsid w:val="003519E6"/>
    <w:rsid w:val="00382798"/>
    <w:rsid w:val="003B4356"/>
    <w:rsid w:val="003E3F17"/>
    <w:rsid w:val="003F08A8"/>
    <w:rsid w:val="004250E3"/>
    <w:rsid w:val="00444B0C"/>
    <w:rsid w:val="00472A81"/>
    <w:rsid w:val="00484ED2"/>
    <w:rsid w:val="004A20A6"/>
    <w:rsid w:val="004B2C92"/>
    <w:rsid w:val="004D6A3A"/>
    <w:rsid w:val="004F4AD7"/>
    <w:rsid w:val="004F7E14"/>
    <w:rsid w:val="0055595D"/>
    <w:rsid w:val="00556C19"/>
    <w:rsid w:val="00557CD3"/>
    <w:rsid w:val="00571432"/>
    <w:rsid w:val="005732A2"/>
    <w:rsid w:val="00575A6A"/>
    <w:rsid w:val="005762A5"/>
    <w:rsid w:val="00590BA3"/>
    <w:rsid w:val="005B46D9"/>
    <w:rsid w:val="005B473B"/>
    <w:rsid w:val="005B7AE0"/>
    <w:rsid w:val="005D080C"/>
    <w:rsid w:val="005F146F"/>
    <w:rsid w:val="005F21B1"/>
    <w:rsid w:val="005F71B6"/>
    <w:rsid w:val="00646885"/>
    <w:rsid w:val="00654786"/>
    <w:rsid w:val="00660FD4"/>
    <w:rsid w:val="00694AF5"/>
    <w:rsid w:val="006972CA"/>
    <w:rsid w:val="006A4425"/>
    <w:rsid w:val="006B00A4"/>
    <w:rsid w:val="006B255F"/>
    <w:rsid w:val="006B4669"/>
    <w:rsid w:val="006F1367"/>
    <w:rsid w:val="006F6BF8"/>
    <w:rsid w:val="00707BDF"/>
    <w:rsid w:val="00710727"/>
    <w:rsid w:val="00715F45"/>
    <w:rsid w:val="00726CE6"/>
    <w:rsid w:val="00731815"/>
    <w:rsid w:val="00731B84"/>
    <w:rsid w:val="007341C5"/>
    <w:rsid w:val="00734AE7"/>
    <w:rsid w:val="007455F3"/>
    <w:rsid w:val="007655C4"/>
    <w:rsid w:val="0079344E"/>
    <w:rsid w:val="007B2AB2"/>
    <w:rsid w:val="007C5036"/>
    <w:rsid w:val="007E197F"/>
    <w:rsid w:val="007F68C4"/>
    <w:rsid w:val="00807E84"/>
    <w:rsid w:val="008153DE"/>
    <w:rsid w:val="00834FF4"/>
    <w:rsid w:val="00852A10"/>
    <w:rsid w:val="00862634"/>
    <w:rsid w:val="00864FA4"/>
    <w:rsid w:val="00866A6D"/>
    <w:rsid w:val="00866C59"/>
    <w:rsid w:val="00877306"/>
    <w:rsid w:val="00882316"/>
    <w:rsid w:val="00886E17"/>
    <w:rsid w:val="0089033E"/>
    <w:rsid w:val="0089768B"/>
    <w:rsid w:val="008A6242"/>
    <w:rsid w:val="008B4BC6"/>
    <w:rsid w:val="008B67FB"/>
    <w:rsid w:val="008C4B8A"/>
    <w:rsid w:val="00901E57"/>
    <w:rsid w:val="00904AE3"/>
    <w:rsid w:val="009070DF"/>
    <w:rsid w:val="00935F0E"/>
    <w:rsid w:val="0095208F"/>
    <w:rsid w:val="0096787D"/>
    <w:rsid w:val="00977B3F"/>
    <w:rsid w:val="009814AE"/>
    <w:rsid w:val="009901D3"/>
    <w:rsid w:val="00993F80"/>
    <w:rsid w:val="00996BBE"/>
    <w:rsid w:val="009B2C03"/>
    <w:rsid w:val="009B7B83"/>
    <w:rsid w:val="009C4C81"/>
    <w:rsid w:val="009D154E"/>
    <w:rsid w:val="009D1DD5"/>
    <w:rsid w:val="009F722C"/>
    <w:rsid w:val="00A06A69"/>
    <w:rsid w:val="00A21616"/>
    <w:rsid w:val="00A26157"/>
    <w:rsid w:val="00A265C3"/>
    <w:rsid w:val="00A3699D"/>
    <w:rsid w:val="00A43F9A"/>
    <w:rsid w:val="00A53F38"/>
    <w:rsid w:val="00A543D4"/>
    <w:rsid w:val="00AC45EF"/>
    <w:rsid w:val="00AD0014"/>
    <w:rsid w:val="00AD4CF2"/>
    <w:rsid w:val="00AF0BBA"/>
    <w:rsid w:val="00B10905"/>
    <w:rsid w:val="00B25BBD"/>
    <w:rsid w:val="00B30468"/>
    <w:rsid w:val="00B44E31"/>
    <w:rsid w:val="00B46EED"/>
    <w:rsid w:val="00B52FD4"/>
    <w:rsid w:val="00B55875"/>
    <w:rsid w:val="00BA4F7E"/>
    <w:rsid w:val="00BB2C41"/>
    <w:rsid w:val="00BC540E"/>
    <w:rsid w:val="00BC55C8"/>
    <w:rsid w:val="00BC5C10"/>
    <w:rsid w:val="00BE2964"/>
    <w:rsid w:val="00C067AD"/>
    <w:rsid w:val="00C12458"/>
    <w:rsid w:val="00C21623"/>
    <w:rsid w:val="00C24FBD"/>
    <w:rsid w:val="00C35258"/>
    <w:rsid w:val="00C44EF4"/>
    <w:rsid w:val="00C46DAF"/>
    <w:rsid w:val="00C473BA"/>
    <w:rsid w:val="00C611ED"/>
    <w:rsid w:val="00C6205D"/>
    <w:rsid w:val="00C6490A"/>
    <w:rsid w:val="00C64FE1"/>
    <w:rsid w:val="00C74296"/>
    <w:rsid w:val="00C75EB6"/>
    <w:rsid w:val="00C80546"/>
    <w:rsid w:val="00C80957"/>
    <w:rsid w:val="00C8345E"/>
    <w:rsid w:val="00C95441"/>
    <w:rsid w:val="00CA5F7C"/>
    <w:rsid w:val="00CD40E0"/>
    <w:rsid w:val="00CF60D5"/>
    <w:rsid w:val="00D071BF"/>
    <w:rsid w:val="00D20CB9"/>
    <w:rsid w:val="00D34066"/>
    <w:rsid w:val="00D51067"/>
    <w:rsid w:val="00D6185E"/>
    <w:rsid w:val="00D6238F"/>
    <w:rsid w:val="00D63F7A"/>
    <w:rsid w:val="00D75657"/>
    <w:rsid w:val="00D83552"/>
    <w:rsid w:val="00D960AD"/>
    <w:rsid w:val="00DA0E0E"/>
    <w:rsid w:val="00DB0C39"/>
    <w:rsid w:val="00DB7679"/>
    <w:rsid w:val="00DC1CA5"/>
    <w:rsid w:val="00DF0041"/>
    <w:rsid w:val="00DF1702"/>
    <w:rsid w:val="00DF4DD8"/>
    <w:rsid w:val="00DF668E"/>
    <w:rsid w:val="00E04826"/>
    <w:rsid w:val="00E14D2B"/>
    <w:rsid w:val="00E20DBA"/>
    <w:rsid w:val="00E220B1"/>
    <w:rsid w:val="00E6524A"/>
    <w:rsid w:val="00E660D6"/>
    <w:rsid w:val="00E771AB"/>
    <w:rsid w:val="00E82EC7"/>
    <w:rsid w:val="00E95188"/>
    <w:rsid w:val="00EA796F"/>
    <w:rsid w:val="00EB077B"/>
    <w:rsid w:val="00EB15C3"/>
    <w:rsid w:val="00EC011C"/>
    <w:rsid w:val="00EC50B9"/>
    <w:rsid w:val="00ED26A0"/>
    <w:rsid w:val="00F05A65"/>
    <w:rsid w:val="00F16E47"/>
    <w:rsid w:val="00F1727A"/>
    <w:rsid w:val="00F217A2"/>
    <w:rsid w:val="00F34764"/>
    <w:rsid w:val="00F41D19"/>
    <w:rsid w:val="00F474F1"/>
    <w:rsid w:val="00F54E3C"/>
    <w:rsid w:val="00F70C4A"/>
    <w:rsid w:val="00F7225E"/>
    <w:rsid w:val="00F874BD"/>
    <w:rsid w:val="00FB1D0B"/>
    <w:rsid w:val="00FD279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D6238F"/>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7</TotalTime>
  <Pages>1</Pages>
  <Words>4334</Words>
  <Characters>22884</Characters>
  <Application>Microsoft Office Word</Application>
  <DocSecurity>4</DocSecurity>
  <Lines>423</Lines>
  <Paragraphs>141</Paragraphs>
  <ScaleCrop>false</ScaleCrop>
  <HeadingPairs>
    <vt:vector size="2" baseType="variant">
      <vt:variant>
        <vt:lpstr>العنوان</vt:lpstr>
      </vt:variant>
      <vt:variant>
        <vt:i4>1</vt:i4>
      </vt:variant>
    </vt:vector>
  </HeadingPairs>
  <TitlesOfParts>
    <vt:vector size="1" baseType="lpstr">
      <vt:lpstr>CAT/C/TJK/CO/2</vt:lpstr>
    </vt:vector>
  </TitlesOfParts>
  <Company>CSD</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CAT/C/TJK/CO/2</dc:title>
  <dc:subject/>
  <dc:creator>Mervat</dc:creator>
  <cp:keywords/>
  <dc:description/>
  <cp:lastModifiedBy>Mervat</cp:lastModifiedBy>
  <cp:revision>4</cp:revision>
  <cp:lastPrinted>2013-02-13T09:05:00Z</cp:lastPrinted>
  <dcterms:created xsi:type="dcterms:W3CDTF">2013-02-13T09:05:00Z</dcterms:created>
  <dcterms:modified xsi:type="dcterms:W3CDTF">2013-02-13T09:08:00Z</dcterms:modified>
</cp:coreProperties>
</file>